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DTD Calculation Module</w:t>
      </w:r>
    </w:p>
    <w:p>
      <w:pPr>
        <w:jc w:val="center"/>
      </w:pPr>
      <w:r>
        <w:rPr>
          <w:b/>
          <w:sz w:val="24"/>
        </w:rPr>
        <w:t>Daily integration guide for the Vanke production-oriented pipeline</w:t>
      </w:r>
    </w:p>
    <w:p>
      <w:pPr>
        <w:jc w:val="center"/>
      </w:pPr>
      <w:r>
        <w:rPr>
          <w:i/>
        </w:rPr>
        <w:t>Assumption used in this implementation: δ = 0.50</w:t>
      </w:r>
    </w:p>
    <w:p>
      <w:pPr>
        <w:pStyle w:val="Heading1"/>
      </w:pPr>
      <w:r>
        <w:t>1. What this module is for</w:t>
      </w:r>
    </w:p>
    <w:p>
      <w:r>
        <w:t>This module is intentionally separated from data ingestion. Your existing pipeline can continue to obtain the new trading day’s market capitalization and HKMA 12-month risk-free rate. The DTD module receives those cleaned inputs, carries forward the latest balance-sheet values when no new financial statement exists, recalibrates asset volatility from the rolling history, solves for the unobserved market value of assets, and returns the new day’s DTD.</w:t>
      </w:r>
    </w:p>
    <w:p>
      <w:r>
        <w:t>This matches the assignment’s daily-update framing: historical records remain unchanged, only incremental market/rate data arrive each day, and balance-sheet variables are carried forward when no new financial statement is released.</w:t>
      </w:r>
    </w:p>
    <w:p>
      <w:pPr>
        <w:pStyle w:val="Heading1"/>
      </w:pPr>
      <w:r>
        <w:t>2. Inputs and internal variables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2484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Symbol / column</w:t>
            </w:r>
          </w:p>
        </w:tc>
        <w:tc>
          <w:tcPr>
            <w:tcW w:type="dxa" w:w="2484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Daily source?</w:t>
            </w:r>
          </w:p>
        </w:tc>
        <w:tc>
          <w:tcPr>
            <w:tcW w:type="dxa" w:w="2484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Treatment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Market capitalization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CUR_MKT_CAP(HKD)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Yes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New value each trading day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Risk-free rate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Risk_Free_Rate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Yes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HKMA 12M rate; 2.46 means 2.46%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Current liabilities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BS_CUR_LIAB(HKD)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No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Carry forward until new FS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Long-term borrowings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BS_LT_BORROW(HKD)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No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Carry forward until new FS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Total liabilities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BS_TOT_LIAB2(HKD)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No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Carry forward until new FS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Book total assets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BS_TOT_ASSET(HKD)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No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Carry forward until new FS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Other liabilities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OL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Calculated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TL − CL − LTD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Default point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L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Calculated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CL + 0.5×LTD + δ×OL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Asset volatility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σ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Estimated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Rolling 1-year transformed-data MLE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Market asset value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V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Solved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Daily Merton/Black–Scholes inversion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Distance to default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DTD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Calculated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ln(V/L) / σ</w:t>
            </w:r>
          </w:p>
        </w:tc>
      </w:tr>
    </w:tbl>
    <w:p>
      <w:pPr>
        <w:pStyle w:val="Heading1"/>
      </w:pPr>
      <w:r>
        <w:t>3. Calculation sequence for a new trading day</w:t>
      </w:r>
    </w:p>
    <w:p>
      <w:pPr>
        <w:spacing w:after="80"/>
      </w:pPr>
      <w:r>
        <w:rPr>
          <w:b/>
        </w:rPr>
        <w:t xml:space="preserve">1. Append, do not overwrite: </w:t>
      </w:r>
      <w:r>
        <w:t>Create one new row containing Date, market cap and risk-free rate. If there is no new financial statement, copy the four latest balance-sheet fields forward.</w:t>
      </w:r>
    </w:p>
    <w:p>
      <w:pPr>
        <w:spacing w:after="80"/>
      </w:pPr>
      <w:r>
        <w:rPr>
          <w:b/>
        </w:rPr>
        <w:t xml:space="preserve">2. Construct the debt/default point: </w:t>
      </w:r>
      <w:r>
        <w:t>OL = Total Liabilities − Current Liabilities − Long-term Borrowings. With the chosen assumption δ=0.50: L = Current Liabilities + 0.5×Long-term Borrowings + 0.50×OL.</w:t>
      </w:r>
    </w:p>
    <w:p>
      <w:pPr>
        <w:spacing w:after="80"/>
      </w:pPr>
      <w:r>
        <w:rPr>
          <w:b/>
        </w:rPr>
        <w:t xml:space="preserve">3. Build the rolling estimation window: </w:t>
      </w:r>
      <w:r>
        <w:t>Use observations from the latest one-year window ending on the new date. The code requires at least 50 valid observations.</w:t>
      </w:r>
    </w:p>
    <w:p>
      <w:pPr>
        <w:spacing w:after="80"/>
      </w:pPr>
      <w:r>
        <w:rPr>
          <w:b/>
        </w:rPr>
        <w:t xml:space="preserve">4. Estimate σ: </w:t>
      </w:r>
      <w:r>
        <w:t>For a candidate σ, solve the option-pricing equation for V on every day in the rolling window and maximize the transformed-data likelihood. Book total assets A are used to standardize V/A in this likelihood.</w:t>
      </w:r>
    </w:p>
    <w:p>
      <w:pPr>
        <w:spacing w:after="80"/>
      </w:pPr>
      <w:r>
        <w:rPr>
          <w:b/>
        </w:rPr>
        <w:t xml:space="preserve">5. Solve today’s V: </w:t>
      </w:r>
      <w:r>
        <w:t>Using today’s market cap E, today’s risk-free rate r, today’s default point L and the estimated σ, solve E = V N(d+) − exp(−r)L N(d−).</w:t>
      </w:r>
    </w:p>
    <w:p>
      <w:pPr>
        <w:spacing w:after="80"/>
      </w:pPr>
      <w:r>
        <w:rPr>
          <w:b/>
        </w:rPr>
        <w:t xml:space="preserve">6. Calculate DTD: </w:t>
      </w:r>
      <w:r>
        <w:t>The CRI DTD treatment sets the drift term used in DTD to cancel, giving DTD = ln(V/L) / σ.</w:t>
      </w:r>
    </w:p>
    <w:p>
      <w:pPr>
        <w:spacing w:after="80"/>
      </w:pPr>
      <w:r>
        <w:rPr>
          <w:b/>
        </w:rPr>
        <w:t xml:space="preserve">7. Validate and persist: </w:t>
      </w:r>
      <w:r>
        <w:t>Check positivity, observation count and numerical convergence. Save the new input row and the DTD output; never rewrite historical production rows.</w:t>
      </w:r>
    </w:p>
    <w:p>
      <w:pPr>
        <w:pStyle w:val="Heading1"/>
      </w:pPr>
      <w:r>
        <w:t>4. The only call you need from the main pipeline</w:t>
      </w:r>
    </w:p>
    <w:p>
      <w:r>
        <w:rPr>
          <w:b/>
        </w:rPr>
        <w:t xml:space="preserve">Import: </w:t>
      </w:r>
      <w:r>
        <w:t>from dtd_calculator import process_new_day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updated_input, result = process_new_day(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history=input_df,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date="2025-12-15",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market_cap_hkd=today_market_cap_hkd,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risk_free_rate=today_hkma_12m_rate,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delta=0.5,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)</w:t>
      </w:r>
    </w:p>
    <w:p>
      <w:pPr>
        <w:spacing w:after="0"/>
        <w:ind w:left="360"/>
      </w:pPr>
      <w:r>
        <w:rPr>
          <w:rFonts w:ascii="Consolas" w:hAnsi="Consolas"/>
          <w:sz w:val="18"/>
        </w:rPr>
      </w:r>
    </w:p>
    <w:p>
      <w:pPr>
        <w:spacing w:after="0"/>
        <w:ind w:left="360"/>
      </w:pPr>
      <w:r>
        <w:rPr>
          <w:rFonts w:ascii="Consolas" w:hAnsi="Consolas"/>
          <w:sz w:val="18"/>
        </w:rPr>
        <w:t>print(result.dtd)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print(result.sigma)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print(result.asset_value)</w:t>
      </w:r>
    </w:p>
    <w:p>
      <w:r>
        <w:t>If a new financial statement is released, pass new_financials={...} with the updated balance-sheet columns. Otherwise omit it and the function carries the previous financial statement forward automatically.</w:t>
      </w:r>
    </w:p>
    <w:p>
      <w:pPr>
        <w:pStyle w:val="Heading1"/>
      </w:pPr>
      <w:r>
        <w:t>5. Integration contract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Your existing code</w:t>
            </w:r>
          </w:p>
        </w:tc>
        <w:tc>
          <w:tcPr>
            <w:tcW w:type="dxa" w:w="3312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DTD module</w:t>
            </w:r>
          </w:p>
        </w:tc>
        <w:tc>
          <w:tcPr>
            <w:tcW w:type="dxa" w:w="3312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Returned output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Fetch/compute daily market cap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append_new_day()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Updated Input DataFrame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Fetch HKMA 12M rate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estimate_sigma()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σ and rolling observation count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Maintain clean historical Input table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implied_asset_value()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V (implied market asset value)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Provide optional new FS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calculate_dtd()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DTD + default point + diagnostics</w:t>
            </w:r>
          </w:p>
        </w:tc>
      </w:tr>
    </w:tbl>
    <w:p>
      <w:pPr>
        <w:pStyle w:val="Heading1"/>
      </w:pPr>
      <w:r>
        <w:t>6. Important interpretation and limitations</w:t>
      </w:r>
    </w:p>
    <w:p>
      <w:pPr>
        <w:pStyle w:val="ListBullet"/>
      </w:pPr>
      <w:r>
        <w:t>BS_TOT_ASSET is book total assets and is not the Merton market asset value V. Book assets can remain unchanged while V changes every trading day.</w:t>
      </w:r>
    </w:p>
    <w:p>
      <w:pPr>
        <w:pStyle w:val="ListBullet"/>
      </w:pPr>
      <w:r>
        <w:t>δ = 0.50 is an explicit modelling assumption in this packaged version. NUS-CRI production uses a sector/economy calibration and smoothing process for δ; the supplied Vanke workbook does not contain enough cross-sectional information to reproduce that production parameter exactly.</w:t>
      </w:r>
    </w:p>
    <w:p>
      <w:pPr>
        <w:pStyle w:val="ListBullet"/>
      </w:pPr>
      <w:r>
        <w:t>The published CRI methodology describes a one-year moving window, transformed-data maximum likelihood estimation, and at least 50 valid observations. The code follows that structure, but should be described as “NUS-CRI-methodology-consistent reconstruction”, not as the proprietary production engine.</w:t>
      </w:r>
    </w:p>
    <w:p>
      <w:pPr>
        <w:pStyle w:val="ListBullet"/>
      </w:pPr>
      <w:r>
        <w:t>The supplied assignment explicitly asks for market capitalization and the HKMA 12-month risk-free rate as incremental daily inputs and permits balance-sheet variables to be carried forward during the extension period.</w:t>
      </w:r>
    </w:p>
    <w:p>
      <w:pPr>
        <w:pStyle w:val="ListBullet"/>
      </w:pPr>
      <w:r>
        <w:t>The code assumes consecutive retained rows are valid trading observations and uses 250 trading days per year for h. If your final data source supplies an explicit valid-trading-day gap/volume flag, replace h with that exact series for closer production fidelity.</w:t>
      </w:r>
    </w:p>
    <w:p>
      <w:pPr>
        <w:pStyle w:val="Heading1"/>
      </w:pPr>
      <w:r>
        <w:t>7. Suggested production checks</w:t>
      </w:r>
    </w:p>
    <w:p>
      <w:pPr>
        <w:pStyle w:val="ListBullet"/>
      </w:pPr>
      <w:r>
        <w:t>New Date must be strictly later than the latest stored Date.</w:t>
      </w:r>
    </w:p>
    <w:p>
      <w:pPr>
        <w:pStyle w:val="ListBullet"/>
      </w:pPr>
      <w:r>
        <w:t>Market cap, book assets and default point must be positive.</w:t>
      </w:r>
    </w:p>
    <w:p>
      <w:pPr>
        <w:pStyle w:val="ListBullet"/>
      </w:pPr>
      <w:r>
        <w:t>Risk-free rate must be in a consistent convention; the helper accepts 2.46 as 2.46%.</w:t>
      </w:r>
    </w:p>
    <w:p>
      <w:pPr>
        <w:pStyle w:val="ListBullet"/>
      </w:pPr>
      <w:r>
        <w:t>At least 50 valid observations must exist in the rolling one-year window.</w:t>
      </w:r>
    </w:p>
    <w:p>
      <w:pPr>
        <w:pStyle w:val="ListBullet"/>
      </w:pPr>
      <w:r>
        <w:t>Sigma optimization and V root-solving must converge.</w:t>
      </w:r>
    </w:p>
    <w:p>
      <w:pPr>
        <w:pStyle w:val="ListBullet"/>
      </w:pPr>
      <w:r>
        <w:t>If a new FS arrives, update all relevant balance-sheet fields together and retain source/audit metadata in the upstream pipeline.</w:t>
      </w:r>
    </w:p>
    <w:p>
      <w:pPr>
        <w:pStyle w:val="ListBullet"/>
      </w:pPr>
      <w:r>
        <w:t>Compare unusually large day-on-day DTD or σ changes with market-cap moves and data-source changes before publishing.</w:t>
      </w:r>
    </w:p>
    <w:p>
      <w:pPr>
        <w:pStyle w:val="Heading1"/>
      </w:pPr>
      <w:r>
        <w:t>8. Files to insert into your project</w:t>
      </w:r>
    </w:p>
    <w:p>
      <w:r>
        <w:t>dtd_calculator.py — self-contained calculation module. Keep this file separate from your market-data and HKMA ingestion code. Your main pipeline only needs to import process_new_day() or the lower-level functions if you want more control.</w:t>
      </w:r>
    </w:p>
    <w:p>
      <w:r>
        <w:t>DTD_Calculation_Module_Guide.docx — this implementation note. It documents the calculation boundary, equations, daily workflow, assumptions and limitations for reviewers.</w:t>
      </w:r>
    </w:p>
    <w:p>
      <w:pPr>
        <w:pStyle w:val="Heading1"/>
      </w:pPr>
      <w:r>
        <w:t>9. Methodology references</w:t>
      </w:r>
    </w:p>
    <w:p>
      <w:r>
        <w:t>NUS Credit Research Initiative, Technical Report Version 2023 Update 1: https://d.nuscri.org/static/pdf/Technicalreport_2023.pdf</w:t>
      </w:r>
    </w:p>
    <w:p>
      <w:r>
        <w:t>NUS-CRI Technical Documents index: https://nuscri.org/en/technical_document/</w:t>
      </w:r>
    </w:p>
    <w:p>
      <w:r>
        <w:t>Assignment source: Designing a Production-Oriented DTD Pipeline (provided with the case).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65F9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