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p>
    <w:tbl>
      <w:tblPr>
        <w:tblW w:w="4987" w:type="pct"/>
        <w:jc w:val="center"/>
        <w:tblBorders>
          <w:insideV w:val="single" w:color="ed7d31" w:themeColor="accent2" w:sz="12" w:space="0"/>
        </w:tblBorders>
        <w:tblLayout w:type="fixed"/>
        <w:tblCellMar>
          <w:left w:w="360" w:type="dxa"/>
          <w:top w:w="1296" w:type="dxa"/>
          <w:right w:w="360" w:type="dxa"/>
          <w:bottom w:w="1296" w:type="dxa"/>
        </w:tblCellMar>
        <w:tblLook w:val="04A0" w:firstRow="1" w:lastRow="0" w:firstColumn="1" w:lastColumn="0" w:noHBand="0" w:noVBand="1"/>
      </w:tblPr>
      <w:tblGrid>
        <w:gridCol w:w="4389"/>
        <w:gridCol w:w="4093"/>
      </w:tblGrid>
      <w:tr>
        <w:trPr>
          <w:jc w:val="center"/>
        </w:trPr>
        <w:tc>
          <w:tcPr>
            <w:tcBorders/>
            <w:tcW w:w="2587" w:type="pct"/>
            <w:vAlign w:val="center"/>
            <w:textDirection w:val="lrTb"/>
            <w:noWrap w:val="false"/>
          </w:tcPr>
          <w:p>
            <w:pPr>
              <w:pBdr/>
              <w:spacing/>
              <w:ind/>
              <w:rPr/>
            </w:pPr>
            <w:r/>
            <w:r/>
          </w:p>
          <w:p>
            <w:pPr>
              <w:pBdr/>
              <w:spacing/>
              <w:ind/>
              <w:jc w:val="right"/>
              <w:rPr>
                <w:rFonts w:eastAsiaTheme="minorEastAsia"/>
                <w:caps/>
                <w:color w:val="191919" w:themeColor="text1" w:themeTint="E6"/>
                <w:sz w:val="44"/>
                <w:szCs w:val="44"/>
                <w:lang w:eastAsia="es-MX"/>
              </w:rPr>
            </w:pPr>
            <w:r>
              <w:rPr>
                <w:rFonts w:eastAsiaTheme="minorEastAsia"/>
                <w:caps/>
                <w:color w:val="191919" w:themeColor="text1" w:themeTint="E6"/>
                <w:sz w:val="44"/>
                <w:szCs w:val="44"/>
                <w:lang w:eastAsia="es-MX"/>
              </w:rPr>
            </w:r>
            <w:r>
              <w:rPr>
                <w:rFonts w:eastAsiaTheme="minorEastAsia"/>
                <w:caps/>
                <w:color w:val="191919" w:themeColor="text1" w:themeTint="E6"/>
                <w:sz w:val="44"/>
                <w:szCs w:val="44"/>
                <w:lang w:eastAsia="es-MX"/>
              </w:rPr>
            </w:r>
            <w:r>
              <w:rPr>
                <w:rFonts w:eastAsiaTheme="minorEastAsia"/>
                <w:caps/>
                <w:color w:val="191919" w:themeColor="text1" w:themeTint="E6"/>
                <w:sz w:val="44"/>
                <w:szCs w:val="44"/>
                <w:lang w:eastAsia="es-MX"/>
              </w:rPr>
            </w:r>
          </w:p>
          <w:p>
            <w:pPr>
              <w:pBdr/>
              <w:spacing/>
              <w:ind/>
              <w:jc w:val="right"/>
              <w:rPr>
                <w:rFonts w:ascii="Times New Roman" w:hAnsi="Times New Roman" w:cs="Times New Roman" w:eastAsiaTheme="minorEastAsia"/>
                <w:i/>
                <w:iCs/>
                <w:caps/>
                <w:color w:val="191919" w:themeColor="text1" w:themeTint="E6"/>
                <w:sz w:val="36"/>
                <w:szCs w:val="36"/>
                <w:lang w:eastAsia="es-MX"/>
              </w:rPr>
            </w:pPr>
            <w:r>
              <w:rPr>
                <w:rFonts w:ascii="Times New Roman" w:hAnsi="Times New Roman" w:cs="Times New Roman" w:eastAsiaTheme="minorEastAsia"/>
                <w:i/>
                <w:iCs/>
                <w:caps/>
                <w:color w:val="191919"/>
                <w:sz w:val="36"/>
                <w:szCs w:val="36"/>
                <w:lang w:eastAsia="es-MX"/>
              </w:rPr>
              <w:t xml:space="preserve">Ingeniería</w:t>
            </w:r>
            <w:r>
              <w:rPr>
                <w:rFonts w:ascii="Times New Roman" w:hAnsi="Times New Roman" w:cs="Times New Roman" w:eastAsiaTheme="minorEastAsia"/>
                <w:i/>
                <w:iCs/>
                <w:caps/>
                <w:color w:val="191919"/>
                <w:sz w:val="36"/>
                <w:szCs w:val="36"/>
                <w:lang w:eastAsia="es-MX"/>
              </w:rPr>
              <w:t xml:space="preserve"> en tecnolog</w:t>
            </w:r>
            <w:r>
              <w:rPr>
                <w:rFonts w:ascii="Times New Roman" w:hAnsi="Times New Roman" w:cs="Times New Roman" w:eastAsiaTheme="minorEastAsia"/>
                <w:i/>
                <w:iCs/>
                <w:caps/>
                <w:color w:val="191919"/>
                <w:sz w:val="36"/>
                <w:szCs w:val="36"/>
                <w:lang w:eastAsia="es-MX"/>
              </w:rPr>
              <w:t xml:space="preserve">í</w:t>
            </w:r>
            <w:r>
              <w:rPr>
                <w:rFonts w:ascii="Times New Roman" w:hAnsi="Times New Roman" w:cs="Times New Roman" w:eastAsiaTheme="minorEastAsia"/>
                <w:i/>
                <w:iCs/>
                <w:caps/>
                <w:color w:val="191919"/>
                <w:sz w:val="36"/>
                <w:szCs w:val="36"/>
                <w:lang w:eastAsia="es-MX"/>
              </w:rPr>
              <w:t xml:space="preserve">as de la información</w:t>
            </w:r>
            <w:r>
              <w:rPr>
                <w:rFonts w:ascii="Times New Roman" w:hAnsi="Times New Roman" w:cs="Times New Roman" w:eastAsiaTheme="minorEastAsia"/>
                <w:i/>
                <w:iCs/>
                <w:caps/>
                <w:color w:val="191919"/>
                <w:sz w:val="36"/>
                <w:szCs w:val="36"/>
                <w:lang w:eastAsia="es-MX"/>
              </w:rPr>
              <w:t xml:space="preserve"> y comunicación</w:t>
            </w:r>
            <w:r>
              <w:rPr>
                <w:rFonts w:ascii="Times New Roman" w:hAnsi="Times New Roman" w:cs="Times New Roman" w:eastAsiaTheme="minorEastAsia"/>
                <w:i/>
                <w:iCs/>
                <w:caps/>
                <w:color w:val="191919" w:themeColor="text1" w:themeTint="E6"/>
                <w:sz w:val="36"/>
                <w:szCs w:val="36"/>
                <w:lang w:eastAsia="es-MX"/>
              </w:rPr>
            </w:r>
            <w:r>
              <w:rPr>
                <w:rFonts w:ascii="Times New Roman" w:hAnsi="Times New Roman" w:cs="Times New Roman" w:eastAsiaTheme="minorEastAsia"/>
                <w:i/>
                <w:iCs/>
                <w:caps/>
                <w:color w:val="191919" w:themeColor="text1" w:themeTint="E6"/>
                <w:sz w:val="36"/>
                <w:szCs w:val="36"/>
                <w:lang w:eastAsia="es-MX"/>
              </w:rPr>
            </w:r>
          </w:p>
          <w:p>
            <w:pPr>
              <w:pBdr/>
              <w:spacing/>
              <w:ind/>
              <w:jc w:val="right"/>
              <w:rPr>
                <w:rFonts w:eastAsiaTheme="minorEastAsia"/>
                <w:caps/>
                <w:color w:val="191919" w:themeColor="text1" w:themeTint="E6"/>
                <w:sz w:val="32"/>
                <w:szCs w:val="32"/>
                <w:lang w:eastAsia="es-MX"/>
              </w:rPr>
            </w:pPr>
            <w:r>
              <w:rPr>
                <w:rFonts w:eastAsiaTheme="minorEastAsia"/>
                <w:caps/>
                <w:color w:val="191919" w:themeColor="text1" w:themeTint="E6"/>
                <w:sz w:val="32"/>
                <w:szCs w:val="32"/>
                <w:lang w:eastAsia="es-MX"/>
              </w:rPr>
            </w:r>
            <w:r>
              <w:rPr>
                <w:rFonts w:eastAsiaTheme="minorEastAsia"/>
                <w:caps/>
                <w:color w:val="191919" w:themeColor="text1" w:themeTint="E6"/>
                <w:sz w:val="32"/>
                <w:szCs w:val="32"/>
                <w:lang w:eastAsia="es-MX"/>
              </w:rPr>
            </w:r>
            <w:r>
              <w:rPr>
                <w:rFonts w:eastAsiaTheme="minorEastAsia"/>
                <w:caps/>
                <w:color w:val="191919" w:themeColor="text1" w:themeTint="E6"/>
                <w:sz w:val="32"/>
                <w:szCs w:val="32"/>
                <w:lang w:eastAsia="es-MX"/>
              </w:rPr>
            </w:r>
          </w:p>
          <w:p>
            <w:pPr>
              <w:pBdr/>
              <w:spacing/>
              <w:ind/>
              <w:jc w:val="right"/>
              <w:rPr>
                <w:rFonts w:eastAsiaTheme="minorEastAsia"/>
                <w:i/>
                <w:iCs/>
                <w:caps/>
                <w:color w:val="1f4e79" w:themeColor="accent5" w:themeShade="80"/>
                <w:sz w:val="32"/>
                <w:szCs w:val="32"/>
                <w:lang w:eastAsia="es-MX"/>
              </w:rPr>
            </w:pPr>
            <w:r>
              <w:rPr>
                <w:rFonts w:eastAsiaTheme="minorEastAsia"/>
                <w:i/>
                <w:iCs/>
                <w:caps/>
                <w:color w:val="1f4e79" w:themeColor="accent5" w:themeShade="80"/>
                <w:sz w:val="32"/>
                <w:szCs w:val="32"/>
                <w:lang w:eastAsia="es-MX"/>
              </w:rPr>
              <w:t xml:space="preserve">Auditoría</w:t>
            </w:r>
            <w:r>
              <w:rPr>
                <w:rFonts w:eastAsiaTheme="minorEastAsia"/>
                <w:i/>
                <w:iCs/>
                <w:caps/>
                <w:color w:val="1f4e79" w:themeColor="accent5" w:themeShade="80"/>
                <w:sz w:val="32"/>
                <w:szCs w:val="32"/>
                <w:lang w:eastAsia="es-MX"/>
              </w:rPr>
              <w:t xml:space="preserve"> EN </w:t>
            </w:r>
            <w:r>
              <w:rPr>
                <w:rFonts w:eastAsiaTheme="minorEastAsia"/>
                <w:i/>
                <w:iCs/>
                <w:caps/>
                <w:color w:val="1f4e79" w:themeColor="accent5" w:themeShade="80"/>
                <w:sz w:val="32"/>
                <w:szCs w:val="32"/>
                <w:lang w:eastAsia="es-MX"/>
              </w:rPr>
              <w:t xml:space="preserve">Tecnologías</w:t>
            </w:r>
            <w:r>
              <w:rPr>
                <w:rFonts w:eastAsiaTheme="minorEastAsia"/>
                <w:i/>
                <w:iCs/>
                <w:caps/>
                <w:color w:val="1f4e79" w:themeColor="accent5" w:themeShade="80"/>
                <w:sz w:val="32"/>
                <w:szCs w:val="32"/>
                <w:lang w:eastAsia="es-MX"/>
              </w:rPr>
              <w:t xml:space="preserve"> DE </w:t>
            </w:r>
            <w:r>
              <w:rPr>
                <w:rFonts w:eastAsiaTheme="minorEastAsia"/>
                <w:i/>
                <w:iCs/>
                <w:caps/>
                <w:color w:val="1f4e79" w:themeColor="accent5" w:themeShade="80"/>
                <w:sz w:val="32"/>
                <w:szCs w:val="32"/>
                <w:lang w:eastAsia="es-MX"/>
              </w:rPr>
              <w:t xml:space="preserve">la </w:t>
            </w:r>
            <w:r>
              <w:rPr>
                <w:rFonts w:eastAsiaTheme="minorEastAsia"/>
                <w:i/>
                <w:iCs/>
                <w:caps/>
                <w:color w:val="1f4e79" w:themeColor="accent5" w:themeShade="80"/>
                <w:sz w:val="32"/>
                <w:szCs w:val="32"/>
                <w:lang w:eastAsia="es-MX"/>
              </w:rPr>
              <w:t xml:space="preserve">Información</w:t>
            </w:r>
            <w:r>
              <w:rPr>
                <w:rFonts w:eastAsiaTheme="minorEastAsia"/>
                <w:i/>
                <w:iCs/>
                <w:caps/>
                <w:color w:val="1f4e79" w:themeColor="accent5" w:themeShade="80"/>
                <w:sz w:val="32"/>
                <w:szCs w:val="32"/>
                <w:lang w:eastAsia="es-MX"/>
              </w:rPr>
            </w:r>
            <w:r>
              <w:rPr>
                <w:rFonts w:eastAsiaTheme="minorEastAsia"/>
                <w:i/>
                <w:iCs/>
                <w:caps/>
                <w:color w:val="1f4e79" w:themeColor="accent5" w:themeShade="80"/>
                <w:sz w:val="32"/>
                <w:szCs w:val="32"/>
                <w:lang w:eastAsia="es-MX"/>
              </w:rPr>
            </w:r>
          </w:p>
          <w:p>
            <w:pPr>
              <w:pBdr/>
              <w:spacing/>
              <w:ind/>
              <w:jc w:val="right"/>
              <w:rPr>
                <w:rFonts w:eastAsiaTheme="minorEastAsia"/>
                <w:caps/>
                <w:color w:val="191919" w:themeColor="text1" w:themeTint="E6"/>
                <w:sz w:val="24"/>
                <w:szCs w:val="24"/>
                <w:lang w:eastAsia="es-MX"/>
              </w:rPr>
            </w:pPr>
            <w:r>
              <w:rPr>
                <w:rFonts w:eastAsiaTheme="minorEastAsia"/>
                <w:caps/>
                <w:color w:val="191919" w:themeColor="text1" w:themeTint="E6"/>
                <w:sz w:val="24"/>
                <w:szCs w:val="24"/>
                <w:lang w:eastAsia="es-MX"/>
              </w:rPr>
              <w:t xml:space="preserve">unidad 1</w:t>
            </w:r>
            <w:r>
              <w:rPr>
                <w:rFonts w:eastAsiaTheme="minorEastAsia"/>
                <w:caps/>
                <w:color w:val="191919" w:themeColor="text1" w:themeTint="E6"/>
                <w:sz w:val="24"/>
                <w:szCs w:val="24"/>
                <w:lang w:eastAsia="es-MX"/>
              </w:rPr>
              <w:t xml:space="preserve">:</w:t>
            </w:r>
            <w:r>
              <w:rPr>
                <w:rFonts w:eastAsiaTheme="minorEastAsia"/>
                <w:caps/>
                <w:color w:val="191919" w:themeColor="text1" w:themeTint="E6"/>
                <w:sz w:val="24"/>
                <w:szCs w:val="24"/>
                <w:lang w:eastAsia="es-MX"/>
              </w:rPr>
            </w:r>
            <w:r>
              <w:rPr>
                <w:rFonts w:eastAsiaTheme="minorEastAsia"/>
                <w:caps/>
                <w:color w:val="191919" w:themeColor="text1" w:themeTint="E6"/>
                <w:sz w:val="24"/>
                <w:szCs w:val="24"/>
                <w:lang w:eastAsia="es-MX"/>
              </w:rPr>
            </w:r>
          </w:p>
          <w:p>
            <w:pPr>
              <w:pBdr/>
              <w:spacing/>
              <w:ind/>
              <w:jc w:val="right"/>
              <w:rPr>
                <w:rFonts w:eastAsiaTheme="minorEastAsia"/>
                <w:caps/>
                <w:color w:val="191919" w:themeColor="text1" w:themeTint="E6"/>
                <w:sz w:val="24"/>
                <w:szCs w:val="24"/>
                <w:lang w:eastAsia="es-MX"/>
              </w:rPr>
            </w:pPr>
            <w:r>
              <w:rPr>
                <w:rFonts w:eastAsiaTheme="minorEastAsia"/>
                <w:i/>
                <w:iCs/>
                <w:caps/>
                <w:color w:val="1f4e79" w:themeColor="accent5" w:themeShade="80"/>
                <w:sz w:val="32"/>
                <w:szCs w:val="32"/>
                <w:lang w:eastAsia="es-MX"/>
              </w:rPr>
              <w:t xml:space="preserve">El marco jurídico de la auditoría informática</w:t>
            </w:r>
            <w:r>
              <w:t xml:space="preserve"> </w:t>
            </w:r>
            <w:r>
              <w:rPr>
                <w:rFonts w:eastAsiaTheme="minorEastAsia"/>
                <w:caps/>
                <w:color w:val="191919" w:themeColor="text1" w:themeTint="E6"/>
                <w:sz w:val="24"/>
                <w:szCs w:val="24"/>
                <w:lang w:eastAsia="es-MX"/>
              </w:rPr>
            </w:r>
            <w:r>
              <w:rPr>
                <w:rFonts w:eastAsiaTheme="minorEastAsia"/>
                <w:caps/>
                <w:color w:val="191919" w:themeColor="text1" w:themeTint="E6"/>
                <w:sz w:val="24"/>
                <w:szCs w:val="24"/>
                <w:lang w:eastAsia="es-MX"/>
              </w:rPr>
            </w:r>
          </w:p>
          <w:p>
            <w:pPr>
              <w:pBdr/>
              <w:spacing/>
              <w:ind/>
              <w:jc w:val="right"/>
              <w:rPr>
                <w:rFonts w:eastAsiaTheme="minorEastAsia"/>
                <w:caps/>
                <w:color w:val="191919" w:themeColor="text1" w:themeTint="E6"/>
                <w:sz w:val="24"/>
                <w:szCs w:val="24"/>
                <w:lang w:eastAsia="es-MX"/>
              </w:rPr>
            </w:pPr>
            <w:r>
              <w:rPr>
                <w:rFonts w:eastAsiaTheme="minorEastAsia"/>
                <w:caps/>
                <w:color w:val="191919" w:themeColor="text1" w:themeTint="E6"/>
                <w:sz w:val="24"/>
                <w:szCs w:val="24"/>
                <w:lang w:eastAsia="es-MX"/>
              </w:rPr>
              <w:t xml:space="preserve">Tema </w:t>
            </w:r>
            <w:r>
              <w:rPr>
                <w:rFonts w:eastAsiaTheme="minorEastAsia"/>
                <w:caps/>
                <w:color w:val="191919" w:themeColor="text1" w:themeTint="E6"/>
                <w:sz w:val="24"/>
                <w:szCs w:val="24"/>
                <w:lang w:eastAsia="es-MX"/>
              </w:rPr>
              <w:t xml:space="preserve">4</w:t>
            </w:r>
            <w:r>
              <w:rPr>
                <w:rFonts w:eastAsiaTheme="minorEastAsia"/>
                <w:caps/>
                <w:color w:val="191919" w:themeColor="text1" w:themeTint="E6"/>
                <w:sz w:val="24"/>
                <w:szCs w:val="24"/>
                <w:lang w:eastAsia="es-MX"/>
              </w:rPr>
              <w:t xml:space="preserve">:</w:t>
            </w:r>
            <w:r>
              <w:rPr>
                <w:rFonts w:eastAsiaTheme="minorEastAsia"/>
                <w:caps/>
                <w:color w:val="191919" w:themeColor="text1" w:themeTint="E6"/>
                <w:sz w:val="24"/>
                <w:szCs w:val="24"/>
                <w:lang w:eastAsia="es-MX"/>
              </w:rPr>
            </w:r>
            <w:r>
              <w:rPr>
                <w:rFonts w:eastAsiaTheme="minorEastAsia"/>
                <w:caps/>
                <w:color w:val="191919" w:themeColor="text1" w:themeTint="E6"/>
                <w:sz w:val="24"/>
                <w:szCs w:val="24"/>
                <w:lang w:eastAsia="es-MX"/>
              </w:rPr>
            </w:r>
          </w:p>
          <w:p>
            <w:pPr>
              <w:pBdr/>
              <w:spacing/>
              <w:ind/>
              <w:jc w:val="right"/>
              <w:rPr>
                <w:b/>
                <w:bCs/>
                <w:sz w:val="24"/>
                <w:szCs w:val="24"/>
              </w:rPr>
            </w:pPr>
            <w:r>
              <w:rPr>
                <w:rFonts w:eastAsiaTheme="minorEastAsia"/>
                <w:i/>
                <w:iCs/>
                <w:caps/>
                <w:color w:val="1f4e79" w:themeColor="accent5" w:themeShade="80"/>
                <w:sz w:val="32"/>
                <w:szCs w:val="32"/>
                <w:lang w:eastAsia="es-MX"/>
              </w:rPr>
              <w:t xml:space="preserve">Leyes que regulan las Tecnologías de la Información y casos reales de problemas legales de la auditoría</w:t>
            </w:r>
            <w:r>
              <w:rPr>
                <w:rFonts w:eastAsiaTheme="minorEastAsia"/>
                <w:i/>
                <w:iCs/>
                <w:caps/>
                <w:color w:val="1f4e79" w:themeColor="accent5" w:themeShade="80"/>
                <w:sz w:val="32"/>
                <w:szCs w:val="32"/>
                <w:lang w:eastAsia="es-MX"/>
              </w:rPr>
            </w:r>
            <w:r>
              <w:rPr>
                <w:b/>
                <w:bCs/>
                <w:sz w:val="24"/>
                <w:szCs w:val="24"/>
              </w:rPr>
            </w:r>
            <w:r>
              <w:rPr>
                <w:b/>
                <w:bCs/>
                <w:sz w:val="24"/>
                <w:szCs w:val="24"/>
              </w:rPr>
            </w:r>
          </w:p>
        </w:tc>
        <w:tc>
          <w:tcPr>
            <w:tcBorders/>
            <w:tcW w:w="2413" w:type="pct"/>
            <w:vAlign w:val="center"/>
            <w:textDirection w:val="lrTb"/>
            <w:noWrap w:val="false"/>
          </w:tcPr>
          <w:p>
            <w:pPr>
              <w:pStyle w:val="946"/>
              <w:pBdr/>
              <w:spacing/>
              <w:ind/>
              <w:rPr>
                <w:caps/>
                <w:color w:val="000000" w:themeColor="text1"/>
                <w:sz w:val="26"/>
                <w:szCs w:val="26"/>
              </w:rPr>
            </w:pPr>
            <w:r>
              <w:rPr>
                <w:caps/>
                <w:color w:val="000000" w:themeColor="text1"/>
                <w:sz w:val="26"/>
                <w:szCs w:val="26"/>
              </w:rPr>
            </w:r>
            <w:r>
              <w:rPr>
                <w:caps/>
                <w:color w:val="000000" w:themeColor="text1"/>
                <w:sz w:val="26"/>
                <w:szCs w:val="26"/>
              </w:rPr>
            </w:r>
            <w:r>
              <w:rPr>
                <w:caps/>
                <w:color w:val="000000" w:themeColor="text1"/>
                <w:sz w:val="26"/>
                <w:szCs w:val="26"/>
              </w:rPr>
            </w:r>
          </w:p>
          <w:p>
            <w:pPr>
              <w:pStyle w:val="946"/>
              <w:pBdr/>
              <w:spacing/>
              <w:ind/>
              <w:rPr>
                <w:caps/>
                <w:color w:val="000000" w:themeColor="text1"/>
                <w:sz w:val="26"/>
                <w:szCs w:val="26"/>
              </w:rPr>
            </w:pPr>
            <w:r>
              <w:rPr>
                <w:caps/>
                <w:color w:val="000000" w:themeColor="text1"/>
                <w:sz w:val="26"/>
                <w:szCs w:val="26"/>
              </w:rPr>
            </w:r>
            <w:r>
              <w:rPr>
                <w:caps/>
                <w:color w:val="000000" w:themeColor="text1"/>
                <w:sz w:val="26"/>
                <w:szCs w:val="26"/>
              </w:rPr>
            </w:r>
            <w:r>
              <w:rPr>
                <w:caps/>
                <w:color w:val="000000" w:themeColor="text1"/>
                <w:sz w:val="26"/>
                <w:szCs w:val="26"/>
              </w:rPr>
            </w:r>
          </w:p>
          <w:p>
            <w:pPr>
              <w:pStyle w:val="946"/>
              <w:pBdr/>
              <w:spacing/>
              <w:ind/>
              <w:jc w:val="center"/>
              <w:rPr>
                <w:caps/>
                <w:color w:val="000000" w:themeColor="text1"/>
                <w:sz w:val="26"/>
                <w:szCs w:val="26"/>
              </w:rPr>
            </w:pPr>
            <w:r>
              <w:rPr>
                <w:caps/>
                <w:color w:val="000000" w:themeColor="text1"/>
                <w:sz w:val="26"/>
                <w:szCs w:val="26"/>
              </w:rPr>
            </w:r>
            <w:r>
              <w:rPr>
                <w:caps/>
                <w:color w:val="000000" w:themeColor="text1"/>
                <w:sz w:val="26"/>
                <w:szCs w:val="26"/>
              </w:rPr>
            </w:r>
            <w:r>
              <w:rPr>
                <w:caps/>
                <w:color w:val="000000" w:themeColor="text1"/>
                <w:sz w:val="26"/>
                <w:szCs w:val="26"/>
              </w:rPr>
            </w:r>
          </w:p>
          <w:sdt>
            <w:sdtPr>
              <w:alias w:val="Descripción breve"/>
              <w15:appearance w15:val="boundingBox"/>
              <w:id w:val="558449009"/>
              <w:dataBinding w:prefixMappings="xmlns:ns0='http://schemas.microsoft.com/office/2006/coverPageProps' " w:xpath="/ns0:CoverPageProperties[1]/ns0:Abstract[1]" w:storeItemID="{55AF091B-3C7A-41E3-B477-F2FDAA23CFDA}"/>
              <w:tag w:val=""/>
              <w:rPr>
                <w:color w:val="c45911" w:themeColor="accent2" w:themeShade="BF"/>
                <w:sz w:val="28"/>
                <w:szCs w:val="28"/>
              </w:rPr>
            </w:sdtPr>
            <w:sdtContent>
              <w:p>
                <w:pPr>
                  <w:pBdr/>
                  <w:spacing/>
                  <w:ind/>
                  <w:rPr/>
                </w:pPr>
                <w:r/>
              </w:p>
            </w:sdtContent>
          </w:sdt>
          <w:sdt>
            <w:sdtPr>
              <w:alias w:val="Autor"/>
              <w15:appearance w15:val="boundingBox"/>
              <w:id w:val="-472453804"/>
              <w:dataBinding w:prefixMappings="xmlns:ns0='http://purl.org/dc/elements/1.1/' xmlns:ns1='http://schemas.openxmlformats.org/package/2006/metadata/core-properties' " w:xpath="/ns1:coreProperties[1]/ns0:creator[1]" w:storeItemID="{6C3C8BC8-F283-45AE-878A-BAB7291924A1}"/>
              <w:tag w:val=""/>
              <w:rPr>
                <w:color w:val="44546a" w:themeColor="text2"/>
                <w:sz w:val="36"/>
                <w:szCs w:val="36"/>
              </w:rPr>
            </w:sdtPr>
            <w:sdtContent>
              <w:p>
                <w:pPr>
                  <w:pStyle w:val="946"/>
                  <w:pBdr/>
                  <w:spacing/>
                  <w:ind/>
                  <w:rPr>
                    <w:color w:val="44546a" w:themeColor="text2"/>
                    <w:sz w:val="28"/>
                    <w:szCs w:val="28"/>
                  </w:rPr>
                </w:pPr>
                <w:r>
                  <w:rPr>
                    <w:color w:val="44546a" w:themeColor="text2"/>
                    <w:sz w:val="36"/>
                    <w:szCs w:val="36"/>
                  </w:rPr>
                  <w:t xml:space="preserve">L</w:t>
                </w:r>
                <w:r>
                  <w:rPr>
                    <w:color w:val="44546a" w:themeColor="text2"/>
                    <w:sz w:val="36"/>
                    <w:szCs w:val="36"/>
                  </w:rPr>
                  <w:t xml:space="preserve">ic</w:t>
                </w:r>
                <w:r>
                  <w:rPr>
                    <w:color w:val="44546a" w:themeColor="text2"/>
                    <w:sz w:val="36"/>
                    <w:szCs w:val="36"/>
                  </w:rPr>
                  <w:t xml:space="preserve">. </w:t>
                </w:r>
                <w:r>
                  <w:rPr>
                    <w:color w:val="44546a" w:themeColor="text2"/>
                    <w:sz w:val="36"/>
                    <w:szCs w:val="36"/>
                  </w:rPr>
                  <w:t xml:space="preserve">Juan Carlos Sánchez Gaytán</w:t>
                </w:r>
                <w:r>
                  <w:rPr>
                    <w:color w:val="44546a" w:themeColor="text2"/>
                    <w:sz w:val="28"/>
                    <w:szCs w:val="28"/>
                  </w:rPr>
                </w:r>
                <w:r>
                  <w:rPr>
                    <w:color w:val="44546a" w:themeColor="text2"/>
                    <w:sz w:val="28"/>
                    <w:szCs w:val="28"/>
                  </w:rPr>
                </w:r>
              </w:p>
            </w:sdtContent>
          </w:sdt>
          <w:p>
            <w:pPr>
              <w:pStyle w:val="946"/>
              <w:pBdr/>
              <w:spacing/>
              <w:ind/>
              <w:rPr>
                <w:color w:val="44546a" w:themeColor="text2"/>
                <w:sz w:val="28"/>
                <w:szCs w:val="28"/>
              </w:rPr>
            </w:pPr>
            <w:r>
              <w:rPr>
                <w:color w:val="44546a" w:themeColor="text2"/>
                <w:sz w:val="28"/>
                <w:szCs w:val="28"/>
              </w:rPr>
            </w:r>
            <w:r>
              <w:rPr>
                <w:color w:val="44546a" w:themeColor="text2"/>
                <w:sz w:val="28"/>
                <w:szCs w:val="28"/>
              </w:rPr>
            </w:r>
            <w:r>
              <w:rPr>
                <w:color w:val="44546a" w:themeColor="text2"/>
                <w:sz w:val="28"/>
                <w:szCs w:val="28"/>
              </w:rPr>
            </w:r>
          </w:p>
          <w:p>
            <w:pPr>
              <w:pStyle w:val="946"/>
              <w:pBdr/>
              <w:spacing/>
              <w:ind/>
              <w:rPr>
                <w:color w:val="44546a" w:themeColor="text2"/>
                <w:sz w:val="28"/>
                <w:szCs w:val="28"/>
              </w:rPr>
            </w:pPr>
            <w:r>
              <w:rPr>
                <w:color w:val="44546a" w:themeColor="text2"/>
                <w:sz w:val="28"/>
                <w:szCs w:val="28"/>
              </w:rPr>
            </w:r>
            <w:r>
              <w:rPr>
                <w:color w:val="44546a" w:themeColor="text2"/>
                <w:sz w:val="28"/>
                <w:szCs w:val="28"/>
              </w:rPr>
            </w:r>
            <w:r>
              <w:rPr>
                <w:color w:val="44546a" w:themeColor="text2"/>
                <w:sz w:val="28"/>
                <w:szCs w:val="28"/>
              </w:rPr>
            </w:r>
          </w:p>
          <w:p>
            <w:pPr>
              <w:pStyle w:val="946"/>
              <w:pBdr/>
              <w:spacing/>
              <w:ind/>
              <w:rPr>
                <w:color w:val="c45911" w:themeColor="accent2" w:themeShade="BF"/>
                <w:sz w:val="28"/>
                <w:szCs w:val="28"/>
              </w:rPr>
            </w:pPr>
            <w:r>
              <w:rPr>
                <w:color w:val="c45911" w:themeColor="accent2" w:themeShade="BF"/>
                <w:sz w:val="28"/>
                <w:szCs w:val="28"/>
              </w:rPr>
              <w:t xml:space="preserve">Participante</w:t>
            </w:r>
            <w:r>
              <w:rPr>
                <w:color w:val="c45911" w:themeColor="accent2" w:themeShade="BF"/>
                <w:sz w:val="28"/>
                <w:szCs w:val="28"/>
              </w:rPr>
              <w:t xml:space="preserve">:</w:t>
            </w:r>
            <w:r>
              <w:rPr>
                <w:color w:val="c45911" w:themeColor="accent2" w:themeShade="BF"/>
                <w:sz w:val="28"/>
                <w:szCs w:val="28"/>
              </w:rPr>
            </w:r>
            <w:r>
              <w:rPr>
                <w:color w:val="c45911" w:themeColor="accent2" w:themeShade="BF"/>
                <w:sz w:val="28"/>
                <w:szCs w:val="28"/>
              </w:rPr>
            </w:r>
          </w:p>
          <w:p>
            <w:pPr>
              <w:pStyle w:val="946"/>
              <w:pBdr/>
              <w:spacing/>
              <w:ind/>
              <w:rPr>
                <w:color w:val="ff0000"/>
                <w:sz w:val="28"/>
                <w:szCs w:val="28"/>
              </w:rPr>
            </w:pPr>
            <w:r>
              <w:rPr>
                <w:color w:val="ff0000"/>
                <w:sz w:val="28"/>
                <w:szCs w:val="28"/>
              </w:rPr>
              <w:t xml:space="preserve">Flores Zavala Jesús Uriel</w:t>
            </w:r>
            <w:r>
              <w:rPr>
                <w:color w:val="ff0000"/>
                <w:sz w:val="28"/>
                <w:szCs w:val="28"/>
              </w:rPr>
            </w:r>
            <w:r>
              <w:rPr>
                <w:color w:val="ff0000"/>
                <w:sz w:val="28"/>
                <w:szCs w:val="28"/>
              </w:rPr>
            </w:r>
          </w:p>
          <w:p>
            <w:pPr>
              <w:pStyle w:val="946"/>
              <w:pBdr/>
              <w:spacing/>
              <w:ind/>
              <w:rPr>
                <w:color w:val="44546a" w:themeColor="text2"/>
                <w:sz w:val="24"/>
                <w:szCs w:val="24"/>
              </w:rPr>
            </w:pPr>
            <w:r>
              <w:rPr>
                <w:color w:val="c45911" w:themeColor="accent2" w:themeShade="BF"/>
                <w:sz w:val="24"/>
                <w:szCs w:val="24"/>
              </w:rPr>
              <w:t xml:space="preserve">Semestre:    </w:t>
            </w:r>
            <w:r>
              <w:rPr>
                <w:color w:val="c45911" w:themeColor="accent2" w:themeShade="BF"/>
                <w:sz w:val="24"/>
                <w:szCs w:val="24"/>
              </w:rPr>
              <w:t xml:space="preserve">08</w:t>
            </w:r>
            <w:r>
              <w:rPr>
                <w:color w:val="44546a" w:themeColor="text2"/>
                <w:sz w:val="24"/>
                <w:szCs w:val="24"/>
              </w:rPr>
            </w:r>
            <w:r>
              <w:rPr>
                <w:color w:val="44546a" w:themeColor="text2"/>
                <w:sz w:val="24"/>
                <w:szCs w:val="24"/>
              </w:rPr>
            </w:r>
          </w:p>
          <w:p>
            <w:pPr>
              <w:pStyle w:val="946"/>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46"/>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46"/>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46"/>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46"/>
              <w:pBdr/>
              <w:spacing/>
              <w:ind/>
              <w:rPr>
                <w:color w:val="44546a" w:themeColor="text2"/>
                <w:sz w:val="28"/>
                <w:szCs w:val="28"/>
              </w:rPr>
            </w:pPr>
            <w:r>
              <w:rPr>
                <w:color w:val="44546a" w:themeColor="text2"/>
                <w:sz w:val="28"/>
                <w:szCs w:val="28"/>
              </w:rPr>
            </w:r>
            <w:r>
              <w:rPr>
                <w:color w:val="44546a" w:themeColor="text2"/>
                <w:sz w:val="28"/>
                <w:szCs w:val="28"/>
              </w:rPr>
            </w:r>
            <w:r>
              <w:rPr>
                <w:color w:val="44546a" w:themeColor="text2"/>
                <w:sz w:val="28"/>
                <w:szCs w:val="28"/>
              </w:rPr>
            </w:r>
          </w:p>
          <w:p>
            <w:pPr>
              <w:pStyle w:val="946"/>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46"/>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46"/>
              <w:pBdr/>
              <w:spacing/>
              <w:ind/>
              <w:rPr>
                <w:color w:val="c45911" w:themeColor="accent2" w:themeShade="BF"/>
                <w:sz w:val="24"/>
                <w:szCs w:val="24"/>
              </w:rPr>
            </w:pPr>
            <w:r>
              <w:rPr>
                <w:color w:val="c45911" w:themeColor="accent2" w:themeShade="BF"/>
              </w:rPr>
              <w:t xml:space="preserve">Semestre:</w:t>
            </w:r>
            <w:r>
              <w:rPr>
                <w:color w:val="44546a" w:themeColor="text2"/>
                <w:sz w:val="24"/>
                <w:szCs w:val="24"/>
              </w:rPr>
              <w:t xml:space="preserve"> </w:t>
            </w:r>
            <w:r>
              <w:rPr>
                <w:color w:val="44546a" w:themeColor="text2"/>
                <w:sz w:val="24"/>
                <w:szCs w:val="24"/>
              </w:rPr>
              <w:t xml:space="preserve">enero</w:t>
            </w:r>
            <w:r>
              <w:rPr>
                <w:color w:val="44546a" w:themeColor="text2"/>
                <w:sz w:val="24"/>
                <w:szCs w:val="24"/>
              </w:rPr>
              <w:t xml:space="preserve">-</w:t>
            </w:r>
            <w:r>
              <w:rPr>
                <w:color w:val="44546a" w:themeColor="text2"/>
                <w:sz w:val="24"/>
                <w:szCs w:val="24"/>
              </w:rPr>
              <w:t xml:space="preserve">junio</w:t>
            </w:r>
            <w:r>
              <w:rPr>
                <w:color w:val="44546a" w:themeColor="text2"/>
                <w:sz w:val="24"/>
                <w:szCs w:val="24"/>
              </w:rPr>
              <w:t xml:space="preserve"> de 202</w:t>
            </w:r>
            <w:r>
              <w:rPr>
                <w:color w:val="44546a" w:themeColor="text2"/>
                <w:sz w:val="24"/>
                <w:szCs w:val="24"/>
              </w:rPr>
              <w:t xml:space="preserve">5</w:t>
            </w:r>
            <w:r>
              <w:rPr>
                <w:color w:val="c45911" w:themeColor="accent2" w:themeShade="BF"/>
                <w:sz w:val="24"/>
                <w:szCs w:val="24"/>
              </w:rPr>
            </w:r>
            <w:r>
              <w:rPr>
                <w:color w:val="c45911" w:themeColor="accent2" w:themeShade="BF"/>
                <w:sz w:val="24"/>
                <w:szCs w:val="24"/>
              </w:rPr>
            </w:r>
          </w:p>
          <w:p>
            <w:pPr>
              <w:pStyle w:val="946"/>
              <w:pBdr/>
              <w:spacing/>
              <w:ind/>
              <w:rPr>
                <w:color w:val="44546a" w:themeColor="text2"/>
                <w:sz w:val="28"/>
                <w:szCs w:val="28"/>
              </w:rPr>
            </w:pPr>
            <w:r>
              <w:rPr>
                <w:color w:val="44546a" w:themeColor="text2"/>
                <w:sz w:val="28"/>
                <w:szCs w:val="28"/>
              </w:rPr>
            </w:r>
            <w:r>
              <w:rPr>
                <w:color w:val="44546a" w:themeColor="text2"/>
                <w:sz w:val="28"/>
                <w:szCs w:val="28"/>
              </w:rPr>
            </w:r>
            <w:r>
              <w:rPr>
                <w:color w:val="44546a" w:themeColor="text2"/>
                <w:sz w:val="28"/>
                <w:szCs w:val="28"/>
              </w:rPr>
            </w:r>
          </w:p>
          <w:p>
            <w:pPr>
              <w:pStyle w:val="946"/>
              <w:pBdr/>
              <w:spacing/>
              <w:ind w:right="-662"/>
              <w:rPr>
                <w:color w:val="44546a" w:themeColor="text2"/>
              </w:rPr>
            </w:pPr>
            <w:r>
              <w:rPr>
                <w:color w:val="c45911" w:themeColor="accent2" w:themeShade="BF"/>
              </w:rPr>
              <w:t xml:space="preserve">Aguascalientes, </w:t>
            </w:r>
            <w:r>
              <w:rPr>
                <w:color w:val="c45911" w:themeColor="accent2" w:themeShade="BF"/>
              </w:rPr>
              <w:t xml:space="preserve">Ags</w:t>
            </w:r>
            <w:r>
              <w:rPr>
                <w:color w:val="c45911" w:themeColor="accent2" w:themeShade="BF"/>
              </w:rPr>
              <w:t xml:space="preserve">. </w:t>
            </w:r>
            <w:r>
              <w:rPr>
                <w:color w:val="c45911" w:themeColor="accent2" w:themeShade="BF"/>
                <w:lang w:val="es-ES"/>
              </w:rPr>
              <w:t xml:space="preserve">10</w:t>
            </w:r>
            <w:r>
              <w:rPr>
                <w:color w:val="c45911" w:themeColor="accent2" w:themeShade="BF"/>
              </w:rPr>
              <w:t xml:space="preserve"> de</w:t>
            </w:r>
            <w:r>
              <w:rPr>
                <w:color w:val="c45911" w:themeColor="accent2" w:themeShade="BF"/>
              </w:rPr>
              <w:t xml:space="preserve"> marzo</w:t>
            </w:r>
            <w:r>
              <w:rPr>
                <w:color w:val="c45911" w:themeColor="accent2" w:themeShade="BF"/>
              </w:rPr>
              <w:t xml:space="preserve"> de 20</w:t>
            </w:r>
            <w:r>
              <w:rPr>
                <w:color w:val="c45911" w:themeColor="accent2" w:themeShade="BF"/>
              </w:rPr>
              <w:t xml:space="preserve">25</w:t>
            </w:r>
            <w:r>
              <w:rPr>
                <w:color w:val="44546a" w:themeColor="text2"/>
              </w:rPr>
            </w:r>
            <w:r>
              <w:rPr>
                <w:color w:val="44546a" w:themeColor="text2"/>
              </w:rPr>
            </w:r>
          </w:p>
        </w:tc>
      </w:tr>
    </w:tbl>
    <w:p>
      <w:pPr>
        <w:pBdr/>
        <w:spacing/>
        <w:ind/>
        <w:jc w:val="center"/>
        <w:rPr/>
      </w:pPr>
      <w:r/>
      <w:bookmarkStart w:id="0" w:name="_Toc39045543"/>
      <w:r>
        <w:rPr>
          <w:rFonts w:ascii="Arial" w:hAnsi="Arial" w:cs="Arial"/>
          <w:b/>
          <w:bCs/>
          <w:sz w:val="24"/>
          <w:szCs w:val="24"/>
        </w:rPr>
        <w:br w:type="page" w:clear="all"/>
      </w:r>
      <w:bookmarkEnd w:id="0"/>
      <w:r/>
      <w:r/>
    </w:p>
    <w:p>
      <w:pPr>
        <w:pBdr/>
        <w:spacing/>
        <w:ind/>
        <w:jc w:val="center"/>
        <w:rPr/>
      </w:pPr>
      <w:r>
        <w:rPr>
          <w:rFonts w:ascii="Arial" w:hAnsi="Arial" w:cs="Arial"/>
          <w:b/>
          <w:bCs/>
          <w:sz w:val="24"/>
          <w:szCs w:val="24"/>
          <w:highlight w:val="none"/>
          <w:lang w:val="es-ES"/>
        </w:rPr>
        <w:t xml:space="preserve">L</w:t>
      </w:r>
      <w:r>
        <w:rPr>
          <w:rFonts w:ascii="Arial" w:hAnsi="Arial" w:cs="Arial"/>
          <w:b/>
          <w:bCs/>
          <w:sz w:val="24"/>
          <w:szCs w:val="24"/>
          <w:highlight w:val="none"/>
        </w:rPr>
        <w:t xml:space="preserve">eyes que regulan las</w:t>
      </w:r>
      <w:r>
        <w:rPr>
          <w:rFonts w:ascii="Arial" w:hAnsi="Arial" w:cs="Arial"/>
          <w:b/>
          <w:bCs/>
          <w:sz w:val="24"/>
          <w:szCs w:val="24"/>
          <w:highlight w:val="none"/>
          <w:lang w:val="es-ES"/>
        </w:rPr>
        <w:t xml:space="preserve"> </w:t>
      </w:r>
      <w:r>
        <w:rPr>
          <w:rFonts w:ascii="Arial" w:hAnsi="Arial" w:cs="Arial"/>
          <w:b/>
          <w:bCs/>
          <w:sz w:val="24"/>
          <w:szCs w:val="24"/>
          <w:highlight w:val="none"/>
        </w:rPr>
        <w:t xml:space="preserve">Tecnologías de la Información </w:t>
      </w:r>
      <w:r>
        <w:rPr>
          <w:rFonts w:ascii="Arial" w:hAnsi="Arial" w:cs="Arial"/>
          <w:b/>
          <w:bCs/>
          <w:sz w:val="24"/>
          <w:szCs w:val="24"/>
          <w:highlight w:val="none"/>
          <w:lang w:val="es-ES"/>
        </w:rPr>
        <w:t xml:space="preserve">en M</w:t>
      </w:r>
      <w:r>
        <w:rPr>
          <w:rFonts w:ascii="Arial" w:hAnsi="Arial" w:cs="Arial"/>
          <w:b/>
          <w:bCs/>
          <w:sz w:val="24"/>
          <w:szCs w:val="24"/>
          <w:highlight w:val="none"/>
          <w:lang w:val="es-ES"/>
        </w:rPr>
        <w:t xml:space="preserve">éxico</w:t>
      </w:r>
      <w:r>
        <w:rPr>
          <w:rFonts w:ascii="Arial" w:hAnsi="Arial" w:cs="Arial"/>
          <w:b/>
          <w:bCs/>
          <w:sz w:val="24"/>
          <w:szCs w:val="24"/>
          <w:highlight w:val="none"/>
        </w:rPr>
      </w:r>
      <w:r/>
    </w:p>
    <w:p>
      <w:pPr>
        <w:pBdr/>
        <w:spacing/>
        <w:ind/>
        <w:jc w:val="both"/>
        <w:rPr>
          <w:rFonts w:ascii="Arial" w:hAnsi="Arial" w:cs="Arial"/>
          <w:b/>
          <w:bCs/>
          <w:sz w:val="24"/>
          <w:szCs w:val="24"/>
          <w:highlight w:val="none"/>
        </w:rPr>
      </w:pPr>
      <w:r>
        <w:rPr>
          <w:rFonts w:ascii="Arial" w:hAnsi="Arial" w:cs="Arial"/>
          <w:b/>
          <w:bCs/>
          <w:sz w:val="24"/>
          <w:szCs w:val="24"/>
        </w:rPr>
        <w:t xml:space="preserve">Ley Federal de Protección de Datos Personales en Posesión de los Particulares</w:t>
      </w:r>
      <w:r>
        <w:rPr>
          <w:rFonts w:ascii="Arial" w:hAnsi="Arial" w:cs="Arial"/>
          <w:b/>
          <w:bCs/>
          <w:sz w:val="24"/>
          <w:szCs w:val="24"/>
          <w:highlight w:val="none"/>
        </w:rPr>
      </w:r>
      <w:r>
        <w:rPr>
          <w:rFonts w:ascii="Arial" w:hAnsi="Arial" w:cs="Arial"/>
          <w:b/>
          <w:bCs/>
          <w:sz w:val="24"/>
          <w:szCs w:val="24"/>
          <w:highlight w:val="none"/>
        </w:rP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Artículo 1.- La presente Ley es de orden público y de observancia general en toda la República y </w:t>
      </w:r>
      <w:r>
        <w:rPr>
          <w:rFonts w:ascii="Arial" w:hAnsi="Arial" w:cs="Arial"/>
          <w:sz w:val="24"/>
          <w:szCs w:val="24"/>
          <w:highlight w:val="none"/>
          <w:lang w:val="es-ES"/>
        </w:rPr>
        <w:t xml:space="preserve">tiene por objeto la protección de los datos personales en posesión de los particulares, con la finalidad de </w:t>
      </w:r>
      <w:r>
        <w:rPr>
          <w:rFonts w:ascii="Arial" w:hAnsi="Arial" w:cs="Arial"/>
          <w:sz w:val="24"/>
          <w:szCs w:val="24"/>
          <w:highlight w:val="none"/>
          <w:lang w:val="es-ES"/>
        </w:rPr>
        <w:t xml:space="preserve">regular su tratamiento legítimo, controlado e informado, a efecto de garantizar la privacidad y el derecho a </w:t>
      </w:r>
      <w:r>
        <w:rPr>
          <w:rFonts w:ascii="Arial" w:hAnsi="Arial" w:cs="Arial"/>
          <w:sz w:val="24"/>
          <w:szCs w:val="24"/>
          <w:highlight w:val="none"/>
          <w:lang w:val="es-ES"/>
        </w:rPr>
        <w:t xml:space="preserve">la autodeterminación informativa de las personas.</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pPr>
      <w:r>
        <w:rPr>
          <w:rFonts w:ascii="Arial" w:hAnsi="Arial" w:cs="Arial"/>
          <w:sz w:val="24"/>
          <w:szCs w:val="24"/>
          <w:highlight w:val="none"/>
          <w:lang w:val="es-ES"/>
        </w:rPr>
        <w:t xml:space="preserve">Artículo 2.- Son sujetos regulados por esta Ley, los particulares sean personas físicas o morales de </w:t>
      </w:r>
      <w:r>
        <w:rPr>
          <w:rFonts w:ascii="Arial" w:hAnsi="Arial" w:cs="Arial"/>
          <w:sz w:val="24"/>
          <w:szCs w:val="24"/>
          <w:highlight w:val="none"/>
          <w:lang w:val="es-ES"/>
        </w:rPr>
        <w:t xml:space="preserve">carácter privado que lleven a cabo el tratamiento de datos personales, con excepción de:</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I. Las sociedades de información crediticia en los supuestos de la Ley para Regular las </w:t>
      </w:r>
      <w:r>
        <w:rPr>
          <w:rFonts w:ascii="Arial" w:hAnsi="Arial" w:cs="Arial"/>
          <w:sz w:val="24"/>
          <w:szCs w:val="24"/>
          <w:highlight w:val="none"/>
          <w:lang w:val="es-ES"/>
        </w:rPr>
        <w:t xml:space="preserve">Sociedades de Información Crediticia y demás disposiciones aplicables, y</w:t>
      </w:r>
      <w:r>
        <w:rPr>
          <w:rFonts w:ascii="Arial" w:hAnsi="Arial" w:cs="Arial"/>
          <w:sz w:val="24"/>
          <w:szCs w:val="24"/>
          <w:highlight w:val="none"/>
          <w:lang w:val="es-ES"/>
        </w:rPr>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II. Las personas que lleven a cabo la recolección y almacenamiento de datos personales, que sea </w:t>
      </w:r>
      <w:r>
        <w:rPr>
          <w:rFonts w:ascii="Arial" w:hAnsi="Arial" w:cs="Arial"/>
          <w:sz w:val="24"/>
          <w:szCs w:val="24"/>
          <w:highlight w:val="none"/>
          <w:lang w:val="es-ES"/>
        </w:rPr>
        <w:t xml:space="preserve">para uso exclusivamente personal, y sin fines de divulgación o utilización comercial.</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pPr>
      <w:r>
        <w:rPr>
          <w:rFonts w:ascii="Arial" w:hAnsi="Arial" w:cs="Arial"/>
          <w:sz w:val="24"/>
          <w:szCs w:val="24"/>
          <w:highlight w:val="none"/>
          <w:lang w:val="es-ES"/>
        </w:rPr>
        <w:t xml:space="preserve">Artículo 8.- Todo tratamiento de datos personales estará sujeto al consentimiento de su titular, salvo </w:t>
      </w:r>
      <w:r>
        <w:rPr>
          <w:rFonts w:ascii="Arial" w:hAnsi="Arial" w:cs="Arial"/>
          <w:sz w:val="24"/>
          <w:szCs w:val="24"/>
          <w:highlight w:val="none"/>
          <w:lang w:val="es-ES"/>
        </w:rPr>
        <w:t xml:space="preserve">las excepciones previstas por la presente Ley.</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El consentimiento será expreso cuando la voluntad se manifieste verbalmente, por escrito, por medios </w:t>
      </w:r>
      <w:r>
        <w:rPr>
          <w:rFonts w:ascii="Arial" w:hAnsi="Arial" w:cs="Arial"/>
          <w:sz w:val="24"/>
          <w:szCs w:val="24"/>
          <w:highlight w:val="none"/>
          <w:lang w:val="es-ES"/>
        </w:rPr>
        <w:t xml:space="preserve">electrónicos, ópticos o por cualquier otra tecnología, o por signos inequívocos.</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Se entenderá que el titular consiente tácitamente el tratamiento de sus datos, cuando habiéndose </w:t>
      </w:r>
      <w:r>
        <w:rPr>
          <w:rFonts w:ascii="Arial" w:hAnsi="Arial" w:cs="Arial"/>
          <w:sz w:val="24"/>
          <w:szCs w:val="24"/>
          <w:highlight w:val="none"/>
          <w:lang w:val="es-ES"/>
        </w:rPr>
        <w:t xml:space="preserve">puesto a su disposición el aviso de privacidad, no manifieste su oposición.</w:t>
      </w:r>
      <w:r>
        <w:rPr>
          <w:rFonts w:ascii="Arial" w:hAnsi="Arial" w:cs="Arial"/>
          <w:sz w:val="24"/>
          <w:szCs w:val="24"/>
          <w:highlight w:val="none"/>
          <w:lang w:val="es-ES"/>
        </w:rPr>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Los datos financieros o patrimoniales requerirán el consentimiento expreso de su titular, salvo las </w:t>
      </w:r>
      <w:r>
        <w:rPr>
          <w:rFonts w:ascii="Arial" w:hAnsi="Arial" w:cs="Arial"/>
          <w:sz w:val="24"/>
          <w:szCs w:val="24"/>
          <w:highlight w:val="none"/>
          <w:lang w:val="es-ES"/>
        </w:rPr>
        <w:t xml:space="preserve">excepciones a que se refieren los artículos 10 y 37 de la presente Ley.</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El consentimiento podrá ser revocado en cualquier momento sin que se le atribuyan efectos </w:t>
      </w:r>
      <w:r>
        <w:rPr>
          <w:rFonts w:ascii="Arial" w:hAnsi="Arial" w:cs="Arial"/>
          <w:sz w:val="24"/>
          <w:szCs w:val="24"/>
          <w:highlight w:val="none"/>
          <w:lang w:val="es-ES"/>
        </w:rPr>
        <w:t xml:space="preserve">retroactivos. Para revocar el consentimiento, el responsable deberá, en el aviso de privacidad, establecer </w:t>
      </w:r>
      <w:r>
        <w:rPr>
          <w:rFonts w:ascii="Arial" w:hAnsi="Arial" w:cs="Arial"/>
          <w:sz w:val="24"/>
          <w:szCs w:val="24"/>
          <w:highlight w:val="none"/>
          <w:lang w:val="es-ES"/>
        </w:rPr>
        <w:t xml:space="preserve">los mecanismos y procedimientos para ello</w:t>
      </w:r>
      <w:r>
        <w:rPr>
          <w:rFonts w:ascii="Arial" w:hAnsi="Arial" w:cs="Arial"/>
          <w:sz w:val="24"/>
          <w:szCs w:val="24"/>
          <w:highlight w:val="none"/>
          <w:lang w:val="es-ES"/>
        </w:rPr>
        <w:t xml:space="preserve">.</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pPr>
      <w:r>
        <w:rPr>
          <w:rFonts w:ascii="Arial" w:hAnsi="Arial" w:cs="Arial"/>
          <w:sz w:val="24"/>
          <w:szCs w:val="24"/>
          <w:highlight w:val="none"/>
          <w:lang w:val="es-ES"/>
        </w:rPr>
        <w:t xml:space="preserve">Artículo 16.- El aviso de privacidad deberá contener, al menos, la siguiente información:</w:t>
      </w:r>
      <w:r/>
    </w:p>
    <w:p>
      <w:pPr>
        <w:pBdr/>
        <w:spacing/>
        <w:ind/>
        <w:jc w:val="both"/>
        <w:rPr/>
      </w:pPr>
      <w:r>
        <w:rPr>
          <w:rFonts w:ascii="Arial" w:hAnsi="Arial" w:cs="Arial"/>
          <w:sz w:val="24"/>
          <w:szCs w:val="24"/>
          <w:highlight w:val="none"/>
          <w:lang w:val="es-ES"/>
        </w:rPr>
        <w:t xml:space="preserve">I. La identidad y domicilio del responsable que los recaba;</w:t>
      </w:r>
      <w:r/>
    </w:p>
    <w:p>
      <w:pPr>
        <w:pBdr/>
        <w:spacing/>
        <w:ind/>
        <w:jc w:val="both"/>
        <w:rPr/>
      </w:pPr>
      <w:r>
        <w:rPr>
          <w:rFonts w:ascii="Arial" w:hAnsi="Arial" w:cs="Arial"/>
          <w:sz w:val="24"/>
          <w:szCs w:val="24"/>
          <w:highlight w:val="none"/>
          <w:lang w:val="es-ES"/>
        </w:rPr>
        <w:t xml:space="preserve">II. Las finalidades del tratamiento de datos;</w:t>
      </w:r>
      <w:r/>
    </w:p>
    <w:p>
      <w:pPr>
        <w:pBdr/>
        <w:spacing/>
        <w:ind/>
        <w:jc w:val="both"/>
        <w:rPr/>
      </w:pPr>
      <w:r>
        <w:rPr>
          <w:rFonts w:ascii="Arial" w:hAnsi="Arial" w:cs="Arial"/>
          <w:sz w:val="24"/>
          <w:szCs w:val="24"/>
          <w:highlight w:val="none"/>
          <w:lang w:val="es-ES"/>
        </w:rPr>
        <w:t xml:space="preserve">III. Las opciones y medios que el responsable ofrezca a los titulares para limitar el uso o divulgación </w:t>
      </w:r>
      <w:r>
        <w:rPr>
          <w:rFonts w:ascii="Arial" w:hAnsi="Arial" w:cs="Arial"/>
          <w:sz w:val="24"/>
          <w:szCs w:val="24"/>
          <w:highlight w:val="none"/>
          <w:lang w:val="es-ES"/>
        </w:rPr>
        <w:t xml:space="preserve">de los datos;</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IV. Los medios para ejercer los derechos de acceso, rectificación, cancelación u oposición, de </w:t>
      </w:r>
      <w:r>
        <w:rPr>
          <w:rFonts w:ascii="Arial" w:hAnsi="Arial" w:cs="Arial"/>
          <w:sz w:val="24"/>
          <w:szCs w:val="24"/>
          <w:highlight w:val="none"/>
          <w:lang w:val="es-ES"/>
        </w:rPr>
        <w:t xml:space="preserve">conformidad con lo dispuesto en esta Ley;</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V. En su caso, las transferencias de datos que se efectúen, y</w:t>
      </w:r>
      <w:r/>
    </w:p>
    <w:p>
      <w:pPr>
        <w:pBdr/>
        <w:spacing/>
        <w:ind/>
        <w:jc w:val="both"/>
        <w:rPr/>
      </w:pPr>
      <w:r>
        <w:rPr>
          <w:rFonts w:ascii="Arial" w:hAnsi="Arial" w:cs="Arial"/>
          <w:sz w:val="24"/>
          <w:szCs w:val="24"/>
          <w:highlight w:val="none"/>
          <w:lang w:val="es-ES"/>
        </w:rPr>
        <w:t xml:space="preserve">VI. El procedimiento y medio por el cual el responsable comunicará a los titulares de cambios al </w:t>
      </w:r>
      <w:r>
        <w:rPr>
          <w:rFonts w:ascii="Arial" w:hAnsi="Arial" w:cs="Arial"/>
          <w:sz w:val="24"/>
          <w:szCs w:val="24"/>
          <w:highlight w:val="none"/>
          <w:lang w:val="es-ES"/>
        </w:rPr>
        <w:t xml:space="preserve">aviso de privacidad, de conformidad con lo previsto en esta Ley.</w:t>
      </w:r>
      <w:r>
        <w:rPr>
          <w:rFonts w:ascii="Arial" w:hAnsi="Arial" w:cs="Arial"/>
          <w:sz w:val="24"/>
          <w:szCs w:val="24"/>
          <w:highlight w:val="none"/>
          <w:lang w:val="es-ES"/>
        </w:rPr>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En el caso de datos personales sensibles, el aviso de privacidad deberá señalar expresamente que se </w:t>
      </w:r>
      <w:r>
        <w:rPr>
          <w:rFonts w:ascii="Arial" w:hAnsi="Arial" w:cs="Arial"/>
          <w:sz w:val="24"/>
          <w:szCs w:val="24"/>
          <w:highlight w:val="none"/>
          <w:lang w:val="es-ES"/>
        </w:rPr>
        <w:t xml:space="preserve">trata de este tipo de datos.</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pPr>
      <w:r>
        <w:rPr>
          <w:rFonts w:ascii="Arial" w:hAnsi="Arial" w:cs="Arial"/>
          <w:sz w:val="24"/>
          <w:szCs w:val="24"/>
          <w:highlight w:val="none"/>
          <w:lang w:val="es-ES"/>
        </w:rPr>
        <w:t xml:space="preserve">Artículo 19.- Todo responsable que lleve a cabo tratamiento de datos personales deberá establecer y </w:t>
      </w:r>
      <w:r>
        <w:rPr>
          <w:rFonts w:ascii="Arial" w:hAnsi="Arial" w:cs="Arial"/>
          <w:sz w:val="24"/>
          <w:szCs w:val="24"/>
          <w:highlight w:val="none"/>
          <w:lang w:val="es-ES"/>
        </w:rPr>
        <w:t xml:space="preserve">mantener medidas de seguridad administrativas, técnicas y físicas que permitan proteger los datos </w:t>
      </w:r>
      <w:r>
        <w:rPr>
          <w:rFonts w:ascii="Arial" w:hAnsi="Arial" w:cs="Arial"/>
          <w:sz w:val="24"/>
          <w:szCs w:val="24"/>
          <w:highlight w:val="none"/>
          <w:lang w:val="es-ES"/>
        </w:rPr>
        <w:t xml:space="preserve">personales contra daño, pérdida, alteración, destrucción o el uso, acceso o tratamiento no autorizado.</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Los responsables no adoptarán medidas de seguridad menores a aquellas que mantengan para el </w:t>
      </w:r>
      <w:r>
        <w:rPr>
          <w:rFonts w:ascii="Arial" w:hAnsi="Arial" w:cs="Arial"/>
          <w:sz w:val="24"/>
          <w:szCs w:val="24"/>
          <w:highlight w:val="none"/>
          <w:lang w:val="es-ES"/>
        </w:rPr>
        <w:t xml:space="preserve">manejo de su información. Asimismo se tomará en cuenta el riesgo existente, las posibles consecuencias </w:t>
      </w:r>
      <w:r>
        <w:rPr>
          <w:rFonts w:ascii="Arial" w:hAnsi="Arial" w:cs="Arial"/>
          <w:sz w:val="24"/>
          <w:szCs w:val="24"/>
          <w:highlight w:val="none"/>
          <w:lang w:val="es-ES"/>
        </w:rPr>
        <w:t xml:space="preserve">para los titulares, la sensibilidad de los datos y el desarrollo tecnológico.</w:t>
      </w:r>
      <w:r>
        <w:rPr>
          <w:rFonts w:ascii="Arial" w:hAnsi="Arial" w:cs="Arial"/>
          <w:sz w:val="24"/>
          <w:szCs w:val="24"/>
          <w:highlight w:val="none"/>
          <w:lang w:val="es-ES"/>
        </w:rPr>
        <w:t xml:space="preserve"> [1]</w:t>
      </w:r>
      <w:r>
        <w:rPr>
          <w:rFonts w:ascii="Arial" w:hAnsi="Arial" w:cs="Arial"/>
          <w:sz w:val="24"/>
          <w:szCs w:val="24"/>
          <w:highlight w:val="none"/>
          <w:lang w:val="es-ES"/>
        </w:rPr>
      </w:r>
      <w:r/>
    </w:p>
    <w:p>
      <w:pPr>
        <w:pBdr/>
        <w:spacing/>
        <w:ind/>
        <w:jc w:val="center"/>
        <w:rPr>
          <w:rFonts w:ascii="Arial" w:hAnsi="Arial" w:cs="Arial"/>
          <w:sz w:val="24"/>
          <w:szCs w:val="24"/>
        </w:rPr>
      </w:pPr>
      <w:r>
        <w:rPr>
          <w:rFonts w:ascii="Arial" w:hAnsi="Arial" w:cs="Arial"/>
          <w:sz w:val="24"/>
          <w:szCs w:val="24"/>
          <w:highlight w:val="none"/>
          <w:lang w:val="es-ES"/>
        </w:rPr>
      </w:r>
      <w:r>
        <mc:AlternateContent>
          <mc:Choice Requires="wpg">
            <w:drawing>
              <wp:inline xmlns:wp="http://schemas.openxmlformats.org/drawingml/2006/wordprocessingDrawing" distT="0" distB="0" distL="0" distR="0">
                <wp:extent cx="1728075" cy="235699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14214" name=""/>
                        <pic:cNvPicPr>
                          <a:picLocks noChangeAspect="1"/>
                        </pic:cNvPicPr>
                        <pic:nvPr/>
                      </pic:nvPicPr>
                      <pic:blipFill>
                        <a:blip r:embed="rId11"/>
                        <a:stretch/>
                      </pic:blipFill>
                      <pic:spPr bwMode="auto">
                        <a:xfrm flipH="0" flipV="0">
                          <a:off x="0" y="0"/>
                          <a:ext cx="1728075" cy="23569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36.07pt;height:185.59pt;mso-wrap-distance-left:0.00pt;mso-wrap-distance-top:0.00pt;mso-wrap-distance-right:0.00pt;mso-wrap-distance-bottom:0.00pt;z-index:1;" stroked="false">
                <v:imagedata r:id="rId11" o:title=""/>
                <o:lock v:ext="edit" rotation="t"/>
              </v:shape>
            </w:pict>
          </mc:Fallback>
        </mc:AlternateContent>
      </w:r>
      <w:r>
        <w:rPr>
          <w:rFonts w:ascii="Arial" w:hAnsi="Arial" w:cs="Arial"/>
          <w:sz w:val="24"/>
          <w:szCs w:val="24"/>
        </w:rPr>
      </w:r>
      <w:r>
        <w:rPr>
          <w:rFonts w:ascii="Arial" w:hAnsi="Arial" w:cs="Arial"/>
          <w:sz w:val="24"/>
          <w:szCs w:val="24"/>
        </w:rPr>
      </w:r>
    </w:p>
    <w:p>
      <w:pPr>
        <w:pStyle w:val="956"/>
        <w:pBdr/>
        <w:spacing/>
        <w:ind/>
        <w:jc w:val="center"/>
        <w:rPr/>
      </w:pPr>
      <w:r>
        <w:t xml:space="preserve">Figura </w:t>
      </w:r>
      <w:r>
        <w:fldChar w:fldCharType="begin"/>
        <w:instrText xml:space="preserve"> SEQ Figura \* Arabic </w:instrText>
        <w:fldChar w:fldCharType="separate"/>
      </w:r>
      <w:r>
        <w:t xml:space="preserve">1</w:t>
      </w:r>
      <w:r>
        <w:fldChar w:fldCharType="end"/>
      </w:r>
      <w:r>
        <w:t xml:space="preserve"> Documento oficial</w:t>
      </w:r>
      <w:r>
        <w:rPr>
          <w:lang w:val="es-ES"/>
        </w:rPr>
        <w:t xml:space="preserve"> del INAI</w:t>
      </w:r>
      <w:r>
        <w:t xml:space="preserve"> sobre la ley en particulares </w:t>
      </w:r>
      <w:r/>
    </w:p>
    <w:p>
      <w:pPr>
        <w:pBdr/>
        <w:spacing/>
        <w:ind/>
        <w:jc w:val="both"/>
        <w:rPr>
          <w:rFonts w:ascii="Arial" w:hAnsi="Arial" w:cs="Arial"/>
          <w:b/>
          <w:bCs/>
          <w:sz w:val="24"/>
          <w:szCs w:val="24"/>
        </w:rPr>
      </w:pPr>
      <w:r>
        <w:rPr>
          <w:rFonts w:ascii="Arial" w:hAnsi="Arial" w:cs="Arial"/>
          <w:b/>
          <w:bCs/>
          <w:sz w:val="24"/>
          <w:szCs w:val="24"/>
        </w:rPr>
        <w:t xml:space="preserve">Ley General de Protección de Datos Personales en Posesión de Sujetos Obligados</w:t>
      </w:r>
      <w:r>
        <w:rPr>
          <w:rFonts w:ascii="Arial" w:hAnsi="Arial" w:cs="Arial"/>
          <w:b/>
          <w:bCs/>
          <w:sz w:val="24"/>
          <w:szCs w:val="24"/>
        </w:rPr>
      </w:r>
      <w:r>
        <w:rPr>
          <w:rFonts w:ascii="Arial" w:hAnsi="Arial" w:cs="Arial"/>
          <w:b/>
          <w:bCs/>
          <w:sz w:val="24"/>
          <w:szCs w:val="24"/>
        </w:rPr>
      </w:r>
    </w:p>
    <w:p>
      <w:pPr>
        <w:pBdr/>
        <w:spacing/>
        <w:ind/>
        <w:jc w:val="both"/>
        <w:rPr/>
      </w:pPr>
      <w:r>
        <w:rPr>
          <w:rFonts w:ascii="Arial" w:hAnsi="Arial" w:cs="Arial"/>
          <w:sz w:val="24"/>
          <w:szCs w:val="24"/>
          <w:lang w:val="es-ES"/>
        </w:rPr>
        <w:t xml:space="preserve">Artículo 1. La presente Ley es de orden público y de observancia general en toda la República, </w:t>
      </w:r>
      <w:r>
        <w:rPr>
          <w:rFonts w:ascii="Arial" w:hAnsi="Arial" w:cs="Arial"/>
          <w:sz w:val="24"/>
          <w:szCs w:val="24"/>
          <w:lang w:val="es-ES"/>
        </w:rPr>
        <w:t xml:space="preserve">reglamentaria de los artículos 6o., Base A y 16, segundo párrafo, de la Constitución Política de los</w:t>
      </w:r>
      <w:r>
        <w:rPr>
          <w:lang w:val="es-ES"/>
        </w:rPr>
        <w:t xml:space="preserve"> </w:t>
      </w:r>
      <w:r>
        <w:rPr>
          <w:rFonts w:ascii="Arial" w:hAnsi="Arial" w:cs="Arial"/>
          <w:sz w:val="24"/>
          <w:szCs w:val="24"/>
          <w:lang w:val="es-ES"/>
        </w:rPr>
        <w:t xml:space="preserve">Estados Unidos Mexicanos, en materia de protección de datos personales en posesión de sujetos</w:t>
      </w:r>
      <w:r>
        <w:rPr>
          <w:lang w:val="es-ES"/>
        </w:rPr>
        <w:t xml:space="preserve"> </w:t>
      </w:r>
      <w:r>
        <w:rPr>
          <w:rFonts w:ascii="Arial" w:hAnsi="Arial" w:cs="Arial"/>
          <w:sz w:val="24"/>
          <w:szCs w:val="24"/>
          <w:lang w:val="es-ES"/>
        </w:rPr>
        <w:t xml:space="preserve">obligados.</w:t>
      </w:r>
      <w:r>
        <w:rPr>
          <w:rFonts w:ascii="Arial" w:hAnsi="Arial" w:cs="Arial"/>
          <w:sz w:val="24"/>
          <w:szCs w:val="24"/>
          <w:lang w:val="es-ES"/>
        </w:rPr>
      </w:r>
      <w:r/>
    </w:p>
    <w:p>
      <w:pPr>
        <w:pBdr/>
        <w:spacing/>
        <w:ind/>
        <w:jc w:val="both"/>
        <w:rPr/>
      </w:pPr>
      <w:r>
        <w:rPr>
          <w:rFonts w:ascii="Arial" w:hAnsi="Arial" w:cs="Arial"/>
          <w:sz w:val="24"/>
          <w:szCs w:val="24"/>
          <w:lang w:val="es-ES"/>
        </w:rPr>
        <w:t xml:space="preserve">Todas las disposiciones de esta Ley General, según corresponda, y en el ámbito de su competencia, </w:t>
      </w:r>
      <w:r>
        <w:rPr>
          <w:rFonts w:ascii="Arial" w:hAnsi="Arial" w:cs="Arial"/>
          <w:sz w:val="24"/>
          <w:szCs w:val="24"/>
          <w:lang w:val="es-ES"/>
        </w:rPr>
        <w:t xml:space="preserve">son de aplicación y observancia directa para los sujetos obligados pertenecientes al orden federal.</w:t>
      </w:r>
      <w:r>
        <w:rPr>
          <w:rFonts w:ascii="Arial" w:hAnsi="Arial" w:cs="Arial"/>
          <w:sz w:val="24"/>
          <w:szCs w:val="24"/>
          <w:lang w:val="es-ES"/>
        </w:rPr>
      </w:r>
      <w:r/>
    </w:p>
    <w:p>
      <w:pPr>
        <w:pBdr/>
        <w:spacing/>
        <w:ind/>
        <w:jc w:val="both"/>
        <w:rPr>
          <w:rFonts w:ascii="Arial" w:hAnsi="Arial" w:cs="Arial"/>
          <w:sz w:val="24"/>
          <w:szCs w:val="24"/>
          <w:lang w:val="es-ES"/>
        </w:rPr>
      </w:pPr>
      <w:r>
        <w:rPr>
          <w:rFonts w:ascii="Arial" w:hAnsi="Arial" w:cs="Arial"/>
          <w:sz w:val="24"/>
          <w:szCs w:val="24"/>
          <w:lang w:val="es-ES"/>
        </w:rPr>
        <w:t xml:space="preserve">El Instituto ejercerá las atribuciones y facultades que le otorga esta Ley, independientemente de las</w:t>
      </w:r>
      <w:r>
        <w:rPr>
          <w:rFonts w:ascii="Arial" w:hAnsi="Arial" w:cs="Arial"/>
          <w:sz w:val="24"/>
          <w:szCs w:val="24"/>
          <w:lang w:val="es-ES"/>
        </w:rPr>
        <w:t xml:space="preserve"> </w:t>
      </w:r>
      <w:r>
        <w:rPr>
          <w:rFonts w:ascii="Arial" w:hAnsi="Arial" w:cs="Arial"/>
          <w:sz w:val="24"/>
          <w:szCs w:val="24"/>
          <w:lang w:val="es-ES"/>
        </w:rPr>
        <w:t xml:space="preserve">otorgadas en las demás disposiciones aplicables.</w:t>
      </w:r>
      <w:r>
        <w:rPr>
          <w:rFonts w:ascii="Arial" w:hAnsi="Arial" w:cs="Arial"/>
          <w:sz w:val="24"/>
          <w:szCs w:val="24"/>
          <w:lang w:val="es-ES"/>
        </w:rPr>
      </w:r>
      <w:r>
        <w:rPr>
          <w:rFonts w:ascii="Arial" w:hAnsi="Arial" w:cs="Arial"/>
          <w:sz w:val="24"/>
          <w:szCs w:val="24"/>
          <w:lang w:val="es-ES"/>
        </w:rPr>
      </w:r>
    </w:p>
    <w:p>
      <w:pPr>
        <w:pBdr/>
        <w:spacing/>
        <w:ind/>
        <w:jc w:val="both"/>
        <w:rPr/>
      </w:pPr>
      <w:r>
        <w:rPr>
          <w:rFonts w:ascii="Arial" w:hAnsi="Arial" w:cs="Arial"/>
          <w:sz w:val="24"/>
          <w:szCs w:val="24"/>
          <w:lang w:val="es-ES"/>
        </w:rPr>
        <w:t xml:space="preserve">Tiene por objeto establecer las bases, principios y procedimientos para garantizar el derecho que </w:t>
      </w:r>
      <w:r>
        <w:rPr>
          <w:rFonts w:ascii="Arial" w:hAnsi="Arial" w:cs="Arial"/>
          <w:sz w:val="24"/>
          <w:szCs w:val="24"/>
          <w:lang w:val="es-ES"/>
        </w:rPr>
        <w:t xml:space="preserve">tiene toda persona a la protección de sus datos personales, en posesión de sujetos obligados.</w:t>
      </w:r>
      <w:r>
        <w:rPr>
          <w:rFonts w:ascii="Arial" w:hAnsi="Arial" w:cs="Arial"/>
          <w:sz w:val="24"/>
          <w:szCs w:val="24"/>
          <w:lang w:val="es-ES"/>
        </w:rPr>
      </w:r>
      <w:r/>
    </w:p>
    <w:p>
      <w:pPr>
        <w:pBdr/>
        <w:spacing/>
        <w:ind/>
        <w:jc w:val="both"/>
        <w:rPr>
          <w:rFonts w:ascii="Arial" w:hAnsi="Arial" w:cs="Arial"/>
          <w:sz w:val="24"/>
          <w:szCs w:val="24"/>
          <w:highlight w:val="none"/>
          <w:lang w:val="es-ES"/>
        </w:rPr>
      </w:pPr>
      <w:r>
        <w:rPr>
          <w:rFonts w:ascii="Arial" w:hAnsi="Arial" w:cs="Arial"/>
          <w:sz w:val="24"/>
          <w:szCs w:val="24"/>
          <w:lang w:val="es-ES"/>
        </w:rPr>
        <w:t xml:space="preserve">Son sujetos obligados por esta Ley, en el ámbito federal, estatal y municipal, cualquier autoridad, </w:t>
      </w:r>
      <w:r>
        <w:rPr>
          <w:rFonts w:ascii="Arial" w:hAnsi="Arial" w:cs="Arial"/>
          <w:sz w:val="24"/>
          <w:szCs w:val="24"/>
          <w:lang w:val="es-ES"/>
        </w:rPr>
        <w:t xml:space="preserve">entidad, órgano y organismo de los Poderes Ejecutivo, Legislativo y Judicial, órganos autónomos, </w:t>
      </w:r>
      <w:r>
        <w:rPr>
          <w:rFonts w:ascii="Arial" w:hAnsi="Arial" w:cs="Arial"/>
          <w:sz w:val="24"/>
          <w:szCs w:val="24"/>
          <w:lang w:val="es-ES"/>
        </w:rPr>
        <w:t xml:space="preserve">partidos políticos, fideicomisos y fondos públicos.</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Artículo 31. Con independencia del tipo de sistema en el que se encuentren los datos personales o el </w:t>
      </w:r>
      <w:r>
        <w:rPr>
          <w:rFonts w:ascii="Arial" w:hAnsi="Arial" w:cs="Arial"/>
          <w:sz w:val="24"/>
          <w:szCs w:val="24"/>
          <w:highlight w:val="none"/>
          <w:lang w:val="es-ES"/>
        </w:rPr>
        <w:t xml:space="preserve">tipo de tratamiento que se efectúe, el responsable deberá establecer y mantener las medidas de </w:t>
      </w:r>
      <w:r>
        <w:rPr>
          <w:rFonts w:ascii="Arial" w:hAnsi="Arial" w:cs="Arial"/>
          <w:sz w:val="24"/>
          <w:szCs w:val="24"/>
          <w:highlight w:val="none"/>
          <w:lang w:val="es-ES"/>
        </w:rPr>
        <w:t xml:space="preserve">seguridad de carácter administrativo, físico y técnico para la protección de los datos personales, que </w:t>
      </w:r>
      <w:r>
        <w:rPr>
          <w:rFonts w:ascii="Arial" w:hAnsi="Arial" w:cs="Arial"/>
          <w:sz w:val="24"/>
          <w:szCs w:val="24"/>
          <w:highlight w:val="none"/>
          <w:lang w:val="es-ES"/>
        </w:rPr>
        <w:t xml:space="preserve">permitan protegerlos contra daño, pérdida, alteración, destrucción o su uso, acceso o tratamiento no </w:t>
      </w:r>
      <w:r>
        <w:rPr>
          <w:rFonts w:ascii="Arial" w:hAnsi="Arial" w:cs="Arial"/>
          <w:sz w:val="24"/>
          <w:szCs w:val="24"/>
          <w:highlight w:val="none"/>
          <w:lang w:val="es-ES"/>
        </w:rPr>
        <w:t xml:space="preserve">autorizado, así como garantizar su confidencialidad, integridad y disponibilidad.</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pPr>
      <w:r>
        <w:rPr>
          <w:rFonts w:ascii="Arial" w:hAnsi="Arial" w:cs="Arial"/>
          <w:sz w:val="24"/>
          <w:szCs w:val="24"/>
          <w:highlight w:val="none"/>
          <w:lang w:val="es-ES"/>
        </w:rPr>
        <w:t xml:space="preserve">Artículo 33. Para establecer y mantener las medidas de seguridad para la protección de los datos </w:t>
      </w:r>
      <w:r>
        <w:rPr>
          <w:rFonts w:ascii="Arial" w:hAnsi="Arial" w:cs="Arial"/>
          <w:sz w:val="24"/>
          <w:szCs w:val="24"/>
          <w:highlight w:val="none"/>
          <w:lang w:val="es-ES"/>
        </w:rPr>
        <w:t xml:space="preserve">personales, el responsable deberá realizar, al menos, las siguientes actividades interrelacionadas:</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I. Crear políticas internas para la gestión y tratamiento de los datos personales, que tomen en </w:t>
      </w:r>
      <w:r>
        <w:rPr>
          <w:rFonts w:ascii="Arial" w:hAnsi="Arial" w:cs="Arial"/>
          <w:sz w:val="24"/>
          <w:szCs w:val="24"/>
          <w:highlight w:val="none"/>
          <w:lang w:val="es-ES"/>
        </w:rPr>
        <w:t xml:space="preserve">cuenta el contexto en el que ocurren los tratamientos y el ciclo de vida de los datos </w:t>
      </w:r>
      <w:r>
        <w:rPr>
          <w:rFonts w:ascii="Arial" w:hAnsi="Arial" w:cs="Arial"/>
          <w:sz w:val="24"/>
          <w:szCs w:val="24"/>
          <w:highlight w:val="none"/>
          <w:lang w:val="es-ES"/>
        </w:rPr>
        <w:t xml:space="preserve">personales, es decir, su obtención, uso y posterior supresión;</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II. Definir las funciones y obligaciones del personal involucrado en el tratamiento de datos </w:t>
      </w:r>
      <w:r>
        <w:rPr>
          <w:rFonts w:ascii="Arial" w:hAnsi="Arial" w:cs="Arial"/>
          <w:sz w:val="24"/>
          <w:szCs w:val="24"/>
          <w:highlight w:val="none"/>
          <w:lang w:val="es-ES"/>
        </w:rPr>
        <w:t xml:space="preserve">personales;</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III. Elaborar un inventario de datos personales y de los sistemas de tratamiento;</w:t>
      </w:r>
      <w:r/>
    </w:p>
    <w:p>
      <w:pPr>
        <w:pBdr/>
        <w:spacing/>
        <w:ind/>
        <w:jc w:val="both"/>
        <w:rPr/>
      </w:pPr>
      <w:r>
        <w:rPr>
          <w:rFonts w:ascii="Arial" w:hAnsi="Arial" w:cs="Arial"/>
          <w:sz w:val="24"/>
          <w:szCs w:val="24"/>
          <w:highlight w:val="none"/>
          <w:lang w:val="es-ES"/>
        </w:rPr>
        <w:t xml:space="preserve">IV. Realizar un análisis de riesgo de los datos personales, considerando las amenazas y </w:t>
      </w:r>
      <w:r>
        <w:rPr>
          <w:rFonts w:ascii="Arial" w:hAnsi="Arial" w:cs="Arial"/>
          <w:sz w:val="24"/>
          <w:szCs w:val="24"/>
          <w:highlight w:val="none"/>
          <w:lang w:val="es-ES"/>
        </w:rPr>
        <w:t xml:space="preserve">vulnerabilidades existentes para los datos personales y los recursos involucrados en su </w:t>
      </w:r>
      <w:r>
        <w:rPr>
          <w:rFonts w:ascii="Arial" w:hAnsi="Arial" w:cs="Arial"/>
          <w:sz w:val="24"/>
          <w:szCs w:val="24"/>
          <w:highlight w:val="none"/>
          <w:lang w:val="es-ES"/>
        </w:rPr>
        <w:t xml:space="preserve">tratamiento, como pueden ser, de manera enunciativa más no limitativa, hardware, software, </w:t>
      </w:r>
      <w:r>
        <w:rPr>
          <w:rFonts w:ascii="Arial" w:hAnsi="Arial" w:cs="Arial"/>
          <w:sz w:val="24"/>
          <w:szCs w:val="24"/>
          <w:highlight w:val="none"/>
          <w:lang w:val="es-ES"/>
        </w:rPr>
        <w:t xml:space="preserve">personal del responsable, entre otros;</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V. Realizar un análisis de brecha, comparando las medidas de seguridad existentes contra las </w:t>
      </w:r>
      <w:r>
        <w:rPr>
          <w:rFonts w:ascii="Arial" w:hAnsi="Arial" w:cs="Arial"/>
          <w:sz w:val="24"/>
          <w:szCs w:val="24"/>
          <w:highlight w:val="none"/>
          <w:lang w:val="es-ES"/>
        </w:rPr>
        <w:t xml:space="preserve">faltantes en la organización del responsable;</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VI. Elaborar un plan de trabajo para la implementación de las medidas de seguridad faltantes, así </w:t>
      </w:r>
      <w:r>
        <w:rPr>
          <w:rFonts w:ascii="Arial" w:hAnsi="Arial" w:cs="Arial"/>
          <w:sz w:val="24"/>
          <w:szCs w:val="24"/>
          <w:highlight w:val="none"/>
          <w:lang w:val="es-ES"/>
        </w:rPr>
        <w:t xml:space="preserve">como las medidas para el cumplimiento cotidiano de las políticas de gestión y tratamiento de </w:t>
      </w:r>
      <w:r>
        <w:rPr>
          <w:rFonts w:ascii="Arial" w:hAnsi="Arial" w:cs="Arial"/>
          <w:sz w:val="24"/>
          <w:szCs w:val="24"/>
          <w:highlight w:val="none"/>
          <w:lang w:val="es-ES"/>
        </w:rPr>
        <w:t xml:space="preserve">los datos personales;</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VII. Monitorear y revisar de manera periódica las medidas de seguridad implementadas, así como </w:t>
      </w:r>
      <w:r>
        <w:rPr>
          <w:rFonts w:ascii="Arial" w:hAnsi="Arial" w:cs="Arial"/>
          <w:sz w:val="24"/>
          <w:szCs w:val="24"/>
          <w:highlight w:val="none"/>
          <w:lang w:val="es-ES"/>
        </w:rPr>
        <w:t xml:space="preserve">las amenazas y vulneraciones a las que están sujetos los datos personales, y</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VIII. Diseñar y aplicar diferentes niveles de capacitación del personal bajo su mando, dependiendo </w:t>
      </w:r>
      <w:r>
        <w:rPr>
          <w:rFonts w:ascii="Arial" w:hAnsi="Arial" w:cs="Arial"/>
          <w:sz w:val="24"/>
          <w:szCs w:val="24"/>
          <w:highlight w:val="none"/>
          <w:lang w:val="es-ES"/>
        </w:rPr>
        <w:t xml:space="preserve">de sus roles y responsabilidades respecto del tratamiento de los datos personales.</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Artículo 34. Las acciones relacionadas con las medidas de seguridad para el tratamiento de los datos </w:t>
      </w:r>
      <w:r>
        <w:rPr>
          <w:rFonts w:ascii="Arial" w:hAnsi="Arial" w:cs="Arial"/>
          <w:sz w:val="24"/>
          <w:szCs w:val="24"/>
          <w:highlight w:val="none"/>
          <w:lang w:val="es-ES"/>
        </w:rPr>
        <w:t xml:space="preserve">personales deberán estar documentadas y contenidas en un sistema de gestión.</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Se entenderá por sistema de gestión al conjunto de elementos y actividades interrelacionadas para </w:t>
      </w:r>
      <w:r>
        <w:rPr>
          <w:rFonts w:ascii="Arial" w:hAnsi="Arial" w:cs="Arial"/>
          <w:sz w:val="24"/>
          <w:szCs w:val="24"/>
          <w:highlight w:val="none"/>
          <w:lang w:val="es-ES"/>
        </w:rPr>
        <w:t xml:space="preserve">establecer, implementar, operar, monitorear, revisar, mantener y mejorar el tratamiento y seguridad de los </w:t>
      </w:r>
      <w:r>
        <w:rPr>
          <w:rFonts w:ascii="Arial" w:hAnsi="Arial" w:cs="Arial"/>
          <w:sz w:val="24"/>
          <w:szCs w:val="24"/>
          <w:highlight w:val="none"/>
          <w:lang w:val="es-ES"/>
        </w:rPr>
        <w:t xml:space="preserve">datos personales, de conformidad con lo previsto en la presente Ley y las demás disposiciones que le </w:t>
      </w:r>
      <w:r>
        <w:rPr>
          <w:rFonts w:ascii="Arial" w:hAnsi="Arial" w:cs="Arial"/>
          <w:sz w:val="24"/>
          <w:szCs w:val="24"/>
          <w:highlight w:val="none"/>
          <w:lang w:val="es-ES"/>
        </w:rPr>
        <w:t xml:space="preserve">resulten aplicables en la materia.</w:t>
      </w:r>
      <w:r>
        <w:rPr>
          <w:rFonts w:ascii="Arial" w:hAnsi="Arial" w:cs="Arial"/>
          <w:sz w:val="24"/>
          <w:szCs w:val="24"/>
          <w:highlight w:val="none"/>
          <w:lang w:val="es-ES"/>
        </w:rPr>
        <w:t xml:space="preserve"> [2]</w:t>
      </w:r>
      <w:r>
        <w:rPr>
          <w:rFonts w:ascii="Arial" w:hAnsi="Arial" w:cs="Arial"/>
          <w:sz w:val="24"/>
          <w:szCs w:val="24"/>
          <w:highlight w:val="none"/>
          <w:lang w:val="es-ES"/>
        </w:rPr>
      </w:r>
      <w:r/>
    </w:p>
    <w:p>
      <w:pPr>
        <w:pBdr/>
        <w:spacing/>
        <w:ind/>
        <w:jc w:val="center"/>
        <w:rPr>
          <w:rFonts w:ascii="Arial" w:hAnsi="Arial" w:cs="Arial"/>
          <w:sz w:val="24"/>
          <w:szCs w:val="24"/>
        </w:rPr>
      </w:pPr>
      <w:r>
        <w:rPr>
          <w:rFonts w:ascii="Arial" w:hAnsi="Arial" w:cs="Arial"/>
          <w:sz w:val="24"/>
          <w:szCs w:val="24"/>
          <w:highlight w:val="none"/>
        </w:rPr>
      </w:r>
      <w:r>
        <mc:AlternateContent>
          <mc:Choice Requires="wpg">
            <w:drawing>
              <wp:inline xmlns:wp="http://schemas.openxmlformats.org/drawingml/2006/wordprocessingDrawing" distT="0" distB="0" distL="0" distR="0">
                <wp:extent cx="1722096" cy="240504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66686" name=""/>
                        <pic:cNvPicPr>
                          <a:picLocks noChangeAspect="1"/>
                        </pic:cNvPicPr>
                        <pic:nvPr/>
                      </pic:nvPicPr>
                      <pic:blipFill>
                        <a:blip r:embed="rId12"/>
                        <a:stretch/>
                      </pic:blipFill>
                      <pic:spPr bwMode="auto">
                        <a:xfrm flipH="0" flipV="0">
                          <a:off x="0" y="0"/>
                          <a:ext cx="1722096" cy="24050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35.60pt;height:189.37pt;mso-wrap-distance-left:0.00pt;mso-wrap-distance-top:0.00pt;mso-wrap-distance-right:0.00pt;mso-wrap-distance-bottom:0.00pt;z-index:1;" stroked="false">
                <v:imagedata r:id="rId12" o:title=""/>
                <o:lock v:ext="edit" rotation="t"/>
              </v:shape>
            </w:pict>
          </mc:Fallback>
        </mc:AlternateContent>
      </w:r>
      <w:r>
        <w:rPr>
          <w:rFonts w:ascii="Arial" w:hAnsi="Arial" w:cs="Arial"/>
          <w:sz w:val="24"/>
          <w:szCs w:val="24"/>
        </w:rPr>
      </w:r>
      <w:r>
        <w:rPr>
          <w:rFonts w:ascii="Arial" w:hAnsi="Arial" w:cs="Arial"/>
          <w:sz w:val="24"/>
          <w:szCs w:val="24"/>
        </w:rPr>
      </w:r>
    </w:p>
    <w:p>
      <w:pPr>
        <w:pStyle w:val="956"/>
        <w:pBdr/>
        <w:spacing/>
        <w:ind/>
        <w:jc w:val="center"/>
        <w:rPr/>
      </w:pPr>
      <w:r>
        <w:t xml:space="preserve">Figura </w:t>
      </w:r>
      <w:r>
        <w:fldChar w:fldCharType="begin"/>
        <w:instrText xml:space="preserve"> SEQ Figura \* Arabic </w:instrText>
        <w:fldChar w:fldCharType="separate"/>
      </w:r>
      <w:r>
        <w:t xml:space="preserve">2</w:t>
      </w:r>
      <w:r>
        <w:fldChar w:fldCharType="end"/>
      </w:r>
      <w:r>
        <w:t xml:space="preserve"> Documento oficial del INAI sobre la ley en sujetos obligados </w:t>
      </w:r>
      <w:r/>
    </w:p>
    <w:p>
      <w:pPr>
        <w:pBdr/>
        <w:spacing/>
        <w:ind/>
        <w:jc w:val="both"/>
        <w:rPr>
          <w:rFonts w:ascii="Arial" w:hAnsi="Arial" w:cs="Arial"/>
          <w:b/>
          <w:bCs/>
          <w:sz w:val="24"/>
          <w:szCs w:val="24"/>
        </w:rPr>
      </w:pPr>
      <w:r>
        <w:rPr>
          <w:rFonts w:ascii="Arial" w:hAnsi="Arial" w:cs="Arial"/>
          <w:b/>
          <w:bCs/>
          <w:sz w:val="24"/>
          <w:szCs w:val="24"/>
        </w:rPr>
        <w:t xml:space="preserve">Ley General en materia de Humanidades, Ciencias, Tecnologías e Innovación</w:t>
      </w:r>
      <w:r>
        <w:rPr>
          <w:rFonts w:ascii="Arial" w:hAnsi="Arial" w:cs="Arial"/>
          <w:b/>
          <w:bCs/>
          <w:sz w:val="24"/>
          <w:szCs w:val="24"/>
        </w:rPr>
      </w:r>
      <w:r>
        <w:rPr>
          <w:rFonts w:ascii="Arial" w:hAnsi="Arial" w:cs="Arial"/>
          <w:b/>
          <w:bCs/>
          <w:sz w:val="24"/>
          <w:szCs w:val="24"/>
        </w:rPr>
      </w:r>
    </w:p>
    <w:p>
      <w:pPr>
        <w:pBdr/>
        <w:spacing/>
        <w:ind/>
        <w:jc w:val="both"/>
        <w:rPr/>
      </w:pPr>
      <w:r>
        <w:rPr>
          <w:rFonts w:ascii="Arial" w:hAnsi="Arial" w:cs="Arial"/>
          <w:sz w:val="24"/>
          <w:szCs w:val="24"/>
        </w:rPr>
      </w:r>
      <w:r>
        <w:rPr>
          <w:rFonts w:ascii="Arial" w:hAnsi="Arial" w:cs="Arial"/>
          <w:sz w:val="24"/>
          <w:szCs w:val="24"/>
          <w:lang w:val="es-ES"/>
        </w:rPr>
        <w:t xml:space="preserve">Artículo 1. La presente Ley es reglamentaria de la fracción V del artículo 3o. y de la fracción XXIX-F </w:t>
      </w:r>
      <w:r>
        <w:rPr>
          <w:rFonts w:ascii="Arial" w:hAnsi="Arial" w:cs="Arial"/>
          <w:sz w:val="24"/>
          <w:szCs w:val="24"/>
          <w:lang w:val="es-ES"/>
        </w:rPr>
        <w:t xml:space="preserve">del artículo 73 de la Constitución Política de los Estados Unidos Mexicanos. Sus disposiciones son de </w:t>
      </w:r>
      <w:r>
        <w:rPr>
          <w:rFonts w:ascii="Arial" w:hAnsi="Arial" w:cs="Arial"/>
          <w:sz w:val="24"/>
          <w:szCs w:val="24"/>
          <w:lang w:val="es-ES"/>
        </w:rPr>
        <w:t xml:space="preserve">orden público, interés social y de observancia general en todo el territorio nacional. Su aplicación </w:t>
      </w:r>
      <w:r>
        <w:rPr>
          <w:rFonts w:ascii="Arial" w:hAnsi="Arial" w:cs="Arial"/>
          <w:sz w:val="24"/>
          <w:szCs w:val="24"/>
          <w:lang w:val="es-ES"/>
        </w:rPr>
        <w:t xml:space="preserve">corresponderá a la Federación, las entidades federativas, los municipios y las demarcaciones territoriales </w:t>
      </w:r>
      <w:r>
        <w:rPr>
          <w:rFonts w:ascii="Arial" w:hAnsi="Arial" w:cs="Arial"/>
          <w:sz w:val="24"/>
          <w:szCs w:val="24"/>
          <w:lang w:val="es-ES"/>
        </w:rPr>
        <w:t xml:space="preserve">de la Ciudad de México, en los términos y ámbitos de competencia en ella previstos.</w:t>
      </w:r>
      <w:r>
        <w:rPr>
          <w:rFonts w:ascii="Arial" w:hAnsi="Arial" w:cs="Arial"/>
          <w:sz w:val="24"/>
          <w:szCs w:val="24"/>
          <w:lang w:val="es-ES"/>
        </w:rPr>
      </w:r>
      <w:r/>
    </w:p>
    <w:p>
      <w:pPr>
        <w:pBdr/>
        <w:spacing/>
        <w:ind/>
        <w:jc w:val="both"/>
        <w:rPr/>
      </w:pPr>
      <w:r>
        <w:rPr>
          <w:rFonts w:ascii="Arial" w:hAnsi="Arial" w:cs="Arial"/>
          <w:sz w:val="24"/>
          <w:szCs w:val="24"/>
          <w:lang w:val="es-ES"/>
        </w:rPr>
        <w:t xml:space="preserve">Tiene por objeto garantizar el ejercicio del derecho humano a la ciencia conforme a los principios de </w:t>
      </w:r>
      <w:r>
        <w:rPr>
          <w:rFonts w:ascii="Arial" w:hAnsi="Arial" w:cs="Arial"/>
          <w:sz w:val="24"/>
          <w:szCs w:val="24"/>
          <w:lang w:val="es-ES"/>
        </w:rPr>
        <w:t xml:space="preserve">universalidad, interdependencia, indivisibilidad y progresividad, con el fin de que toda persona goce de </w:t>
      </w:r>
      <w:r>
        <w:rPr>
          <w:rFonts w:ascii="Arial" w:hAnsi="Arial" w:cs="Arial"/>
          <w:sz w:val="24"/>
          <w:szCs w:val="24"/>
          <w:lang w:val="es-ES"/>
        </w:rPr>
        <w:t xml:space="preserve">los beneficios del desarrollo de la ciencia y la innovación tecnológica, así como de los derechos humanos </w:t>
      </w:r>
      <w:r>
        <w:rPr>
          <w:rFonts w:ascii="Arial" w:hAnsi="Arial" w:cs="Arial"/>
          <w:sz w:val="24"/>
          <w:szCs w:val="24"/>
          <w:lang w:val="es-ES"/>
        </w:rPr>
        <w:t xml:space="preserve">en general.</w:t>
      </w:r>
      <w:r>
        <w:rPr>
          <w:rFonts w:ascii="Arial" w:hAnsi="Arial" w:cs="Arial"/>
          <w:sz w:val="24"/>
          <w:szCs w:val="24"/>
          <w:lang w:val="es-ES"/>
        </w:rPr>
      </w:r>
      <w:r/>
    </w:p>
    <w:p>
      <w:pPr>
        <w:pBdr/>
        <w:spacing/>
        <w:ind/>
        <w:jc w:val="both"/>
        <w:rPr>
          <w:rFonts w:ascii="Arial" w:hAnsi="Arial" w:cs="Arial"/>
          <w:sz w:val="24"/>
          <w:szCs w:val="24"/>
          <w:highlight w:val="none"/>
          <w:lang w:val="es-ES"/>
        </w:rPr>
      </w:pPr>
      <w:r>
        <w:rPr>
          <w:rFonts w:ascii="Arial" w:hAnsi="Arial" w:cs="Arial"/>
          <w:sz w:val="24"/>
          <w:szCs w:val="24"/>
          <w:lang w:val="es-ES"/>
        </w:rPr>
        <w:t xml:space="preserve">En todo caso, el Estado garantizará el derecho a la no discriminación motivada por origen étnico o </w:t>
      </w:r>
      <w:r>
        <w:rPr>
          <w:rFonts w:ascii="Arial" w:hAnsi="Arial" w:cs="Arial"/>
          <w:sz w:val="24"/>
          <w:szCs w:val="24"/>
          <w:lang w:val="es-ES"/>
        </w:rPr>
        <w:t xml:space="preserve">nacional, el género, la edad, las discapacidades, la condición social, las condiciones de salud, la religión, </w:t>
      </w:r>
      <w:r>
        <w:rPr>
          <w:rFonts w:ascii="Arial" w:hAnsi="Arial" w:cs="Arial"/>
          <w:sz w:val="24"/>
          <w:szCs w:val="24"/>
          <w:lang w:val="es-ES"/>
        </w:rPr>
        <w:t xml:space="preserve">las opiniones, las preferencias sexuales, el estado civil o cualquier otra que atente contra la dignidad </w:t>
      </w:r>
      <w:r>
        <w:rPr>
          <w:rFonts w:ascii="Arial" w:hAnsi="Arial" w:cs="Arial"/>
          <w:sz w:val="24"/>
          <w:szCs w:val="24"/>
          <w:lang w:val="es-ES"/>
        </w:rPr>
        <w:t xml:space="preserve">humana y tenga por objeto anular o menoscabar los derechos y libertades de las personas.</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pPr>
      <w:r>
        <w:rPr>
          <w:rFonts w:ascii="Arial" w:hAnsi="Arial" w:cs="Arial"/>
          <w:sz w:val="24"/>
          <w:szCs w:val="24"/>
          <w:highlight w:val="none"/>
          <w:lang w:val="es-ES"/>
        </w:rPr>
        <w:t xml:space="preserve">Artículo 2. Toda persona, de forma individual y colectiva, tiene derecho a participar y acceder al </w:t>
      </w:r>
      <w:r>
        <w:rPr>
          <w:rFonts w:ascii="Arial" w:hAnsi="Arial" w:cs="Arial"/>
          <w:sz w:val="24"/>
          <w:szCs w:val="24"/>
          <w:highlight w:val="none"/>
          <w:lang w:val="es-ES"/>
        </w:rPr>
        <w:t xml:space="preserve">progreso humanístico, científico y tecnológico, así como a gozar de sus beneficios sociales, en los </w:t>
      </w:r>
      <w:r>
        <w:rPr>
          <w:rFonts w:ascii="Arial" w:hAnsi="Arial" w:cs="Arial"/>
          <w:sz w:val="24"/>
          <w:szCs w:val="24"/>
          <w:highlight w:val="none"/>
          <w:lang w:val="es-ES"/>
        </w:rPr>
        <w:t xml:space="preserve">términos de esta Ley, de la demás legislación aplicable, de la Constitución Política de los Estados Unidos </w:t>
      </w:r>
      <w:r>
        <w:rPr>
          <w:rFonts w:ascii="Arial" w:hAnsi="Arial" w:cs="Arial"/>
          <w:sz w:val="24"/>
          <w:szCs w:val="24"/>
          <w:highlight w:val="none"/>
          <w:lang w:val="es-ES"/>
        </w:rPr>
        <w:t xml:space="preserve">Mexicanos y de los Tratados Internacionales de los que el Estado mexicano es parte.</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Para asegurar el ejercicio de este derecho humano, además de las que señale esta Ley, el Estado </w:t>
      </w:r>
      <w:r>
        <w:rPr>
          <w:rFonts w:ascii="Arial" w:hAnsi="Arial" w:cs="Arial"/>
          <w:sz w:val="24"/>
          <w:szCs w:val="24"/>
          <w:highlight w:val="none"/>
          <w:lang w:val="es-ES"/>
        </w:rPr>
        <w:t xml:space="preserve">tiene la obligación de fomentar, realizar y apoyar actividades de investigación humanística y científica, </w:t>
      </w:r>
      <w:r>
        <w:rPr>
          <w:rFonts w:ascii="Arial" w:hAnsi="Arial" w:cs="Arial"/>
          <w:sz w:val="24"/>
          <w:szCs w:val="24"/>
          <w:highlight w:val="none"/>
          <w:lang w:val="es-ES"/>
        </w:rPr>
        <w:t xml:space="preserve">desarrollo tecnológico e innovación que redunden en el bienestar del pueblo de México e incluyan la </w:t>
      </w:r>
      <w:r>
        <w:rPr>
          <w:rFonts w:ascii="Arial" w:hAnsi="Arial" w:cs="Arial"/>
          <w:sz w:val="24"/>
          <w:szCs w:val="24"/>
          <w:highlight w:val="none"/>
          <w:lang w:val="es-ES"/>
        </w:rPr>
        <w:t xml:space="preserve">preservación, restauración, protección y mejoramiento del ambiente, y faciliten el ejercicio y goce de otros </w:t>
      </w:r>
      <w:r>
        <w:rPr>
          <w:rFonts w:ascii="Arial" w:hAnsi="Arial" w:cs="Arial"/>
          <w:sz w:val="24"/>
          <w:szCs w:val="24"/>
          <w:highlight w:val="none"/>
          <w:lang w:val="es-ES"/>
        </w:rPr>
        <w:t xml:space="preserve">derechos humanos, individuales y colectivos de la presente y futuras generaciones.</w:t>
      </w:r>
      <w:r>
        <w:rPr>
          <w:rFonts w:ascii="Arial" w:hAnsi="Arial" w:cs="Arial"/>
          <w:sz w:val="24"/>
          <w:szCs w:val="24"/>
          <w:highlight w:val="none"/>
          <w:lang w:val="es-ES"/>
        </w:rPr>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Bajo la rectoría del Estado, los recursos, capacidades e infraestructuras del sector público en materia </w:t>
      </w:r>
      <w:r>
        <w:rPr>
          <w:rFonts w:ascii="Arial" w:hAnsi="Arial" w:cs="Arial"/>
          <w:sz w:val="24"/>
          <w:szCs w:val="24"/>
          <w:highlight w:val="none"/>
          <w:lang w:val="es-ES"/>
        </w:rPr>
        <w:t xml:space="preserve">de humanidades, ciencias, tecnologías e innovación invariablemente serán puestos al servicio del pueblo </w:t>
      </w:r>
      <w:r>
        <w:rPr>
          <w:rFonts w:ascii="Arial" w:hAnsi="Arial" w:cs="Arial"/>
          <w:sz w:val="24"/>
          <w:szCs w:val="24"/>
          <w:highlight w:val="none"/>
          <w:lang w:val="es-ES"/>
        </w:rPr>
        <w:t xml:space="preserve">de México y su uso, aprovechamiento y explotación permanecerán sujetos al interés público.</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pPr>
      <w:r>
        <w:rPr>
          <w:rFonts w:ascii="Arial" w:hAnsi="Arial" w:cs="Arial"/>
          <w:sz w:val="24"/>
          <w:szCs w:val="24"/>
          <w:highlight w:val="none"/>
          <w:lang w:val="es-ES"/>
        </w:rPr>
        <w:t xml:space="preserve">Articulo 11. </w:t>
      </w:r>
      <w:r>
        <w:rPr>
          <w:rFonts w:ascii="Arial" w:hAnsi="Arial" w:cs="Arial"/>
          <w:sz w:val="24"/>
          <w:szCs w:val="24"/>
          <w:highlight w:val="none"/>
          <w:lang w:val="es-ES"/>
        </w:rPr>
        <w:t xml:space="preserve">XXI. El acceso abierto y gratuito mediante plataformas digitales a la información que derive de la </w:t>
      </w:r>
      <w:r>
        <w:rPr>
          <w:rFonts w:ascii="Arial" w:hAnsi="Arial" w:cs="Arial"/>
          <w:sz w:val="24"/>
          <w:szCs w:val="24"/>
          <w:highlight w:val="none"/>
          <w:lang w:val="es-ES"/>
        </w:rPr>
        <w:t xml:space="preserve">investigación humanística y científica, el desarrollo tecnológico y la innovación apoyados por </w:t>
      </w:r>
      <w:r>
        <w:rPr>
          <w:rFonts w:ascii="Arial" w:hAnsi="Arial" w:cs="Arial"/>
          <w:sz w:val="24"/>
          <w:szCs w:val="24"/>
          <w:highlight w:val="none"/>
          <w:lang w:val="es-ES"/>
        </w:rPr>
        <w:t xml:space="preserve">el Estado, así como su difusión y divulgación, con el fin de garantizar el derecho humano a la </w:t>
      </w:r>
      <w:r>
        <w:rPr>
          <w:rFonts w:ascii="Arial" w:hAnsi="Arial" w:cs="Arial"/>
          <w:sz w:val="24"/>
          <w:szCs w:val="24"/>
          <w:highlight w:val="none"/>
          <w:lang w:val="es-ES"/>
        </w:rPr>
        <w:t xml:space="preserve">ciencia y el interés público, sin perjuicio de aquella información que sea confidencial o </w:t>
      </w:r>
      <w:r>
        <w:rPr>
          <w:rFonts w:ascii="Arial" w:hAnsi="Arial" w:cs="Arial"/>
          <w:sz w:val="24"/>
          <w:szCs w:val="24"/>
          <w:highlight w:val="none"/>
          <w:lang w:val="es-ES"/>
        </w:rPr>
        <w:t xml:space="preserve">reservada en términos de la normativa aplicable; [3]</w:t>
      </w:r>
      <w:r>
        <w:rPr>
          <w:rFonts w:ascii="Arial" w:hAnsi="Arial" w:cs="Arial"/>
          <w:sz w:val="24"/>
          <w:szCs w:val="24"/>
          <w:highlight w:val="none"/>
          <w:lang w:val="es-ES"/>
        </w:rPr>
      </w:r>
      <w:r/>
    </w:p>
    <w:p>
      <w:pPr>
        <w:pBdr/>
        <w:spacing/>
        <w:ind/>
        <w:jc w:val="both"/>
        <w:rPr>
          <w:rFonts w:ascii="Arial" w:hAnsi="Arial" w:cs="Arial"/>
          <w:sz w:val="24"/>
          <w:szCs w:val="24"/>
        </w:rPr>
      </w:pPr>
      <w:r>
        <w:rPr>
          <w:rFonts w:ascii="Arial" w:hAnsi="Arial" w:cs="Arial"/>
          <w:b/>
          <w:bCs/>
          <w:sz w:val="24"/>
          <w:szCs w:val="24"/>
        </w:rPr>
        <w:t xml:space="preserve">Ley Federal de Telecomunicaciones y Radiodifusión</w:t>
      </w:r>
      <w:r>
        <w:rPr>
          <w:rFonts w:ascii="Arial" w:hAnsi="Arial" w:cs="Arial"/>
          <w:sz w:val="24"/>
          <w:szCs w:val="24"/>
        </w:rPr>
      </w:r>
      <w:r>
        <w:rPr>
          <w:rFonts w:ascii="Arial" w:hAnsi="Arial" w:cs="Arial"/>
          <w:sz w:val="24"/>
          <w:szCs w:val="24"/>
        </w:rPr>
      </w:r>
    </w:p>
    <w:p>
      <w:pPr>
        <w:pBdr/>
        <w:spacing/>
        <w:ind/>
        <w:jc w:val="both"/>
        <w:rPr>
          <w:rFonts w:ascii="Arial" w:hAnsi="Arial" w:cs="Arial"/>
          <w:sz w:val="24"/>
          <w:szCs w:val="24"/>
          <w:highlight w:val="none"/>
          <w:lang w:val="es-ES"/>
        </w:rPr>
      </w:pPr>
      <w:r>
        <w:rPr>
          <w:rFonts w:ascii="Arial" w:hAnsi="Arial" w:cs="Arial"/>
          <w:sz w:val="24"/>
          <w:szCs w:val="24"/>
          <w:highlight w:val="none"/>
          <w:lang w:val="es-ES"/>
        </w:rPr>
      </w:r>
      <w:r>
        <w:rPr>
          <w:rFonts w:ascii="Arial" w:hAnsi="Arial" w:cs="Arial"/>
          <w:sz w:val="24"/>
          <w:szCs w:val="24"/>
          <w:lang w:val="es-ES"/>
        </w:rPr>
        <w:t xml:space="preserve">Artículo 1. La presente Ley es de orden público y tiene por objeto regular el uso, aprovechamiento y </w:t>
      </w:r>
      <w:r>
        <w:rPr>
          <w:rFonts w:ascii="Arial" w:hAnsi="Arial" w:cs="Arial"/>
          <w:sz w:val="24"/>
          <w:szCs w:val="24"/>
          <w:lang w:val="es-ES"/>
        </w:rPr>
        <w:t xml:space="preserve">explotación del espectro radioeléctrico, las redes públicas de telecomunicaciones, el acceso a la </w:t>
      </w:r>
      <w:r>
        <w:rPr>
          <w:rFonts w:ascii="Arial" w:hAnsi="Arial" w:cs="Arial"/>
          <w:sz w:val="24"/>
          <w:szCs w:val="24"/>
          <w:lang w:val="es-ES"/>
        </w:rPr>
        <w:t xml:space="preserve">infraestructura activa y pasiva, los recursos orbitales, la comunicación vía satélite, la prestación de los </w:t>
      </w:r>
      <w:r>
        <w:rPr>
          <w:rFonts w:ascii="Arial" w:hAnsi="Arial" w:cs="Arial"/>
          <w:sz w:val="24"/>
          <w:szCs w:val="24"/>
          <w:lang w:val="es-ES"/>
        </w:rPr>
        <w:t xml:space="preserve">servicios públicos de interés general de telecomunicaciones y radiodifusión, y la convergencia entre </w:t>
      </w:r>
      <w:r>
        <w:rPr>
          <w:rFonts w:ascii="Arial" w:hAnsi="Arial" w:cs="Arial"/>
          <w:sz w:val="24"/>
          <w:szCs w:val="24"/>
          <w:lang w:val="es-ES"/>
        </w:rPr>
        <w:t xml:space="preserve">éstos, los derechos de los usuarios y las audiencias, y el proceso de competencia y libre concurrencia en </w:t>
      </w:r>
      <w:r>
        <w:rPr>
          <w:rFonts w:ascii="Arial" w:hAnsi="Arial" w:cs="Arial"/>
          <w:sz w:val="24"/>
          <w:szCs w:val="24"/>
          <w:lang w:val="es-ES"/>
        </w:rPr>
        <w:t xml:space="preserve">estos sectores, para que contribuyan a los fines y al ejercicio de los derechos establecidos en los </w:t>
      </w:r>
      <w:r>
        <w:rPr>
          <w:rFonts w:ascii="Arial" w:hAnsi="Arial" w:cs="Arial"/>
          <w:sz w:val="24"/>
          <w:szCs w:val="24"/>
          <w:lang w:val="es-ES"/>
        </w:rPr>
        <w:t xml:space="preserve">artículos 6o., 7o., 27 y 28 de la Constitución Política de los Estados Unidos Mexicanos.</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pPr>
      <w:r>
        <w:rPr>
          <w:rFonts w:ascii="Arial" w:hAnsi="Arial" w:cs="Arial"/>
          <w:sz w:val="24"/>
          <w:szCs w:val="24"/>
          <w:highlight w:val="none"/>
          <w:lang w:val="es-ES"/>
        </w:rPr>
        <w:t xml:space="preserve">Artículo 2. Las telecomunicaciones y la radiodifusión son servicios públicos de interés general.</w:t>
      </w:r>
      <w:r/>
    </w:p>
    <w:p>
      <w:pPr>
        <w:pBdr/>
        <w:spacing/>
        <w:ind/>
        <w:jc w:val="both"/>
        <w:rPr/>
      </w:pPr>
      <w:r>
        <w:rPr>
          <w:rFonts w:ascii="Arial" w:hAnsi="Arial" w:cs="Arial"/>
          <w:sz w:val="24"/>
          <w:szCs w:val="24"/>
          <w:highlight w:val="none"/>
          <w:lang w:val="es-ES"/>
        </w:rPr>
        <w:t xml:space="preserve">En la prestación de dichos servicios estará prohibida toda discriminación motivada por origen étnico o </w:t>
      </w:r>
      <w:r>
        <w:rPr>
          <w:rFonts w:ascii="Arial" w:hAnsi="Arial" w:cs="Arial"/>
          <w:sz w:val="24"/>
          <w:szCs w:val="24"/>
          <w:highlight w:val="none"/>
          <w:lang w:val="es-ES"/>
        </w:rPr>
        <w:t xml:space="preserve">nacional, el género, la edad, las discapacidades, la condición social, las condiciones de salud, la religión, </w:t>
      </w:r>
      <w:r>
        <w:rPr>
          <w:rFonts w:ascii="Arial" w:hAnsi="Arial" w:cs="Arial"/>
          <w:sz w:val="24"/>
          <w:szCs w:val="24"/>
          <w:highlight w:val="none"/>
          <w:lang w:val="es-ES"/>
        </w:rPr>
        <w:t xml:space="preserve">las opiniones, las preferencias sexuales, el estado civil o cualquier otra que atente contra la dignidad </w:t>
      </w:r>
      <w:r>
        <w:rPr>
          <w:rFonts w:ascii="Arial" w:hAnsi="Arial" w:cs="Arial"/>
          <w:sz w:val="24"/>
          <w:szCs w:val="24"/>
          <w:highlight w:val="none"/>
          <w:lang w:val="es-ES"/>
        </w:rPr>
        <w:t xml:space="preserve">humana y tenga por objeto anular o menoscabar los derechos y libertades de las personas.</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El Estado, al ejercer la rectoría en la materia, protegerá la seguridad y la soberanía de la Nación y </w:t>
      </w:r>
      <w:r>
        <w:rPr>
          <w:rFonts w:ascii="Arial" w:hAnsi="Arial" w:cs="Arial"/>
          <w:sz w:val="24"/>
          <w:szCs w:val="24"/>
          <w:highlight w:val="none"/>
          <w:lang w:val="es-ES"/>
        </w:rPr>
        <w:t xml:space="preserve">garantizará la eficiente prestación de los servicios públicos de interés general de telecomunicaciones y </w:t>
      </w:r>
      <w:r>
        <w:rPr>
          <w:rFonts w:ascii="Arial" w:hAnsi="Arial" w:cs="Arial"/>
          <w:sz w:val="24"/>
          <w:szCs w:val="24"/>
          <w:highlight w:val="none"/>
          <w:lang w:val="es-ES"/>
        </w:rPr>
        <w:t xml:space="preserve">radiodifusión, y para tales efectos establecerá condiciones de competencia efectiva en la prestación de </w:t>
      </w:r>
      <w:r>
        <w:rPr>
          <w:rFonts w:ascii="Arial" w:hAnsi="Arial" w:cs="Arial"/>
          <w:sz w:val="24"/>
          <w:szCs w:val="24"/>
          <w:highlight w:val="none"/>
          <w:lang w:val="es-ES"/>
        </w:rPr>
        <w:t xml:space="preserve">dichos servicios.</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En todo momento el Estado mantendrá el dominio originario, inalienable e imprescriptible sobre el </w:t>
      </w:r>
      <w:r>
        <w:rPr>
          <w:rFonts w:ascii="Arial" w:hAnsi="Arial" w:cs="Arial"/>
          <w:sz w:val="24"/>
          <w:szCs w:val="24"/>
          <w:highlight w:val="none"/>
          <w:lang w:val="es-ES"/>
        </w:rPr>
        <w:t xml:space="preserve">espectro radioeléctrico.</w:t>
      </w:r>
      <w:r>
        <w:rPr>
          <w:rFonts w:ascii="Arial" w:hAnsi="Arial" w:cs="Arial"/>
          <w:sz w:val="24"/>
          <w:szCs w:val="24"/>
          <w:highlight w:val="none"/>
          <w:lang w:val="es-ES"/>
        </w:rPr>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Se podrá permitir el uso, aprovechamiento y explotación del espectro radioeléctrico y de los recursos </w:t>
      </w:r>
      <w:r>
        <w:rPr>
          <w:rFonts w:ascii="Arial" w:hAnsi="Arial" w:cs="Arial"/>
          <w:sz w:val="24"/>
          <w:szCs w:val="24"/>
          <w:highlight w:val="none"/>
          <w:lang w:val="es-ES"/>
        </w:rPr>
        <w:t xml:space="preserve">orbitales, conforme a las modalidades y requisitos establecidos en la presente Ley y demás disposiciones </w:t>
      </w:r>
      <w:r>
        <w:rPr>
          <w:rFonts w:ascii="Arial" w:hAnsi="Arial" w:cs="Arial"/>
          <w:sz w:val="24"/>
          <w:szCs w:val="24"/>
          <w:highlight w:val="none"/>
          <w:lang w:val="es-ES"/>
        </w:rPr>
        <w:t xml:space="preserve">aplicables.</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Artículo 62. El Instituto estará obligado a implementar, operar y mantener actualizado un sistema </w:t>
      </w:r>
      <w:r>
        <w:rPr>
          <w:rFonts w:ascii="Arial" w:hAnsi="Arial" w:cs="Arial"/>
          <w:sz w:val="24"/>
          <w:szCs w:val="24"/>
          <w:highlight w:val="none"/>
          <w:lang w:val="es-ES"/>
        </w:rPr>
        <w:t xml:space="preserve">informático de administración del espectro, así como a establecer los mecanismos y criterios para hacer </w:t>
      </w:r>
      <w:r>
        <w:rPr>
          <w:rFonts w:ascii="Arial" w:hAnsi="Arial" w:cs="Arial"/>
          <w:sz w:val="24"/>
          <w:szCs w:val="24"/>
          <w:highlight w:val="none"/>
          <w:lang w:val="es-ES"/>
        </w:rPr>
        <w:t xml:space="preserve">público el acceso a la información contenida en las bases de datos correspondientes, en términos de la </w:t>
      </w:r>
      <w:r>
        <w:rPr>
          <w:rFonts w:ascii="Arial" w:hAnsi="Arial" w:cs="Arial"/>
          <w:sz w:val="24"/>
          <w:szCs w:val="24"/>
          <w:highlight w:val="none"/>
          <w:lang w:val="es-ES"/>
        </w:rPr>
        <w:t xml:space="preserve">Ley Federal de Transparencia y Acceso a la Información Pública Gubernamental.</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pPr>
      <w:r>
        <w:rPr>
          <w:rFonts w:ascii="Arial" w:hAnsi="Arial" w:cs="Arial"/>
          <w:sz w:val="24"/>
          <w:szCs w:val="24"/>
          <w:highlight w:val="none"/>
          <w:lang w:val="es-ES"/>
        </w:rPr>
        <w:t xml:space="preserve">En el sistema mencionado se incluirá toda la información relativa a la titularidad de las concesiones </w:t>
      </w:r>
      <w:r>
        <w:rPr>
          <w:rFonts w:ascii="Arial" w:hAnsi="Arial" w:cs="Arial"/>
          <w:sz w:val="24"/>
          <w:szCs w:val="24"/>
          <w:highlight w:val="none"/>
          <w:lang w:val="es-ES"/>
        </w:rPr>
        <w:t xml:space="preserve">incluyendo la tecnología, localización y características de las emisiones, así como la relativa al </w:t>
      </w:r>
      <w:r>
        <w:rPr>
          <w:rFonts w:ascii="Arial" w:hAnsi="Arial" w:cs="Arial"/>
          <w:sz w:val="24"/>
          <w:szCs w:val="24"/>
          <w:highlight w:val="none"/>
          <w:lang w:val="es-ES"/>
        </w:rPr>
        <w:t xml:space="preserve">despliegue de la infraestructura instalada y empleada para tales fines.</w:t>
      </w:r>
      <w:r>
        <w:rPr>
          <w:rFonts w:ascii="Arial" w:hAnsi="Arial" w:cs="Arial"/>
          <w:sz w:val="24"/>
          <w:szCs w:val="24"/>
          <w:highlight w:val="none"/>
          <w:lang w:val="es-ES"/>
        </w:rPr>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Los concesionarios se encuentran obligados a entregar al Instituto, en el plazo, formato y medio que </w:t>
      </w:r>
      <w:r>
        <w:rPr>
          <w:rFonts w:ascii="Arial" w:hAnsi="Arial" w:cs="Arial"/>
          <w:sz w:val="24"/>
          <w:szCs w:val="24"/>
          <w:highlight w:val="none"/>
          <w:lang w:val="es-ES"/>
        </w:rPr>
        <w:t xml:space="preserve">para tal efecto se indique, la información referente a dicho uso, aprovechamiento o explotación</w:t>
      </w:r>
      <w:r>
        <w:rPr>
          <w:rFonts w:ascii="Arial" w:hAnsi="Arial" w:cs="Arial"/>
          <w:sz w:val="24"/>
          <w:szCs w:val="24"/>
          <w:highlight w:val="none"/>
          <w:lang w:val="es-ES"/>
        </w:rPr>
        <w:t xml:space="preserve">. [4]</w:t>
      </w:r>
      <w:r>
        <w:rPr>
          <w:rFonts w:ascii="Arial" w:hAnsi="Arial" w:cs="Arial"/>
          <w:sz w:val="24"/>
          <w:szCs w:val="24"/>
          <w:highlight w:val="none"/>
          <w:lang w:val="es-ES"/>
        </w:rPr>
      </w:r>
      <w:r>
        <w:rPr>
          <w:rFonts w:ascii="Arial" w:hAnsi="Arial" w:cs="Arial"/>
          <w:sz w:val="24"/>
          <w:szCs w:val="24"/>
          <w:highlight w:val="none"/>
          <w:lang w:val="es-ES"/>
        </w:rPr>
      </w:r>
    </w:p>
    <w:p>
      <w:pPr>
        <w:pBdr/>
        <w:spacing/>
        <w:ind/>
        <w:jc w:val="center"/>
        <w:rPr>
          <w:rFonts w:ascii="Arial" w:hAnsi="Arial" w:cs="Arial"/>
          <w:sz w:val="24"/>
          <w:szCs w:val="24"/>
          <w:highlight w:val="none"/>
          <w:lang w:val="es-ES"/>
        </w:rPr>
      </w:pPr>
      <w:r>
        <w:rPr>
          <w:rFonts w:ascii="Arial" w:hAnsi="Arial" w:cs="Arial"/>
          <w:sz w:val="24"/>
          <w:szCs w:val="24"/>
          <w:highlight w:val="none"/>
          <w:lang w:val="es-ES"/>
        </w:rPr>
      </w:r>
      <w:r>
        <mc:AlternateContent>
          <mc:Choice Requires="wpg">
            <w:drawing>
              <wp:inline xmlns:wp="http://schemas.openxmlformats.org/drawingml/2006/wordprocessingDrawing" distT="0" distB="0" distL="0" distR="0">
                <wp:extent cx="4075363" cy="249207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28634" name=""/>
                        <pic:cNvPicPr>
                          <a:picLocks noChangeAspect="1"/>
                        </pic:cNvPicPr>
                        <pic:nvPr/>
                      </pic:nvPicPr>
                      <pic:blipFill>
                        <a:blip r:embed="rId13"/>
                        <a:stretch/>
                      </pic:blipFill>
                      <pic:spPr bwMode="auto">
                        <a:xfrm flipH="0" flipV="0">
                          <a:off x="0" y="0"/>
                          <a:ext cx="4075363" cy="249207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20.89pt;height:196.23pt;mso-wrap-distance-left:0.00pt;mso-wrap-distance-top:0.00pt;mso-wrap-distance-right:0.00pt;mso-wrap-distance-bottom:0.00pt;z-index:1;" stroked="false">
                <v:imagedata r:id="rId13" o:title=""/>
                <o:lock v:ext="edit" rotation="t"/>
              </v:shape>
            </w:pict>
          </mc:Fallback>
        </mc:AlternateContent>
      </w:r>
      <w:r>
        <w:rPr>
          <w:rFonts w:ascii="Arial" w:hAnsi="Arial" w:cs="Arial"/>
          <w:sz w:val="24"/>
          <w:szCs w:val="24"/>
          <w:highlight w:val="none"/>
          <w:lang w:val="es-ES"/>
        </w:rPr>
      </w:r>
      <w:r>
        <w:rPr>
          <w:rFonts w:ascii="Arial" w:hAnsi="Arial" w:cs="Arial"/>
          <w:sz w:val="24"/>
          <w:szCs w:val="24"/>
          <w:highlight w:val="none"/>
          <w:lang w:val="es-ES"/>
        </w:rPr>
      </w:r>
    </w:p>
    <w:p>
      <w:pPr>
        <w:pStyle w:val="956"/>
        <w:pBdr/>
        <w:spacing/>
        <w:ind/>
        <w:jc w:val="center"/>
        <w:rPr/>
      </w:pPr>
      <w:r>
        <w:t xml:space="preserve">Figura </w:t>
      </w:r>
      <w:r>
        <w:fldChar w:fldCharType="begin"/>
        <w:instrText xml:space="preserve"> SEQ Figura \* Arabic </w:instrText>
        <w:fldChar w:fldCharType="separate"/>
      </w:r>
      <w:r>
        <w:t xml:space="preserve">3</w:t>
      </w:r>
      <w:r>
        <w:fldChar w:fldCharType="end"/>
      </w:r>
      <w:r>
        <w:t xml:space="preserve"> Antena de telecomunicaciones, su uso esta regulado por esta ley </w:t>
      </w:r>
      <w:r/>
    </w:p>
    <w:p>
      <w:pPr>
        <w:pBdr/>
        <w:spacing/>
        <w:ind/>
        <w:jc w:val="both"/>
        <w:rPr/>
      </w:pPr>
      <w:r>
        <w:rPr>
          <w:rFonts w:ascii="Arial" w:hAnsi="Arial" w:cs="Arial"/>
          <w:b/>
          <w:bCs/>
          <w:sz w:val="24"/>
          <w:szCs w:val="24"/>
          <w:highlight w:val="none"/>
          <w:lang w:val="es-ES"/>
        </w:rPr>
        <w:t xml:space="preserve">Ley federal de la propiedad </w:t>
      </w:r>
      <w:r>
        <w:rPr>
          <w:rFonts w:ascii="Arial" w:hAnsi="Arial" w:cs="Arial"/>
          <w:b/>
          <w:bCs/>
          <w:sz w:val="24"/>
          <w:szCs w:val="24"/>
          <w:highlight w:val="none"/>
          <w:lang w:val="es-ES"/>
        </w:rPr>
        <w:t xml:space="preserve">industrial (LFPI)</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Artículo 1.- Las disposiciones de esta Ley son de orden público y de observancia general en toda la </w:t>
      </w:r>
      <w:r>
        <w:rPr>
          <w:rFonts w:ascii="Arial" w:hAnsi="Arial" w:cs="Arial"/>
          <w:sz w:val="24"/>
          <w:szCs w:val="24"/>
          <w:highlight w:val="none"/>
          <w:lang w:val="es-ES"/>
        </w:rPr>
        <w:t xml:space="preserve">República, sin perjuicio de lo establecido en los Tratados Internacionales de los que México sea parte.</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Su aplicación administrativa corresponde al Ejecutivo Federal por conducto del Instituto Mexicano de </w:t>
      </w:r>
      <w:r>
        <w:rPr>
          <w:rFonts w:ascii="Arial" w:hAnsi="Arial" w:cs="Arial"/>
          <w:sz w:val="24"/>
          <w:szCs w:val="24"/>
          <w:highlight w:val="none"/>
          <w:lang w:val="es-ES"/>
        </w:rPr>
        <w:t xml:space="preserve">la Propiedad Industrial.</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Artículo 2.- Esta Ley tiene por objeto:</w:t>
      </w:r>
      <w:r/>
    </w:p>
    <w:p>
      <w:pPr>
        <w:pBdr/>
        <w:spacing/>
        <w:ind/>
        <w:jc w:val="both"/>
        <w:rPr/>
      </w:pPr>
      <w:r>
        <w:rPr>
          <w:rFonts w:ascii="Arial" w:hAnsi="Arial" w:cs="Arial"/>
          <w:sz w:val="24"/>
          <w:szCs w:val="24"/>
          <w:highlight w:val="none"/>
          <w:lang w:val="es-ES"/>
        </w:rPr>
        <w:t xml:space="preserve">I.- Proteger la propiedad industrial mediante la regulación y otorgamiento de patentes de invención; </w:t>
      </w:r>
      <w:r>
        <w:rPr>
          <w:rFonts w:ascii="Arial" w:hAnsi="Arial" w:cs="Arial"/>
          <w:sz w:val="24"/>
          <w:szCs w:val="24"/>
          <w:highlight w:val="none"/>
          <w:lang w:val="es-ES"/>
        </w:rPr>
        <w:t xml:space="preserve">registros de modelos de utilidad, diseños industriales, esquemas de trazado de circuitos integrados, </w:t>
      </w:r>
      <w:r>
        <w:rPr>
          <w:rFonts w:ascii="Arial" w:hAnsi="Arial" w:cs="Arial"/>
          <w:sz w:val="24"/>
          <w:szCs w:val="24"/>
          <w:highlight w:val="none"/>
          <w:lang w:val="es-ES"/>
        </w:rPr>
        <w:t xml:space="preserve">marcas y avisos comerciales; publicación de nombres comerciales; declaración de protección de </w:t>
      </w:r>
      <w:r>
        <w:rPr>
          <w:rFonts w:ascii="Arial" w:hAnsi="Arial" w:cs="Arial"/>
          <w:sz w:val="24"/>
          <w:szCs w:val="24"/>
          <w:highlight w:val="none"/>
          <w:lang w:val="es-ES"/>
        </w:rPr>
        <w:t xml:space="preserve">denominaciones de origen e indicaciones geográficas;</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II.- Regular los secretos industriales;</w:t>
      </w:r>
      <w:r/>
    </w:p>
    <w:p>
      <w:pPr>
        <w:pBdr/>
        <w:spacing/>
        <w:ind/>
        <w:jc w:val="both"/>
        <w:rPr/>
      </w:pPr>
      <w:r>
        <w:rPr>
          <w:rFonts w:ascii="Arial" w:hAnsi="Arial" w:cs="Arial"/>
          <w:sz w:val="24"/>
          <w:szCs w:val="24"/>
          <w:highlight w:val="none"/>
          <w:lang w:val="es-ES"/>
        </w:rPr>
        <w:t xml:space="preserve">III.- Prevenir los actos que atenten contra la propiedad industrial o que constituyan competencia </w:t>
      </w:r>
      <w:r>
        <w:rPr>
          <w:rFonts w:ascii="Arial" w:hAnsi="Arial" w:cs="Arial"/>
          <w:sz w:val="24"/>
          <w:szCs w:val="24"/>
          <w:highlight w:val="none"/>
          <w:lang w:val="es-ES"/>
        </w:rPr>
        <w:t xml:space="preserve">desleal relacionada con la misma y establecer las sanciones y penas respecto de ellos;</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IV.- Promover y fomentar la actividad inventiva de aplicación industrial, las mejoras técnicas, la </w:t>
      </w:r>
      <w:r>
        <w:rPr>
          <w:rFonts w:ascii="Arial" w:hAnsi="Arial" w:cs="Arial"/>
          <w:sz w:val="24"/>
          <w:szCs w:val="24"/>
          <w:highlight w:val="none"/>
          <w:lang w:val="es-ES"/>
        </w:rPr>
        <w:t xml:space="preserve">creatividad para el diseño y la presentación de productos nuevos y útiles, y</w:t>
      </w:r>
      <w:r>
        <w:rPr>
          <w:rFonts w:ascii="Arial" w:hAnsi="Arial" w:cs="Arial"/>
          <w:sz w:val="24"/>
          <w:szCs w:val="24"/>
          <w:highlight w:val="none"/>
          <w:lang w:val="es-ES"/>
        </w:rPr>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V.- Promover la difusión de los conocimientos tecnológicos en el país.</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pPr>
      <w:r>
        <w:rPr>
          <w:rFonts w:ascii="Arial" w:hAnsi="Arial" w:cs="Arial"/>
          <w:sz w:val="24"/>
          <w:szCs w:val="24"/>
          <w:highlight w:val="none"/>
          <w:lang w:val="es-ES"/>
        </w:rPr>
        <w:t xml:space="preserve">Artículo 48.- Serán patentables las invenciones en todos los campos de la tecnología que sean </w:t>
      </w:r>
      <w:r>
        <w:rPr>
          <w:rFonts w:ascii="Arial" w:hAnsi="Arial" w:cs="Arial"/>
          <w:sz w:val="24"/>
          <w:szCs w:val="24"/>
          <w:highlight w:val="none"/>
          <w:lang w:val="es-ES"/>
        </w:rPr>
        <w:t xml:space="preserve">nuevas, resultado de una actividad inventiva y susceptibles de aplicación industrial, en los términos de </w:t>
      </w:r>
      <w:r>
        <w:rPr>
          <w:rFonts w:ascii="Arial" w:hAnsi="Arial" w:cs="Arial"/>
          <w:sz w:val="24"/>
          <w:szCs w:val="24"/>
          <w:highlight w:val="none"/>
          <w:lang w:val="es-ES"/>
        </w:rPr>
        <w:t xml:space="preserve">esta Ley. [5]</w:t>
      </w:r>
      <w:r>
        <w:rPr>
          <w:rFonts w:ascii="Arial" w:hAnsi="Arial" w:cs="Arial"/>
          <w:sz w:val="24"/>
          <w:szCs w:val="24"/>
          <w:highlight w:val="none"/>
          <w:lang w:val="es-ES"/>
        </w:rPr>
      </w:r>
      <w:r/>
    </w:p>
    <w:p>
      <w:pPr>
        <w:pBdr/>
        <w:spacing/>
        <w:ind/>
        <w:jc w:val="center"/>
        <w:rPr>
          <w:rFonts w:ascii="Arial" w:hAnsi="Arial" w:cs="Arial"/>
          <w:sz w:val="24"/>
          <w:szCs w:val="24"/>
          <w:highlight w:val="none"/>
          <w:lang w:val="es-ES"/>
        </w:rPr>
      </w:pPr>
      <w:r>
        <w:rPr>
          <w:rFonts w:ascii="Arial" w:hAnsi="Arial" w:cs="Arial"/>
          <w:sz w:val="24"/>
          <w:szCs w:val="24"/>
          <w:highlight w:val="none"/>
          <w:lang w:val="es-ES"/>
        </w:rPr>
      </w:r>
      <w:r>
        <mc:AlternateContent>
          <mc:Choice Requires="wpg">
            <w:drawing>
              <wp:inline xmlns:wp="http://schemas.openxmlformats.org/drawingml/2006/wordprocessingDrawing" distT="0" distB="0" distL="0" distR="0">
                <wp:extent cx="3427892" cy="144755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78653" name=""/>
                        <pic:cNvPicPr>
                          <a:picLocks noChangeAspect="1"/>
                        </pic:cNvPicPr>
                        <pic:nvPr/>
                      </pic:nvPicPr>
                      <pic:blipFill>
                        <a:blip r:embed="rId14"/>
                        <a:stretch/>
                      </pic:blipFill>
                      <pic:spPr bwMode="auto">
                        <a:xfrm flipH="0" flipV="0">
                          <a:off x="0" y="0"/>
                          <a:ext cx="3427891" cy="14475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69.91pt;height:113.98pt;mso-wrap-distance-left:0.00pt;mso-wrap-distance-top:0.00pt;mso-wrap-distance-right:0.00pt;mso-wrap-distance-bottom:0.00pt;z-index:1;" stroked="false">
                <v:imagedata r:id="rId14" o:title=""/>
                <o:lock v:ext="edit" rotation="t"/>
              </v:shape>
            </w:pict>
          </mc:Fallback>
        </mc:AlternateContent>
      </w:r>
      <w:r>
        <w:rPr>
          <w:rFonts w:ascii="Arial" w:hAnsi="Arial" w:cs="Arial"/>
          <w:sz w:val="24"/>
          <w:szCs w:val="24"/>
          <w:highlight w:val="none"/>
          <w:lang w:val="es-ES"/>
        </w:rPr>
      </w:r>
      <w:r>
        <w:rPr>
          <w:rFonts w:ascii="Arial" w:hAnsi="Arial" w:cs="Arial"/>
          <w:sz w:val="24"/>
          <w:szCs w:val="24"/>
          <w:highlight w:val="none"/>
          <w:lang w:val="es-ES"/>
        </w:rPr>
      </w:r>
    </w:p>
    <w:p>
      <w:pPr>
        <w:pStyle w:val="956"/>
        <w:pBdr/>
        <w:spacing/>
        <w:ind/>
        <w:jc w:val="center"/>
        <w:rPr/>
      </w:pPr>
      <w:r>
        <w:t xml:space="preserve">Figura </w:t>
      </w:r>
      <w:r>
        <w:fldChar w:fldCharType="begin"/>
        <w:instrText xml:space="preserve"> SEQ Figura \* Arabic </w:instrText>
        <w:fldChar w:fldCharType="separate"/>
      </w:r>
      <w:r>
        <w:t xml:space="preserve">4</w:t>
      </w:r>
      <w:r>
        <w:fldChar w:fldCharType="end"/>
      </w:r>
      <w:r>
        <w:t xml:space="preserve"> Logotipos de la marca registrada </w:t>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r>
      <w:r>
        <w:rPr>
          <w:rFonts w:ascii="Arial" w:hAnsi="Arial" w:cs="Arial"/>
          <w:b/>
          <w:bCs/>
          <w:sz w:val="24"/>
          <w:szCs w:val="24"/>
          <w:highlight w:val="none"/>
          <w:lang w:val="es-ES"/>
        </w:rPr>
        <w:t xml:space="preserve">Ley de Firma Electrónica Avanzada </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pPr>
      <w:r>
        <w:rPr>
          <w:rFonts w:ascii="Arial" w:hAnsi="Arial" w:cs="Arial"/>
          <w:sz w:val="24"/>
          <w:szCs w:val="24"/>
          <w:highlight w:val="none"/>
          <w:lang w:val="es-ES"/>
        </w:rPr>
        <w:t xml:space="preserve">Artículo 1. La presente Ley es de orden e interés público y tiene por objeto regular:</w:t>
      </w:r>
      <w:r/>
    </w:p>
    <w:p>
      <w:pPr>
        <w:pBdr/>
        <w:spacing/>
        <w:ind/>
        <w:jc w:val="both"/>
        <w:rPr/>
      </w:pPr>
      <w:r>
        <w:rPr>
          <w:rFonts w:ascii="Arial" w:hAnsi="Arial" w:cs="Arial"/>
          <w:sz w:val="24"/>
          <w:szCs w:val="24"/>
          <w:highlight w:val="none"/>
          <w:lang w:val="es-ES"/>
        </w:rPr>
        <w:t xml:space="preserve">I. El uso de la firma electrónica avanzada en los actos previstos en esta Ley y la expedición de </w:t>
      </w:r>
      <w:r>
        <w:rPr>
          <w:rFonts w:ascii="Arial" w:hAnsi="Arial" w:cs="Arial"/>
          <w:sz w:val="24"/>
          <w:szCs w:val="24"/>
          <w:highlight w:val="none"/>
          <w:lang w:val="es-ES"/>
        </w:rPr>
        <w:t xml:space="preserve">certificados digitales a personas físicas;</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II. Los servicios relacionados con la firma electrónica avanzada, y</w:t>
      </w:r>
      <w:r/>
    </w:p>
    <w:p>
      <w:pPr>
        <w:pBdr/>
        <w:spacing/>
        <w:ind/>
        <w:jc w:val="both"/>
        <w:rPr/>
      </w:pPr>
      <w:r>
        <w:rPr>
          <w:rFonts w:ascii="Arial" w:hAnsi="Arial" w:cs="Arial"/>
          <w:sz w:val="24"/>
          <w:szCs w:val="24"/>
          <w:highlight w:val="none"/>
          <w:lang w:val="es-ES"/>
        </w:rPr>
        <w:t xml:space="preserve">III. La homologación de la firma electrónica avanzada con las firmas electrónicas avanzadas </w:t>
      </w:r>
      <w:r>
        <w:rPr>
          <w:rFonts w:ascii="Arial" w:hAnsi="Arial" w:cs="Arial"/>
          <w:sz w:val="24"/>
          <w:szCs w:val="24"/>
          <w:highlight w:val="none"/>
          <w:lang w:val="es-ES"/>
        </w:rPr>
        <w:t xml:space="preserve">reguladas por otros ordenamientos legales, en los términos establecidos en esta Ley.</w:t>
      </w:r>
      <w:r>
        <w:rPr>
          <w:rFonts w:ascii="Arial" w:hAnsi="Arial" w:cs="Arial"/>
          <w:sz w:val="24"/>
          <w:szCs w:val="24"/>
          <w:highlight w:val="none"/>
          <w:lang w:val="es-ES"/>
        </w:rPr>
      </w:r>
      <w:r/>
    </w:p>
    <w:p>
      <w:pPr>
        <w:pBdr/>
        <w:shd w:val="nil" w:color="000000"/>
        <w:spacing/>
        <w:ind/>
        <w:rPr/>
      </w:pPr>
      <w:r>
        <w:rPr>
          <w:rFonts w:ascii="Arial" w:hAnsi="Arial" w:cs="Arial"/>
          <w:sz w:val="24"/>
          <w:szCs w:val="24"/>
          <w:highlight w:val="none"/>
          <w:lang w:val="es-ES"/>
        </w:rPr>
        <w:t xml:space="preserve">Artículo 3. Están sujetos a las disposiciones de la presente Ley:</w:t>
      </w:r>
      <w:r/>
    </w:p>
    <w:p>
      <w:pPr>
        <w:pBdr/>
        <w:shd w:val="nil" w:color="000000"/>
        <w:spacing/>
        <w:ind/>
        <w:rPr/>
      </w:pPr>
      <w:r>
        <w:rPr>
          <w:rFonts w:ascii="Arial" w:hAnsi="Arial" w:cs="Arial"/>
          <w:sz w:val="24"/>
          <w:szCs w:val="24"/>
          <w:highlight w:val="none"/>
          <w:lang w:val="es-ES"/>
        </w:rPr>
        <w:t xml:space="preserve">I. Las dependencias y entidades;</w:t>
      </w:r>
      <w:r/>
    </w:p>
    <w:p>
      <w:pPr>
        <w:pBdr/>
        <w:shd w:val="nil" w:color="000000"/>
        <w:spacing/>
        <w:ind/>
        <w:rPr/>
      </w:pPr>
      <w:r>
        <w:rPr>
          <w:rFonts w:ascii="Arial" w:hAnsi="Arial" w:cs="Arial"/>
          <w:sz w:val="24"/>
          <w:szCs w:val="24"/>
          <w:highlight w:val="none"/>
          <w:lang w:val="es-ES"/>
        </w:rPr>
        <w:t xml:space="preserve">II. Los servidores públicos de las dependencias y entidades que en la realización de los actos a </w:t>
      </w:r>
      <w:r>
        <w:rPr>
          <w:rFonts w:ascii="Arial" w:hAnsi="Arial" w:cs="Arial"/>
          <w:sz w:val="24"/>
          <w:szCs w:val="24"/>
          <w:highlight w:val="none"/>
          <w:lang w:val="es-ES"/>
        </w:rPr>
        <w:t xml:space="preserve">que se refiere esta Ley utilicen la firma electrónica avanzada, y</w:t>
      </w:r>
      <w:r>
        <w:rPr>
          <w:rFonts w:ascii="Arial" w:hAnsi="Arial" w:cs="Arial"/>
          <w:sz w:val="24"/>
          <w:szCs w:val="24"/>
          <w:highlight w:val="none"/>
          <w:lang w:val="es-ES"/>
        </w:rPr>
      </w:r>
      <w:r/>
    </w:p>
    <w:p>
      <w:pPr>
        <w:pBdr/>
        <w:shd w:val="nil" w:color="000000"/>
        <w:spacing/>
        <w:ind/>
        <w:rPr/>
      </w:pPr>
      <w:r>
        <w:rPr>
          <w:rFonts w:ascii="Arial" w:hAnsi="Arial" w:cs="Arial"/>
          <w:sz w:val="24"/>
          <w:szCs w:val="24"/>
          <w:highlight w:val="none"/>
          <w:lang w:val="es-ES"/>
        </w:rPr>
        <w:t xml:space="preserve">III. Los particulares, en los casos en que utilicen la firma electrónica avanzada en términos de esta </w:t>
      </w:r>
      <w:r>
        <w:rPr>
          <w:rFonts w:ascii="Arial" w:hAnsi="Arial" w:cs="Arial"/>
          <w:sz w:val="24"/>
          <w:szCs w:val="24"/>
          <w:highlight w:val="none"/>
          <w:lang w:val="es-ES"/>
        </w:rPr>
        <w:t xml:space="preserve">Ley.</w:t>
      </w:r>
      <w:r>
        <w:rPr>
          <w:rFonts w:ascii="Arial" w:hAnsi="Arial" w:cs="Arial"/>
          <w:sz w:val="24"/>
          <w:szCs w:val="24"/>
          <w:highlight w:val="none"/>
          <w:lang w:val="es-ES"/>
        </w:rPr>
      </w:r>
      <w:r/>
    </w:p>
    <w:p>
      <w:pPr>
        <w:pBdr/>
        <w:shd w:val="nil" w:color="000000"/>
        <w:spacing/>
        <w:ind/>
        <w:rPr/>
      </w:pPr>
      <w:r>
        <w:rPr>
          <w:rFonts w:ascii="Arial" w:hAnsi="Arial" w:cs="Arial"/>
          <w:sz w:val="24"/>
          <w:szCs w:val="24"/>
          <w:highlight w:val="none"/>
          <w:lang w:val="es-ES"/>
        </w:rPr>
        <w:t xml:space="preserve">Artículo 4. Las disposiciones de esta Ley no serán aplicables a los actos en que no sea factible el uso </w:t>
      </w:r>
      <w:r>
        <w:rPr>
          <w:rFonts w:ascii="Arial" w:hAnsi="Arial" w:cs="Arial"/>
          <w:sz w:val="24"/>
          <w:szCs w:val="24"/>
          <w:highlight w:val="none"/>
          <w:lang w:val="es-ES"/>
        </w:rPr>
        <w:t xml:space="preserve">de la firma electrónica avanzada por disposición de ley o aquéllos en que exista previo dictamen de la </w:t>
      </w:r>
      <w:r>
        <w:rPr>
          <w:rFonts w:ascii="Arial" w:hAnsi="Arial" w:cs="Arial"/>
          <w:sz w:val="24"/>
          <w:szCs w:val="24"/>
          <w:highlight w:val="none"/>
          <w:lang w:val="es-ES"/>
        </w:rPr>
        <w:t xml:space="preserve">Secretaría. Tampoco serán aplicables a las materias fiscal, aduanera y financiera.</w:t>
      </w:r>
      <w:r>
        <w:rPr>
          <w:rFonts w:ascii="Arial" w:hAnsi="Arial" w:cs="Arial"/>
          <w:sz w:val="24"/>
          <w:szCs w:val="24"/>
          <w:highlight w:val="none"/>
          <w:lang w:val="es-ES"/>
        </w:rPr>
      </w:r>
      <w:r/>
    </w:p>
    <w:p>
      <w:pPr>
        <w:pBdr/>
        <w:shd w:val="nil" w:color="000000"/>
        <w:spacing/>
        <w:ind/>
        <w:rPr>
          <w:rFonts w:ascii="Arial" w:hAnsi="Arial" w:cs="Arial"/>
          <w:sz w:val="24"/>
          <w:szCs w:val="24"/>
          <w:highlight w:val="none"/>
          <w:lang w:val="es-ES"/>
        </w:rPr>
      </w:pPr>
      <w:r>
        <w:rPr>
          <w:rFonts w:ascii="Arial" w:hAnsi="Arial" w:cs="Arial"/>
          <w:sz w:val="24"/>
          <w:szCs w:val="24"/>
          <w:highlight w:val="none"/>
          <w:lang w:val="es-ES"/>
        </w:rPr>
        <w:t xml:space="preserve">En los actos de comercio e inscripciones en el Registro Público de Comercio, el uso de la firma </w:t>
      </w:r>
      <w:r>
        <w:rPr>
          <w:rFonts w:ascii="Arial" w:hAnsi="Arial" w:cs="Arial"/>
          <w:sz w:val="24"/>
          <w:szCs w:val="24"/>
          <w:highlight w:val="none"/>
          <w:lang w:val="es-ES"/>
        </w:rPr>
        <w:t xml:space="preserve">electrónica avanzada se regirá de conformidad con lo previsto en el Código de Comercio y demás </w:t>
      </w:r>
      <w:r>
        <w:rPr>
          <w:rFonts w:ascii="Arial" w:hAnsi="Arial" w:cs="Arial"/>
          <w:sz w:val="24"/>
          <w:szCs w:val="24"/>
          <w:highlight w:val="none"/>
          <w:lang w:val="es-ES"/>
        </w:rPr>
        <w:t xml:space="preserve">ordenamientos aplicables en la materia, sin perjuicio de la aplicación de lo dispuesto en esta Ley en lo </w:t>
      </w:r>
      <w:r>
        <w:rPr>
          <w:rFonts w:ascii="Arial" w:hAnsi="Arial" w:cs="Arial"/>
          <w:sz w:val="24"/>
          <w:szCs w:val="24"/>
          <w:highlight w:val="none"/>
          <w:lang w:val="es-ES"/>
        </w:rPr>
        <w:t xml:space="preserve">que resulte procedente.</w:t>
      </w:r>
      <w:r>
        <w:rPr>
          <w:rFonts w:ascii="Arial" w:hAnsi="Arial" w:cs="Arial"/>
          <w:sz w:val="24"/>
          <w:szCs w:val="24"/>
          <w:highlight w:val="none"/>
          <w:lang w:val="es-ES"/>
        </w:rPr>
        <w:t xml:space="preserve"> [6]</w:t>
      </w:r>
      <w:r>
        <w:rPr>
          <w:rFonts w:ascii="Arial" w:hAnsi="Arial" w:cs="Arial"/>
          <w:sz w:val="24"/>
          <w:szCs w:val="24"/>
          <w:highlight w:val="none"/>
          <w:lang w:val="es-ES"/>
        </w:rPr>
      </w:r>
      <w:r>
        <w:rPr>
          <w:rFonts w:ascii="Arial" w:hAnsi="Arial" w:cs="Arial"/>
          <w:sz w:val="24"/>
          <w:szCs w:val="24"/>
          <w:highlight w:val="none"/>
          <w:lang w:val="es-ES"/>
        </w:rPr>
      </w:r>
    </w:p>
    <w:p>
      <w:pPr>
        <w:pBdr/>
        <w:shd w:val="nil" w:color="000000"/>
        <w:spacing/>
        <w:ind/>
        <w:jc w:val="center"/>
        <w:rPr>
          <w:rFonts w:ascii="Arial" w:hAnsi="Arial" w:cs="Arial"/>
          <w:sz w:val="24"/>
          <w:szCs w:val="24"/>
          <w:highlight w:val="none"/>
          <w:lang w:val="es-ES"/>
        </w:rPr>
      </w:pPr>
      <w:r>
        <w:rPr>
          <w:rFonts w:ascii="Arial" w:hAnsi="Arial" w:cs="Arial"/>
          <w:sz w:val="24"/>
          <w:szCs w:val="24"/>
          <w:highlight w:val="none"/>
          <w:lang w:val="es-ES"/>
        </w:rPr>
      </w:r>
      <w:r>
        <mc:AlternateContent>
          <mc:Choice Requires="wpg">
            <w:drawing>
              <wp:inline xmlns:wp="http://schemas.openxmlformats.org/drawingml/2006/wordprocessingDrawing" distT="0" distB="0" distL="0" distR="0">
                <wp:extent cx="3139315" cy="209392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59747" name=""/>
                        <pic:cNvPicPr>
                          <a:picLocks noChangeAspect="1"/>
                        </pic:cNvPicPr>
                        <pic:nvPr/>
                      </pic:nvPicPr>
                      <pic:blipFill>
                        <a:blip r:embed="rId15"/>
                        <a:stretch/>
                      </pic:blipFill>
                      <pic:spPr bwMode="auto">
                        <a:xfrm flipH="0" flipV="0">
                          <a:off x="0" y="0"/>
                          <a:ext cx="3139314" cy="20939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47.19pt;height:164.88pt;mso-wrap-distance-left:0.00pt;mso-wrap-distance-top:0.00pt;mso-wrap-distance-right:0.00pt;mso-wrap-distance-bottom:0.00pt;z-index:1;" stroked="false">
                <v:imagedata r:id="rId15" o:title=""/>
                <o:lock v:ext="edit" rotation="t"/>
              </v:shape>
            </w:pict>
          </mc:Fallback>
        </mc:AlternateContent>
      </w:r>
      <w:r>
        <w:rPr>
          <w:rFonts w:ascii="Arial" w:hAnsi="Arial" w:cs="Arial"/>
          <w:sz w:val="24"/>
          <w:szCs w:val="24"/>
          <w:highlight w:val="none"/>
          <w:lang w:val="es-ES"/>
        </w:rPr>
      </w:r>
      <w:r>
        <w:rPr>
          <w:rFonts w:ascii="Arial" w:hAnsi="Arial" w:cs="Arial"/>
          <w:sz w:val="24"/>
          <w:szCs w:val="24"/>
          <w:highlight w:val="none"/>
          <w:lang w:val="es-ES"/>
        </w:rPr>
      </w:r>
    </w:p>
    <w:p>
      <w:pPr>
        <w:pStyle w:val="956"/>
        <w:pBdr/>
        <w:spacing/>
        <w:ind/>
        <w:jc w:val="center"/>
        <w:rPr/>
      </w:pPr>
      <w:r>
        <w:t xml:space="preserve">Figura </w:t>
      </w:r>
      <w:r>
        <w:fldChar w:fldCharType="begin"/>
        <w:instrText xml:space="preserve"> SEQ Figura \* Arabic </w:instrText>
        <w:fldChar w:fldCharType="separate"/>
      </w:r>
      <w:r>
        <w:t xml:space="preserve">5</w:t>
      </w:r>
      <w:r>
        <w:fldChar w:fldCharType="end"/>
      </w:r>
      <w:r>
        <w:t xml:space="preserve"> </w:t>
      </w:r>
      <w:r>
        <w:t xml:space="preserve">Esta ley busca regular el uso de la firma electrónica avanzada </w:t>
      </w:r>
      <w:r/>
    </w:p>
    <w:p>
      <w:pPr>
        <w:pBdr/>
        <w:shd w:val="nil" w:color="000000"/>
        <w:spacing/>
        <w:ind/>
        <w:jc w:val="center"/>
        <w:rPr>
          <w:rFonts w:ascii="Arial" w:hAnsi="Arial" w:cs="Arial"/>
          <w:sz w:val="24"/>
          <w:szCs w:val="24"/>
          <w:highlight w:val="none"/>
          <w:lang w:val="es-ES"/>
        </w:rPr>
      </w:pPr>
      <w:r>
        <w:rPr>
          <w:rFonts w:ascii="Arial" w:hAnsi="Arial" w:cs="Arial"/>
          <w:sz w:val="24"/>
          <w:szCs w:val="24"/>
          <w:highlight w:val="none"/>
          <w:lang w:val="es-ES"/>
        </w:rPr>
        <w:br w:type="page" w:clear="all"/>
      </w:r>
      <w:r>
        <w:rPr>
          <w:rFonts w:ascii="Arial" w:hAnsi="Arial" w:cs="Arial"/>
          <w:sz w:val="24"/>
          <w:szCs w:val="24"/>
          <w:highlight w:val="none"/>
          <w:lang w:val="es-ES"/>
        </w:rPr>
      </w:r>
      <w:r>
        <w:rPr>
          <w:rFonts w:ascii="Arial" w:hAnsi="Arial" w:cs="Arial"/>
          <w:sz w:val="24"/>
          <w:szCs w:val="24"/>
          <w:highlight w:val="none"/>
          <w:lang w:val="es-ES"/>
        </w:rPr>
      </w:r>
    </w:p>
    <w:p>
      <w:pPr>
        <w:pBdr/>
        <w:spacing/>
        <w:ind/>
        <w:jc w:val="center"/>
        <w:rPr>
          <w:rFonts w:ascii="Arial" w:hAnsi="Arial" w:cs="Arial"/>
          <w:sz w:val="24"/>
          <w:szCs w:val="24"/>
          <w:highlight w:val="none"/>
          <w:lang w:val="es-ES"/>
        </w:rPr>
      </w:pPr>
      <w:r>
        <w:rPr>
          <w:rFonts w:ascii="Arial" w:hAnsi="Arial" w:cs="Arial"/>
          <w:b/>
          <w:bCs/>
          <w:sz w:val="24"/>
          <w:szCs w:val="24"/>
          <w:highlight w:val="none"/>
          <w:lang w:val="es-ES"/>
        </w:rPr>
        <w:t xml:space="preserve">Cuadro resumen de las leyes</w:t>
      </w:r>
      <w:r>
        <w:rPr>
          <w:rFonts w:ascii="Arial" w:hAnsi="Arial" w:cs="Arial"/>
          <w:sz w:val="24"/>
          <w:szCs w:val="24"/>
          <w:highlight w:val="none"/>
          <w:lang w:val="es-ES"/>
        </w:rPr>
      </w:r>
      <w:r>
        <w:rPr>
          <w:rFonts w:ascii="Arial" w:hAnsi="Arial" w:cs="Arial"/>
          <w:sz w:val="24"/>
          <w:szCs w:val="24"/>
          <w:highlight w:val="none"/>
          <w:lang w:val="es-ES"/>
        </w:rPr>
      </w:r>
    </w:p>
    <w:tbl>
      <w:tblPr>
        <w:tblStyle w:val="959"/>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21"/>
        <w:gridCol w:w="2411"/>
        <w:gridCol w:w="2329"/>
        <w:gridCol w:w="3094"/>
      </w:tblGrid>
      <w:tr>
        <w:trPr/>
        <w:tc>
          <w:tcPr>
            <w:tcBorders/>
            <w:tcMar>
              <w:left w:w="15" w:type="dxa"/>
              <w:top w:w="15" w:type="dxa"/>
              <w:right w:w="15" w:type="dxa"/>
              <w:bottom w:w="15" w:type="dxa"/>
            </w:tcMar>
            <w:tcW w:w="1521"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Ley</w:t>
            </w:r>
            <w:r>
              <w:rPr>
                <w:rFonts w:ascii="Arial" w:hAnsi="Arial" w:cs="Arial"/>
              </w:rPr>
            </w:r>
            <w:r>
              <w:rPr>
                <w:rFonts w:ascii="Arial" w:hAnsi="Arial" w:cs="Arial"/>
              </w:rPr>
            </w:r>
          </w:p>
        </w:tc>
        <w:tc>
          <w:tcPr>
            <w:tcBorders/>
            <w:tcMar>
              <w:left w:w="15" w:type="dxa"/>
              <w:top w:w="15" w:type="dxa"/>
              <w:right w:w="15" w:type="dxa"/>
              <w:bottom w:w="15" w:type="dxa"/>
            </w:tcMar>
            <w:tcW w:w="2411"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Descripción</w:t>
            </w:r>
            <w:r>
              <w:rPr>
                <w:rFonts w:ascii="Arial" w:hAnsi="Arial" w:cs="Arial"/>
              </w:rPr>
            </w:r>
            <w:r>
              <w:rPr>
                <w:rFonts w:ascii="Arial" w:hAnsi="Arial" w:cs="Arial"/>
              </w:rPr>
            </w:r>
          </w:p>
        </w:tc>
        <w:tc>
          <w:tcPr>
            <w:tcBorders/>
            <w:tcMar>
              <w:left w:w="15" w:type="dxa"/>
              <w:top w:w="15" w:type="dxa"/>
              <w:right w:w="15" w:type="dxa"/>
              <w:bottom w:w="15" w:type="dxa"/>
            </w:tcMar>
            <w:tcW w:w="2329"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Área de aplicación</w:t>
            </w:r>
            <w:r>
              <w:rPr>
                <w:rFonts w:ascii="Arial" w:hAnsi="Arial" w:cs="Arial"/>
              </w:rPr>
            </w:r>
            <w:r>
              <w:rPr>
                <w:rFonts w:ascii="Arial" w:hAnsi="Arial" w:cs="Arial"/>
              </w:rPr>
            </w:r>
          </w:p>
        </w:tc>
        <w:tc>
          <w:tcPr>
            <w:tcBorders/>
            <w:tcMar>
              <w:left w:w="15" w:type="dxa"/>
              <w:top w:w="15" w:type="dxa"/>
              <w:right w:w="15" w:type="dxa"/>
              <w:bottom w:w="15" w:type="dxa"/>
            </w:tcMar>
            <w:tcW w:w="3094"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Alcance</w:t>
            </w:r>
            <w:r>
              <w:rPr>
                <w:rFonts w:ascii="Arial" w:hAnsi="Arial" w:cs="Arial"/>
              </w:rPr>
            </w:r>
            <w:r>
              <w:rPr>
                <w:rFonts w:ascii="Arial" w:hAnsi="Arial" w:cs="Arial"/>
              </w:rPr>
            </w:r>
          </w:p>
        </w:tc>
      </w:tr>
      <w:tr>
        <w:trPr/>
        <w:tc>
          <w:tcPr>
            <w:tcBorders/>
            <w:tcMar>
              <w:left w:w="15" w:type="dxa"/>
              <w:top w:w="15" w:type="dxa"/>
              <w:right w:w="15" w:type="dxa"/>
              <w:bottom w:w="15" w:type="dxa"/>
            </w:tcMar>
            <w:tcW w:w="152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Ley Federal de Protección de Datos Personales en Posesión de los Particulares</w:t>
            </w:r>
            <w:r>
              <w:rPr>
                <w:rFonts w:ascii="Arial" w:hAnsi="Arial" w:cs="Arial"/>
              </w:rPr>
            </w:r>
            <w:r>
              <w:rPr>
                <w:rFonts w:ascii="Arial" w:hAnsi="Arial" w:cs="Arial"/>
              </w:rPr>
            </w:r>
          </w:p>
        </w:tc>
        <w:tc>
          <w:tcPr>
            <w:tcBorders/>
            <w:tcMar>
              <w:left w:w="15" w:type="dxa"/>
              <w:top w:w="15" w:type="dxa"/>
              <w:right w:w="15" w:type="dxa"/>
              <w:bottom w:w="15" w:type="dxa"/>
            </w:tcMar>
            <w:tcW w:w="241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Regula el tratamiento de datos personales por parte de entidades privadas para garantizar la privacidad y autodeterminación informativa.</w:t>
            </w:r>
            <w:r>
              <w:rPr>
                <w:rFonts w:ascii="Arial" w:hAnsi="Arial" w:cs="Arial"/>
              </w:rPr>
            </w:r>
            <w:r>
              <w:rPr>
                <w:rFonts w:ascii="Arial" w:hAnsi="Arial" w:cs="Arial"/>
              </w:rPr>
            </w:r>
          </w:p>
        </w:tc>
        <w:tc>
          <w:tcPr>
            <w:tcBorders/>
            <w:tcMar>
              <w:left w:w="15" w:type="dxa"/>
              <w:top w:w="15" w:type="dxa"/>
              <w:right w:w="15" w:type="dxa"/>
              <w:bottom w:w="15" w:type="dxa"/>
            </w:tcMar>
            <w:tcW w:w="232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Sector privado (empresas, organizaciones no gubernamentales, particulares que manejen datos).</w:t>
            </w:r>
            <w:r>
              <w:rPr>
                <w:rFonts w:ascii="Arial" w:hAnsi="Arial" w:cs="Arial"/>
              </w:rPr>
            </w:r>
            <w:r>
              <w:rPr>
                <w:rFonts w:ascii="Arial" w:hAnsi="Arial" w:cs="Arial"/>
              </w:rPr>
            </w:r>
          </w:p>
        </w:tc>
        <w:tc>
          <w:tcPr>
            <w:tcBorders/>
            <w:tcMar>
              <w:left w:w="15" w:type="dxa"/>
              <w:top w:w="15" w:type="dxa"/>
              <w:right w:w="15" w:type="dxa"/>
              <w:bottom w:w="15" w:type="dxa"/>
            </w:tcMar>
            <w:tcW w:w="3094"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Establece obligaciones para la recolección, almacenamiento, uso y transferencia de datos personales, incluyendo el consentimiento informado y sanciones por incumplimiento.</w:t>
            </w:r>
            <w:r>
              <w:rPr>
                <w:rFonts w:ascii="Arial" w:hAnsi="Arial" w:cs="Arial"/>
              </w:rPr>
            </w:r>
            <w:r>
              <w:rPr>
                <w:rFonts w:ascii="Arial" w:hAnsi="Arial" w:cs="Arial"/>
              </w:rPr>
            </w:r>
          </w:p>
        </w:tc>
      </w:tr>
      <w:tr>
        <w:trPr/>
        <w:tc>
          <w:tcPr>
            <w:tcBorders/>
            <w:tcMar>
              <w:left w:w="15" w:type="dxa"/>
              <w:top w:w="15" w:type="dxa"/>
              <w:right w:w="15" w:type="dxa"/>
              <w:bottom w:w="15" w:type="dxa"/>
            </w:tcMar>
            <w:tcW w:w="152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Ley General de Protección de Datos Personales en Posesión de Sujetos Obligados</w:t>
            </w:r>
            <w:r>
              <w:rPr>
                <w:rFonts w:ascii="Arial" w:hAnsi="Arial" w:cs="Arial"/>
              </w:rPr>
            </w:r>
            <w:r>
              <w:rPr>
                <w:rFonts w:ascii="Arial" w:hAnsi="Arial" w:cs="Arial"/>
              </w:rPr>
            </w:r>
          </w:p>
        </w:tc>
        <w:tc>
          <w:tcPr>
            <w:tcBorders/>
            <w:tcMar>
              <w:left w:w="15" w:type="dxa"/>
              <w:top w:w="15" w:type="dxa"/>
              <w:right w:w="15" w:type="dxa"/>
              <w:bottom w:w="15" w:type="dxa"/>
            </w:tcMar>
            <w:tcW w:w="241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Regula el manejo de datos personales por parte de entidades públicas y sujetos obligados (gobiernos, instituciones públicas).</w:t>
            </w:r>
            <w:r>
              <w:rPr>
                <w:rFonts w:ascii="Arial" w:hAnsi="Arial" w:cs="Arial"/>
              </w:rPr>
            </w:r>
            <w:r>
              <w:rPr>
                <w:rFonts w:ascii="Arial" w:hAnsi="Arial" w:cs="Arial"/>
              </w:rPr>
            </w:r>
          </w:p>
        </w:tc>
        <w:tc>
          <w:tcPr>
            <w:tcBorders/>
            <w:tcMar>
              <w:left w:w="15" w:type="dxa"/>
              <w:top w:w="15" w:type="dxa"/>
              <w:right w:w="15" w:type="dxa"/>
              <w:bottom w:w="15" w:type="dxa"/>
            </w:tcMar>
            <w:tcW w:w="232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Sector público (gobierno federal, estatal, municipal y entidades de administración pública).</w:t>
            </w:r>
            <w:r>
              <w:rPr>
                <w:rFonts w:ascii="Arial" w:hAnsi="Arial" w:cs="Arial"/>
              </w:rPr>
            </w:r>
            <w:r>
              <w:rPr>
                <w:rFonts w:ascii="Arial" w:hAnsi="Arial" w:cs="Arial"/>
              </w:rPr>
            </w:r>
          </w:p>
        </w:tc>
        <w:tc>
          <w:tcPr>
            <w:tcBorders/>
            <w:tcMar>
              <w:left w:w="15" w:type="dxa"/>
              <w:top w:w="15" w:type="dxa"/>
              <w:right w:w="15" w:type="dxa"/>
              <w:bottom w:w="15" w:type="dxa"/>
            </w:tcMar>
            <w:tcW w:w="3094"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Garantiza transparencia, seguridad y derechos de acceso, rectificación y oposición al uso de datos personales por el Estado.</w:t>
            </w:r>
            <w:r>
              <w:rPr>
                <w:rFonts w:ascii="Arial" w:hAnsi="Arial" w:cs="Arial"/>
              </w:rPr>
            </w:r>
            <w:r>
              <w:rPr>
                <w:rFonts w:ascii="Arial" w:hAnsi="Arial" w:cs="Arial"/>
              </w:rPr>
            </w:r>
          </w:p>
        </w:tc>
      </w:tr>
      <w:tr>
        <w:trPr/>
        <w:tc>
          <w:tcPr>
            <w:tcBorders/>
            <w:tcMar>
              <w:left w:w="15" w:type="dxa"/>
              <w:top w:w="15" w:type="dxa"/>
              <w:right w:w="15" w:type="dxa"/>
              <w:bottom w:w="15" w:type="dxa"/>
            </w:tcMar>
            <w:tcW w:w="152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Ley General en materia de Humanidades, Ciencias, Tecnologías e Innovación</w:t>
            </w:r>
            <w:r>
              <w:rPr>
                <w:rFonts w:ascii="Arial" w:hAnsi="Arial" w:cs="Arial"/>
              </w:rPr>
            </w:r>
            <w:r>
              <w:rPr>
                <w:rFonts w:ascii="Arial" w:hAnsi="Arial" w:cs="Arial"/>
              </w:rPr>
            </w:r>
          </w:p>
        </w:tc>
        <w:tc>
          <w:tcPr>
            <w:tcBorders/>
            <w:tcMar>
              <w:left w:w="15" w:type="dxa"/>
              <w:top w:w="15" w:type="dxa"/>
              <w:right w:w="15" w:type="dxa"/>
              <w:bottom w:w="15" w:type="dxa"/>
            </w:tcMar>
            <w:tcW w:w="241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Promueve y coordina el desarrollo de investigación científica, humanidades, tecnología e innovación en México.</w:t>
            </w:r>
            <w:r>
              <w:rPr>
                <w:rFonts w:ascii="Arial" w:hAnsi="Arial" w:cs="Arial"/>
              </w:rPr>
            </w:r>
            <w:r>
              <w:rPr>
                <w:rFonts w:ascii="Arial" w:hAnsi="Arial" w:cs="Arial"/>
              </w:rPr>
            </w:r>
          </w:p>
        </w:tc>
        <w:tc>
          <w:tcPr>
            <w:tcBorders/>
            <w:tcMar>
              <w:left w:w="15" w:type="dxa"/>
              <w:top w:w="15" w:type="dxa"/>
              <w:right w:w="15" w:type="dxa"/>
              <w:bottom w:w="15" w:type="dxa"/>
            </w:tcMar>
            <w:tcW w:w="232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Sectores educativo, científico, tecnológico y de innovación (universidades, centros de investigación, empresas de base tecnológica).</w:t>
            </w:r>
            <w:r>
              <w:rPr>
                <w:rFonts w:ascii="Arial" w:hAnsi="Arial" w:cs="Arial"/>
              </w:rPr>
            </w:r>
            <w:r>
              <w:rPr>
                <w:rFonts w:ascii="Arial" w:hAnsi="Arial" w:cs="Arial"/>
              </w:rPr>
            </w:r>
          </w:p>
        </w:tc>
        <w:tc>
          <w:tcPr>
            <w:tcBorders/>
            <w:tcMar>
              <w:left w:w="15" w:type="dxa"/>
              <w:top w:w="15" w:type="dxa"/>
              <w:right w:w="15" w:type="dxa"/>
              <w:bottom w:w="15" w:type="dxa"/>
            </w:tcMar>
            <w:tcW w:w="3094"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Define políticas públicas, financiamiento, colaboración interinstitucional y vinculación entre ciencia y sociedad.</w:t>
            </w:r>
            <w:r>
              <w:rPr>
                <w:rFonts w:ascii="Arial" w:hAnsi="Arial" w:cs="Arial"/>
              </w:rPr>
            </w:r>
            <w:r>
              <w:rPr>
                <w:rFonts w:ascii="Arial" w:hAnsi="Arial" w:cs="Arial"/>
              </w:rPr>
            </w:r>
          </w:p>
        </w:tc>
      </w:tr>
      <w:tr>
        <w:trPr/>
        <w:tc>
          <w:tcPr>
            <w:tcBorders/>
            <w:tcMar>
              <w:left w:w="15" w:type="dxa"/>
              <w:top w:w="15" w:type="dxa"/>
              <w:right w:w="15" w:type="dxa"/>
              <w:bottom w:w="15" w:type="dxa"/>
            </w:tcMar>
            <w:tcW w:w="152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Ley Federal de Telecomunicaciones y Radiodifusión</w:t>
            </w:r>
            <w:r>
              <w:rPr>
                <w:rFonts w:ascii="Arial" w:hAnsi="Arial" w:cs="Arial"/>
              </w:rPr>
            </w:r>
            <w:r>
              <w:rPr>
                <w:rFonts w:ascii="Arial" w:hAnsi="Arial" w:cs="Arial"/>
              </w:rPr>
            </w:r>
          </w:p>
        </w:tc>
        <w:tc>
          <w:tcPr>
            <w:tcBorders/>
            <w:tcMar>
              <w:left w:w="15" w:type="dxa"/>
              <w:top w:w="15" w:type="dxa"/>
              <w:right w:w="15" w:type="dxa"/>
              <w:bottom w:w="15" w:type="dxa"/>
            </w:tcMar>
            <w:tcW w:w="241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Regula el uso y acceso a servicios de telecomunicaciones y radiodifusión, asegurando competencia y derechos de usuarios.</w:t>
            </w:r>
            <w:r>
              <w:rPr>
                <w:rFonts w:ascii="Arial" w:hAnsi="Arial" w:cs="Arial"/>
              </w:rPr>
            </w:r>
            <w:r>
              <w:rPr>
                <w:rFonts w:ascii="Arial" w:hAnsi="Arial" w:cs="Arial"/>
              </w:rPr>
            </w:r>
          </w:p>
        </w:tc>
        <w:tc>
          <w:tcPr>
            <w:tcBorders/>
            <w:tcMar>
              <w:left w:w="15" w:type="dxa"/>
              <w:top w:w="15" w:type="dxa"/>
              <w:right w:w="15" w:type="dxa"/>
              <w:bottom w:w="15" w:type="dxa"/>
            </w:tcMar>
            <w:tcW w:w="232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Sector de telecomunicaciones y radiodifusión (empresas de telefonía, internet, radio, televisión).</w:t>
            </w:r>
            <w:r>
              <w:rPr>
                <w:rFonts w:ascii="Arial" w:hAnsi="Arial" w:cs="Arial"/>
              </w:rPr>
            </w:r>
            <w:r>
              <w:rPr>
                <w:rFonts w:ascii="Arial" w:hAnsi="Arial" w:cs="Arial"/>
              </w:rPr>
            </w:r>
          </w:p>
        </w:tc>
        <w:tc>
          <w:tcPr>
            <w:tcBorders/>
            <w:tcMar>
              <w:left w:w="15" w:type="dxa"/>
              <w:top w:w="15" w:type="dxa"/>
              <w:right w:w="15" w:type="dxa"/>
              <w:bottom w:w="15" w:type="dxa"/>
            </w:tcMar>
            <w:tcW w:w="3094"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Establece normas para concesiones, uso de espectro radioeléctrico, competencia económica, calidad de servicio y contenidos</w:t>
            </w:r>
            <w:r>
              <w:rPr>
                <w:rFonts w:ascii="Arial" w:hAnsi="Arial" w:eastAsia="Arial" w:cs="Arial"/>
                <w:color w:val="000000"/>
                <w:sz w:val="24"/>
                <w:lang w:val="es-ES"/>
              </w:rPr>
              <w:t xml:space="preserve">.</w:t>
            </w:r>
            <w:r>
              <w:rPr>
                <w:rFonts w:ascii="Arial" w:hAnsi="Arial" w:cs="Arial"/>
              </w:rPr>
            </w:r>
            <w:r>
              <w:rPr>
                <w:rFonts w:ascii="Arial" w:hAnsi="Arial" w:cs="Arial"/>
              </w:rPr>
            </w:r>
          </w:p>
        </w:tc>
      </w:tr>
      <w:tr>
        <w:trPr/>
        <w:tc>
          <w:tcPr>
            <w:tcBorders/>
            <w:tcMar>
              <w:left w:w="15" w:type="dxa"/>
              <w:top w:w="15" w:type="dxa"/>
              <w:right w:w="15" w:type="dxa"/>
              <w:bottom w:w="15" w:type="dxa"/>
            </w:tcMar>
            <w:tcW w:w="152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Ley Federal de la Propiedad Industrial (LFPI)</w:t>
            </w:r>
            <w:r>
              <w:rPr>
                <w:rFonts w:ascii="Arial" w:hAnsi="Arial" w:cs="Arial"/>
              </w:rPr>
            </w:r>
            <w:r>
              <w:rPr>
                <w:rFonts w:ascii="Arial" w:hAnsi="Arial" w:cs="Arial"/>
              </w:rPr>
            </w:r>
          </w:p>
        </w:tc>
        <w:tc>
          <w:tcPr>
            <w:tcBorders/>
            <w:tcMar>
              <w:left w:w="15" w:type="dxa"/>
              <w:top w:w="15" w:type="dxa"/>
              <w:right w:w="15" w:type="dxa"/>
              <w:bottom w:w="15" w:type="dxa"/>
            </w:tcMar>
            <w:tcW w:w="241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Protege los derechos de propiedad industrial, como patentes, marcas, diseños industriales y secretos comerciales.</w:t>
            </w:r>
            <w:r>
              <w:rPr>
                <w:rFonts w:ascii="Arial" w:hAnsi="Arial" w:cs="Arial"/>
              </w:rPr>
            </w:r>
            <w:r>
              <w:rPr>
                <w:rFonts w:ascii="Arial" w:hAnsi="Arial" w:cs="Arial"/>
              </w:rPr>
            </w:r>
          </w:p>
        </w:tc>
        <w:tc>
          <w:tcPr>
            <w:tcBorders/>
            <w:tcMar>
              <w:left w:w="15" w:type="dxa"/>
              <w:top w:w="15" w:type="dxa"/>
              <w:right w:w="15" w:type="dxa"/>
              <w:bottom w:w="15" w:type="dxa"/>
            </w:tcMar>
            <w:tcW w:w="232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Sector industrial y comercial (inventores, empresas, emprendedores).</w:t>
            </w:r>
            <w:r>
              <w:rPr>
                <w:rFonts w:ascii="Arial" w:hAnsi="Arial" w:cs="Arial"/>
              </w:rPr>
            </w:r>
            <w:r>
              <w:rPr>
                <w:rFonts w:ascii="Arial" w:hAnsi="Arial" w:cs="Arial"/>
              </w:rPr>
            </w:r>
          </w:p>
        </w:tc>
        <w:tc>
          <w:tcPr>
            <w:tcBorders/>
            <w:tcMar>
              <w:left w:w="15" w:type="dxa"/>
              <w:top w:w="15" w:type="dxa"/>
              <w:right w:w="15" w:type="dxa"/>
              <w:bottom w:w="15" w:type="dxa"/>
            </w:tcMar>
            <w:tcW w:w="3094"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Regula el registro, vigencia y defensa de derechos de propiedad industrial, evitando la competencia desleal y falsificaciones.</w:t>
            </w:r>
            <w:r>
              <w:rPr>
                <w:rFonts w:ascii="Arial" w:hAnsi="Arial" w:cs="Arial"/>
              </w:rPr>
            </w:r>
            <w:r>
              <w:rPr>
                <w:rFonts w:ascii="Arial" w:hAnsi="Arial" w:cs="Arial"/>
              </w:rPr>
            </w:r>
          </w:p>
        </w:tc>
      </w:tr>
      <w:tr>
        <w:trPr/>
        <w:tc>
          <w:tcPr>
            <w:tcBorders/>
            <w:tcMar>
              <w:left w:w="15" w:type="dxa"/>
              <w:top w:w="15" w:type="dxa"/>
              <w:right w:w="15" w:type="dxa"/>
              <w:bottom w:w="15" w:type="dxa"/>
            </w:tcMar>
            <w:tcW w:w="152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Ley de Firma Electrónica Avanzada</w:t>
            </w:r>
            <w:r>
              <w:rPr>
                <w:rFonts w:ascii="Arial" w:hAnsi="Arial" w:cs="Arial"/>
              </w:rPr>
            </w:r>
            <w:r>
              <w:rPr>
                <w:rFonts w:ascii="Arial" w:hAnsi="Arial" w:cs="Arial"/>
              </w:rPr>
            </w:r>
          </w:p>
        </w:tc>
        <w:tc>
          <w:tcPr>
            <w:tcBorders/>
            <w:tcMar>
              <w:left w:w="15" w:type="dxa"/>
              <w:top w:w="15" w:type="dxa"/>
              <w:right w:w="15" w:type="dxa"/>
              <w:bottom w:w="15" w:type="dxa"/>
            </w:tcMar>
            <w:tcW w:w="241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Otorga validez jurídica a las firmas electrónicas avanzadas en documentos y transacciones digitales.</w:t>
            </w:r>
            <w:r>
              <w:rPr>
                <w:rFonts w:ascii="Arial" w:hAnsi="Arial" w:cs="Arial"/>
              </w:rPr>
            </w:r>
            <w:r>
              <w:rPr>
                <w:rFonts w:ascii="Arial" w:hAnsi="Arial" w:cs="Arial"/>
              </w:rPr>
            </w:r>
          </w:p>
        </w:tc>
        <w:tc>
          <w:tcPr>
            <w:tcBorders/>
            <w:tcMar>
              <w:left w:w="15" w:type="dxa"/>
              <w:top w:w="15" w:type="dxa"/>
              <w:right w:w="15" w:type="dxa"/>
              <w:bottom w:w="15" w:type="dxa"/>
            </w:tcMar>
            <w:tcW w:w="232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Transacciones electrónicas (contratos, trámites gubernamentales, comercio electrónico).</w:t>
            </w:r>
            <w:r>
              <w:rPr>
                <w:rFonts w:ascii="Arial" w:hAnsi="Arial" w:cs="Arial"/>
              </w:rPr>
            </w:r>
            <w:r>
              <w:rPr>
                <w:rFonts w:ascii="Arial" w:hAnsi="Arial" w:cs="Arial"/>
              </w:rPr>
            </w:r>
          </w:p>
        </w:tc>
        <w:tc>
          <w:tcPr>
            <w:tcBorders/>
            <w:tcMar>
              <w:left w:w="15" w:type="dxa"/>
              <w:top w:w="15" w:type="dxa"/>
              <w:right w:w="15" w:type="dxa"/>
              <w:bottom w:w="15" w:type="dxa"/>
            </w:tcMar>
            <w:tcW w:w="3094"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Define estándares técnicos, certificación de proveedores autorizados y equipara la firma electrónica avanzada a la manuscrita en términos legales.</w:t>
            </w:r>
            <w:r>
              <w:rPr>
                <w:rFonts w:ascii="Arial" w:hAnsi="Arial" w:cs="Arial"/>
              </w:rPr>
            </w:r>
            <w:r>
              <w:rPr>
                <w:rFonts w:ascii="Arial" w:hAnsi="Arial" w:cs="Arial"/>
              </w:rPr>
            </w:r>
          </w:p>
        </w:tc>
      </w:tr>
    </w:tbl>
    <w:p>
      <w:pPr>
        <w:pBdr/>
        <w:shd w:val="nil" w:color="auto"/>
        <w:spacing/>
        <w:ind/>
        <w:rPr>
          <w:rFonts w:ascii="Arial" w:hAnsi="Arial" w:cs="Arial"/>
          <w:sz w:val="24"/>
          <w:szCs w:val="24"/>
          <w:highlight w:val="none"/>
          <w:lang w:val="es-ES"/>
        </w:rPr>
      </w:pPr>
      <w:r>
        <w:rPr>
          <w:rFonts w:ascii="Arial" w:hAnsi="Arial" w:cs="Arial"/>
          <w:sz w:val="24"/>
          <w:szCs w:val="24"/>
          <w:highlight w:val="none"/>
          <w:lang w:val="es-ES"/>
        </w:rPr>
        <w:br w:type="page" w:clear="all"/>
      </w:r>
      <w:r>
        <w:rPr>
          <w:rFonts w:ascii="Arial" w:hAnsi="Arial" w:cs="Arial"/>
          <w:sz w:val="24"/>
          <w:szCs w:val="24"/>
          <w:highlight w:val="none"/>
          <w:lang w:val="es-ES"/>
        </w:rPr>
      </w:r>
      <w:r>
        <w:rPr>
          <w:rFonts w:ascii="Arial" w:hAnsi="Arial" w:cs="Arial"/>
          <w:sz w:val="24"/>
          <w:szCs w:val="24"/>
          <w:highlight w:val="none"/>
          <w:lang w:val="es-ES"/>
        </w:rPr>
      </w:r>
    </w:p>
    <w:p>
      <w:pPr>
        <w:pBdr/>
        <w:spacing/>
        <w:ind/>
        <w:jc w:val="center"/>
        <w:rPr>
          <w:rFonts w:ascii="Arial" w:hAnsi="Arial" w:cs="Arial"/>
          <w:sz w:val="24"/>
          <w:szCs w:val="24"/>
          <w:highlight w:val="none"/>
          <w:lang w:val="es-ES"/>
        </w:rPr>
      </w:pPr>
      <w:r>
        <w:rPr>
          <w:rFonts w:ascii="Arial" w:hAnsi="Arial" w:cs="Arial"/>
          <w:b/>
          <w:bCs/>
          <w:sz w:val="24"/>
          <w:szCs w:val="24"/>
          <w:highlight w:val="none"/>
          <w:lang w:val="es-ES"/>
        </w:rPr>
        <w:t xml:space="preserve">Casos reales de problemas de auditoria</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b/>
          <w:bCs/>
        </w:rPr>
      </w:pPr>
      <w:r>
        <w:rPr>
          <w:rFonts w:ascii="Arial" w:hAnsi="Arial" w:cs="Arial"/>
          <w:b/>
          <w:bCs/>
          <w:sz w:val="24"/>
          <w:szCs w:val="24"/>
          <w:highlight w:val="none"/>
          <w:lang w:val="es-ES"/>
        </w:rPr>
        <w:t xml:space="preserve">La estafa maestra </w:t>
      </w:r>
      <w:r>
        <w:rPr>
          <w:b/>
          <w:bCs/>
        </w:rPr>
      </w:r>
      <w:r>
        <w:rPr>
          <w:b/>
          <w:bCs/>
        </w:rPr>
      </w:r>
    </w:p>
    <w:p>
      <w:pPr>
        <w:pBdr/>
        <w:spacing/>
        <w:ind/>
        <w:jc w:val="both"/>
        <w:rPr/>
      </w:pPr>
      <w:r>
        <w:rPr>
          <w:rFonts w:ascii="Arial" w:hAnsi="Arial" w:cs="Arial"/>
          <w:sz w:val="24"/>
          <w:szCs w:val="24"/>
          <w:highlight w:val="none"/>
          <w:lang w:val="es-ES"/>
        </w:rPr>
        <w:t xml:space="preserve">En el caso de Caminos y Puentes Federales, el organismo del gobierno federal que se encarga de la administración de las carreteras y autopistas de cuota que tiene a su cargo, la auditoría analizó dos contratos “para prestar los servicios de gestión de cobro</w:t>
      </w:r>
      <w:r>
        <w:rPr>
          <w:rFonts w:ascii="Arial" w:hAnsi="Arial" w:cs="Arial"/>
          <w:sz w:val="24"/>
          <w:szCs w:val="24"/>
          <w:highlight w:val="none"/>
          <w:lang w:val="es-ES"/>
        </w:rPr>
        <w:t xml:space="preserve"> del sistema de telepeaje en la red Capufe” por un total de 70 millones 309,600 pesos, que representan 44.4% del universo seleccionado, por 158 millones 281,300 pesos.</w:t>
      </w:r>
      <w:r/>
      <w:r>
        <w:rPr>
          <w:rFonts w:ascii="Arial" w:hAnsi="Arial" w:cs="Arial"/>
          <w:sz w:val="24"/>
          <w:szCs w:val="24"/>
          <w:highlight w:val="none"/>
          <w:lang w:val="es-ES"/>
        </w:rPr>
      </w:r>
      <w:r/>
      <w:r>
        <w:rPr>
          <w:rFonts w:ascii="Arial" w:hAnsi="Arial" w:cs="Arial"/>
          <w:sz w:val="24"/>
          <w:szCs w:val="24"/>
          <w:highlight w:val="none"/>
          <w:lang w:val="es-ES"/>
        </w:rPr>
      </w:r>
    </w:p>
    <w:p>
      <w:pPr>
        <w:pBdr/>
        <w:spacing/>
        <w:ind/>
        <w:jc w:val="both"/>
        <w:rPr/>
      </w:pPr>
      <w:r>
        <w:rPr>
          <w:rFonts w:ascii="Arial" w:hAnsi="Arial" w:cs="Arial"/>
          <w:sz w:val="24"/>
          <w:szCs w:val="24"/>
          <w:highlight w:val="none"/>
          <w:lang w:val="es-ES"/>
        </w:rPr>
        <w:t xml:space="preserve">La ASF encontró deficiencias en la evaluación de las propuestas técnicas y económicas de los proveedores que participaron en las contrataciones de Tecnologías de la Información y Comunicaciones. La auditoría también halló un pago en exceso 3 millones 223,20</w:t>
      </w:r>
      <w:r>
        <w:rPr>
          <w:rFonts w:ascii="Arial" w:hAnsi="Arial" w:cs="Arial"/>
          <w:sz w:val="24"/>
          <w:szCs w:val="24"/>
          <w:highlight w:val="none"/>
          <w:lang w:val="es-ES"/>
        </w:rPr>
        <w:t xml:space="preserve">0 pesos “por servicios de cobro del sistema de telepeaje sin justificar el aumento de precios por los trabajos realizados, además no se respetaron las condiciones de la solicitud de cotización del organismo”.</w:t>
      </w:r>
      <w:r/>
      <w:r>
        <w:rPr>
          <w:rFonts w:ascii="Arial" w:hAnsi="Arial" w:cs="Arial"/>
          <w:sz w:val="24"/>
          <w:szCs w:val="24"/>
          <w:highlight w:val="none"/>
          <w:lang w:val="es-ES"/>
        </w:rPr>
      </w:r>
      <w:r/>
      <w:r>
        <w:rPr>
          <w:rFonts w:ascii="Arial" w:hAnsi="Arial" w:cs="Arial"/>
          <w:sz w:val="24"/>
          <w:szCs w:val="24"/>
          <w:highlight w:val="none"/>
          <w:lang w:val="es-ES"/>
        </w:rP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Capufe también efectuó pagos por 43 millones 381,600 pesos “por la gestión de cobro de telepeaje de los usuarios en las redes interoperables, sin cumplir con los requisitos mínimos para la comprobación de la cédula de certificación de aforo interoperable pa</w:t>
      </w:r>
      <w:r>
        <w:rPr>
          <w:rFonts w:ascii="Arial" w:hAnsi="Arial" w:cs="Arial"/>
          <w:sz w:val="24"/>
          <w:szCs w:val="24"/>
          <w:highlight w:val="none"/>
          <w:lang w:val="es-ES"/>
        </w:rPr>
        <w:t xml:space="preserve">ra constatar la prestación de los servicios”. Además, la auditoría también identificó carencias en los controles de ciberseguridad de la dependencia, particularmente en el uso controlado de privilegios administrativos; su capacidad de recuperación de datos;</w:t>
      </w:r>
      <w:r>
        <w:rPr>
          <w:rFonts w:ascii="Arial" w:hAnsi="Arial" w:cs="Arial"/>
          <w:sz w:val="24"/>
          <w:szCs w:val="24"/>
          <w:highlight w:val="none"/>
          <w:lang w:val="es-ES"/>
        </w:rPr>
        <w:t xml:space="preserve"> el control de acceso inalámbrico y la supervisión y monitoreo de cuentas, entre otras.</w:t>
      </w:r>
      <w:r/>
      <w:r>
        <w:rPr>
          <w:rFonts w:ascii="Arial" w:hAnsi="Arial" w:cs="Arial"/>
          <w:sz w:val="24"/>
          <w:szCs w:val="24"/>
          <w:highlight w:val="none"/>
          <w:lang w:val="es-ES"/>
        </w:rPr>
        <w:t xml:space="preserve"> [7]</w:t>
      </w:r>
      <w:r>
        <w:rPr>
          <w:rFonts w:ascii="Arial" w:hAnsi="Arial" w:cs="Arial"/>
          <w:sz w:val="24"/>
          <w:szCs w:val="24"/>
          <w:highlight w:val="none"/>
          <w:lang w:val="es-ES"/>
        </w:rPr>
      </w:r>
    </w:p>
    <w:p>
      <w:pPr>
        <w:pBdr>
          <w:top w:val="none" w:color="000000" w:sz="4" w:space="0"/>
          <w:left w:val="none" w:color="000000" w:sz="4" w:space="0"/>
          <w:bottom w:val="none" w:color="000000" w:sz="4" w:space="0"/>
          <w:right w:val="none" w:color="000000" w:sz="4" w:space="0"/>
        </w:pBdr>
        <w:spacing w:after="160" w:before="0"/>
        <w:ind w:right="0" w:firstLine="0" w:left="0"/>
        <w:jc w:val="both"/>
        <w:rPr>
          <w:rFonts w:ascii="Arial" w:hAnsi="Arial" w:eastAsia="Arial" w:cs="Arial"/>
          <w:color w:val="000000"/>
          <w:sz w:val="24"/>
          <w:szCs w:val="24"/>
          <w:highlight w:val="none"/>
          <w:lang w:val="es-ES"/>
        </w:rPr>
      </w:pPr>
      <w:r>
        <w:rPr>
          <w:rFonts w:ascii="Arial" w:hAnsi="Arial" w:eastAsia="Arial" w:cs="Arial"/>
          <w:b/>
          <w:bCs/>
          <w:color w:val="000000"/>
          <w:sz w:val="24"/>
          <w:highlight w:val="none"/>
          <w:lang w:val="es-ES"/>
        </w:rPr>
        <w:t xml:space="preserve">Leyes que contemplan el caso:</w:t>
      </w:r>
      <w:r>
        <w:rPr>
          <w:rFonts w:ascii="Arial" w:hAnsi="Arial" w:eastAsia="Arial" w:cs="Arial"/>
          <w:color w:val="000000"/>
          <w:sz w:val="24"/>
          <w:szCs w:val="24"/>
          <w:highlight w:val="none"/>
          <w:lang w:val="es-ES"/>
        </w:rPr>
      </w:r>
      <w:r>
        <w:rPr>
          <w:rFonts w:ascii="Arial" w:hAnsi="Arial" w:eastAsia="Arial" w:cs="Arial"/>
          <w:color w:val="000000"/>
          <w:sz w:val="24"/>
          <w:szCs w:val="24"/>
          <w:highlight w:val="none"/>
          <w:lang w:val="es-ES"/>
        </w:rPr>
      </w:r>
    </w:p>
    <w:p>
      <w:pPr>
        <w:pBdr/>
        <w:spacing/>
        <w:ind/>
        <w:jc w:val="both"/>
        <w:rPr/>
      </w:pPr>
      <w:r>
        <w:rPr>
          <w:rFonts w:ascii="Arial" w:hAnsi="Arial" w:eastAsia="Arial" w:cs="Arial"/>
          <w:color w:val="000000"/>
          <w:sz w:val="24"/>
          <w:highlight w:val="none"/>
          <w:lang w:val="es-ES"/>
        </w:rPr>
        <w:t xml:space="preserve">Ley de Adquisiciones, Arrendamientos y Servicios del Sector Público: Esta ley regula la contratación de servicios tecnológicos por parte del sector público. Las deficiencias en la evaluación de propuestas técnicas y económicas, así com</w:t>
      </w:r>
      <w:r>
        <w:rPr>
          <w:rFonts w:ascii="Arial" w:hAnsi="Arial" w:eastAsia="Arial" w:cs="Arial"/>
          <w:color w:val="000000"/>
          <w:sz w:val="24"/>
          <w:highlight w:val="none"/>
          <w:lang w:val="es-ES"/>
        </w:rPr>
        <w:t xml:space="preserve">o los pagos en exceso y sin justificación, hacen que esta ley se allá violentado.</w:t>
      </w:r>
      <w:r/>
      <w:r>
        <w:rPr>
          <w:rFonts w:ascii="Arial" w:hAnsi="Arial" w:eastAsia="Arial" w:cs="Arial"/>
          <w:color w:val="000000"/>
          <w:sz w:val="24"/>
          <w:highlight w:val="none"/>
          <w:lang w:val="es-ES"/>
        </w:rPr>
      </w:r>
      <w:r/>
      <w:r>
        <w:rPr>
          <w:rFonts w:ascii="Arial" w:hAnsi="Arial" w:eastAsia="Arial" w:cs="Arial"/>
          <w:color w:val="000000"/>
          <w:sz w:val="24"/>
          <w:highlight w:val="none"/>
          <w:lang w:val="es-ES"/>
        </w:rPr>
      </w:r>
    </w:p>
    <w:p>
      <w:pPr>
        <w:pBdr/>
        <w:spacing/>
        <w:ind/>
        <w:jc w:val="both"/>
        <w:rPr/>
      </w:pPr>
      <w:r>
        <w:rPr>
          <w:rFonts w:ascii="Arial" w:hAnsi="Arial" w:eastAsia="Arial" w:cs="Arial"/>
          <w:color w:val="000000"/>
          <w:sz w:val="24"/>
          <w:highlight w:val="none"/>
          <w:lang w:val="es-ES"/>
        </w:rPr>
        <w:t xml:space="preserve">Ley Federal de Protección de Datos Personales en Posesión de los Particulares: Aunque se enfoca en la protección de datos personales, esta ley también establece medidas de seguridad que deben cumplir las entidades para proteger la información. Las carencias</w:t>
      </w:r>
      <w:r>
        <w:rPr>
          <w:rFonts w:ascii="Arial" w:hAnsi="Arial" w:eastAsia="Arial" w:cs="Arial"/>
          <w:color w:val="000000"/>
          <w:sz w:val="24"/>
          <w:highlight w:val="none"/>
          <w:lang w:val="es-ES"/>
        </w:rPr>
        <w:t xml:space="preserve"> en los controles de ciberseguridad, como el control de acceso inalámbrico y la supervisión y monitoreo de cuentas, hacen que también</w:t>
      </w:r>
      <w:r>
        <w:rPr>
          <w:rFonts w:ascii="Arial" w:hAnsi="Arial" w:eastAsia="Arial" w:cs="Arial"/>
          <w:color w:val="000000"/>
          <w:sz w:val="24"/>
          <w:highlight w:val="none"/>
          <w:lang w:val="es-ES"/>
        </w:rPr>
        <w:t xml:space="preserve"> se allá </w:t>
      </w:r>
      <w:r>
        <w:rPr>
          <w:rFonts w:ascii="Arial" w:hAnsi="Arial" w:eastAsia="Arial" w:cs="Arial"/>
          <w:color w:val="000000"/>
          <w:sz w:val="24"/>
          <w:highlight w:val="none"/>
          <w:lang w:val="es-ES"/>
        </w:rPr>
        <w:t xml:space="preserve">violado esta ley.</w:t>
      </w:r>
      <w:r/>
      <w:r>
        <w:rPr>
          <w:rFonts w:ascii="Arial" w:hAnsi="Arial" w:eastAsia="Arial" w:cs="Arial"/>
          <w:color w:val="000000"/>
          <w:sz w:val="24"/>
          <w:highlight w:val="none"/>
          <w:lang w:val="es-ES"/>
        </w:rPr>
      </w:r>
    </w:p>
    <w:p>
      <w:pPr>
        <w:pBdr/>
        <w:spacing/>
        <w:ind/>
        <w:jc w:val="both"/>
        <w:rPr>
          <w:rFonts w:ascii="Arial" w:hAnsi="Arial" w:cs="Arial"/>
          <w:sz w:val="24"/>
          <w:szCs w:val="24"/>
          <w:highlight w:val="none"/>
          <w:lang w:val="es-ES"/>
        </w:rPr>
      </w:pPr>
      <w:r>
        <w:rPr>
          <w:rFonts w:ascii="Arial" w:hAnsi="Arial" w:eastAsia="Arial" w:cs="Arial"/>
          <w:color w:val="000000"/>
          <w:sz w:val="24"/>
          <w:highlight w:val="none"/>
          <w:lang w:val="es-ES"/>
        </w:rPr>
        <w:t xml:space="preserve">Ley de Firma Electrónica Avanzada: Esta ley regula el uso de la firma electrónica avanzada en actos y contratos públicos. Al haber deficiencias en el control y uso de tecnologías de la información en los procesos de contratación, podría haber sido violada.</w:t>
      </w:r>
      <w:r/>
      <w:r>
        <w:rPr>
          <w:rFonts w:ascii="Arial" w:hAnsi="Arial" w:eastAsia="Arial" w:cs="Arial"/>
          <w:color w:val="000000"/>
          <w:sz w:val="24"/>
          <w:highlight w:val="none"/>
          <w:lang w:val="es-ES"/>
        </w:rPr>
      </w:r>
      <w:r/>
      <w:r>
        <w:rPr>
          <w:rFonts w:ascii="Arial" w:hAnsi="Arial" w:eastAsia="Arial" w:cs="Arial"/>
          <w:color w:val="000000"/>
          <w:sz w:val="24"/>
          <w:szCs w:val="24"/>
          <w:highlight w:val="none"/>
          <w:lang w:val="es-ES"/>
        </w:rPr>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rFonts w:ascii="Arial" w:hAnsi="Arial" w:cs="Arial"/>
          <w:sz w:val="24"/>
          <w:szCs w:val="24"/>
          <w:highlight w:val="none"/>
          <w:lang w:val="es-ES"/>
        </w:rPr>
      </w:pPr>
      <w:r>
        <w:rPr>
          <w:rFonts w:ascii="Arial" w:hAnsi="Arial" w:cs="Arial"/>
          <w:b/>
          <w:bCs/>
          <w:sz w:val="24"/>
          <w:szCs w:val="24"/>
          <w:highlight w:val="none"/>
          <w:lang w:val="es-ES"/>
        </w:rPr>
        <w:t xml:space="preserve">Posible solución:</w:t>
      </w:r>
      <w:r>
        <w:rPr>
          <w:rFonts w:ascii="Arial" w:hAnsi="Arial" w:cs="Arial"/>
          <w:sz w:val="24"/>
          <w:szCs w:val="24"/>
          <w:highlight w:val="none"/>
          <w:lang w:val="es-ES"/>
        </w:rPr>
        <w:t xml:space="preserve"> </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rFonts w:ascii="Arial" w:hAnsi="Arial" w:cs="Arial"/>
          <w:sz w:val="24"/>
          <w:szCs w:val="24"/>
          <w:highlight w:val="none"/>
          <w:lang w:val="es-ES"/>
        </w:rPr>
      </w:pPr>
      <w:r>
        <w:rPr>
          <w:rFonts w:ascii="Arial" w:hAnsi="Arial" w:cs="Arial"/>
          <w:sz w:val="24"/>
          <w:szCs w:val="24"/>
          <w:highlight w:val="none"/>
          <w:lang w:val="es-ES"/>
        </w:rPr>
      </w:r>
      <w:r>
        <w:rPr>
          <w:rFonts w:ascii="Arial" w:hAnsi="Arial" w:cs="Arial"/>
          <w:sz w:val="24"/>
          <w:szCs w:val="24"/>
          <w:highlight w:val="none"/>
          <w:lang w:val="es-ES"/>
        </w:rPr>
        <w:t xml:space="preserve">Controlar y proteger las cuentas de infraestructura. Coloque todas las cuentas de infraestructura conocidas en una bóveda digital administrada de forma centralizada. Rote las contraseñas después de cada uso de forma sistemática y automática.</w:t>
      </w:r>
      <w:r>
        <w:rPr>
          <w:rFonts w:ascii="Arial" w:hAnsi="Arial" w:cs="Arial"/>
          <w:sz w:val="24"/>
          <w:szCs w:val="24"/>
          <w:highlight w:val="none"/>
          <w:lang w:val="es-ES"/>
        </w:rPr>
        <w:t xml:space="preserve"> [9]</w:t>
      </w:r>
      <w:r>
        <w:rPr>
          <w:rFonts w:ascii="Arial" w:hAnsi="Arial" w:cs="Arial"/>
          <w:sz w:val="24"/>
          <w:szCs w:val="24"/>
          <w:highlight w:val="none"/>
          <w:lang w:val="es-ES"/>
        </w:rP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b/>
          <w:color w:val="000000"/>
          <w:sz w:val="24"/>
        </w:rPr>
        <w:t xml:space="preserve">Caso Oceanografía</w:t>
      </w:r>
      <w:r>
        <w:rPr>
          <w:rFonts w:ascii="Arial" w:hAnsi="Arial" w:eastAsia="Arial" w:cs="Arial"/>
          <w:color w:val="000000"/>
          <w:sz w:val="24"/>
        </w:rPr>
        <w:t xml:space="preserve"> </w:t>
      </w: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rPr>
        <w:t xml:space="preserve">LOS PRÉSTAMOS </w:t>
      </w: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rPr>
        <w:t xml:space="preserve">A finales del año pasado, Banamex informa a Citi, de quien es subsidiaria, que concedió préstamos por 585 millones de dólares a la empresa Oceanografía SA de CV, una de las mayores contratistas de Pemex. Estos préstamos estuvieron respaldados por cuentas p</w:t>
      </w:r>
      <w:r>
        <w:rPr>
          <w:rFonts w:ascii="Arial" w:hAnsi="Arial" w:eastAsia="Arial" w:cs="Arial"/>
          <w:color w:val="000000"/>
          <w:sz w:val="24"/>
        </w:rPr>
        <w:t xml:space="preserve">or cobrar a la paraestatal por esa misma cantidad de dinero. </w:t>
      </w: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rPr>
        <w:t xml:space="preserve">OCEANOGRAFÍA INHABILITADA </w:t>
      </w: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rPr>
        <w:t xml:space="preserve">El 11 de febrero, Oceanografía queda inhabilitada por 21 meses por el gobierno mexicano tras un supuesto sobrecobro a Pemex, lo que detona una investigación del banco. </w:t>
      </w: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rPr>
        <w:t xml:space="preserve">FACTURACIÓN FALSA </w:t>
      </w: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rPr>
        <w:t xml:space="preserve">Citi y Banamex, junto con Pemex, detectan que Oceanografía sólo puede comprobar la validez de facturas por un valor de 185 millones de dólares. Esto implica que hay 400 millones de dólares que se prestaron a la empresa con presunta documentación fraudulent</w:t>
      </w:r>
      <w:r>
        <w:rPr>
          <w:rFonts w:ascii="Arial" w:hAnsi="Arial" w:eastAsia="Arial" w:cs="Arial"/>
          <w:color w:val="000000"/>
          <w:sz w:val="24"/>
        </w:rPr>
        <w:t xml:space="preserve">a. [</w:t>
      </w:r>
      <w:r>
        <w:rPr>
          <w:rFonts w:ascii="Arial" w:hAnsi="Arial" w:eastAsia="Arial" w:cs="Arial"/>
          <w:color w:val="000000"/>
          <w:sz w:val="24"/>
          <w:lang w:val="es-ES"/>
        </w:rPr>
        <w:t xml:space="preserve">10</w:t>
      </w:r>
      <w:r>
        <w:rPr>
          <w:rFonts w:ascii="Arial" w:hAnsi="Arial" w:eastAsia="Arial" w:cs="Arial"/>
          <w:color w:val="000000"/>
          <w:sz w:val="24"/>
        </w:rPr>
        <w:t xml:space="preserve">] </w:t>
      </w: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rPr>
        <w:t xml:space="preserve">EL IMPACTO </w:t>
      </w: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rPr>
        <w:t xml:space="preserve">El caso no solo afectó a Oceanografía; también dejó heridas profundas en Banamex: </w:t>
      </w:r>
      <w:r/>
    </w:p>
    <w:p>
      <w:pPr>
        <w:pStyle w:val="958"/>
        <w:numPr>
          <w:ilvl w:val="0"/>
          <w:numId w:val="14"/>
        </w:numPr>
        <w:pBdr>
          <w:top w:val="none" w:color="000000" w:sz="4" w:space="0"/>
          <w:left w:val="none" w:color="000000" w:sz="4" w:space="0"/>
          <w:bottom w:val="none" w:color="000000" w:sz="4" w:space="0"/>
          <w:right w:val="none" w:color="000000" w:sz="4" w:space="0"/>
        </w:pBdr>
        <w:spacing/>
        <w:ind w:right="0"/>
        <w:jc w:val="both"/>
        <w:rPr/>
      </w:pPr>
      <w:r>
        <w:rPr>
          <w:rFonts w:ascii="Arial" w:hAnsi="Arial" w:eastAsia="Arial" w:cs="Arial"/>
          <w:color w:val="000000"/>
          <w:sz w:val="24"/>
        </w:rPr>
        <w:t xml:space="preserve">Citigroup enfrenta demandas por más de 9 mil millones de dólares, incluyendo 8 mil millones por los daños provocados a Oceanografía. </w:t>
      </w:r>
      <w:r/>
    </w:p>
    <w:p>
      <w:pPr>
        <w:pStyle w:val="958"/>
        <w:numPr>
          <w:ilvl w:val="0"/>
          <w:numId w:val="14"/>
        </w:numPr>
        <w:pBdr>
          <w:top w:val="none" w:color="000000" w:sz="4" w:space="0"/>
          <w:left w:val="none" w:color="000000" w:sz="4" w:space="0"/>
          <w:bottom w:val="none" w:color="000000" w:sz="4" w:space="0"/>
          <w:right w:val="none" w:color="000000" w:sz="4" w:space="0"/>
        </w:pBdr>
        <w:spacing/>
        <w:ind w:right="0"/>
        <w:jc w:val="both"/>
        <w:rPr/>
      </w:pPr>
      <w:r>
        <w:rPr>
          <w:rFonts w:ascii="Arial" w:hAnsi="Arial" w:eastAsia="Arial" w:cs="Arial"/>
          <w:color w:val="000000"/>
          <w:sz w:val="24"/>
        </w:rPr>
        <w:t xml:space="preserve">La venta de Banamex fue detenida debido a las contingencias legales. </w:t>
      </w:r>
      <w:r/>
    </w:p>
    <w:p>
      <w:pPr>
        <w:pBdr>
          <w:top w:val="none" w:color="000000" w:sz="4" w:space="0"/>
          <w:left w:val="none" w:color="000000" w:sz="4" w:space="0"/>
          <w:bottom w:val="none" w:color="000000" w:sz="4" w:space="0"/>
          <w:right w:val="none" w:color="000000" w:sz="4" w:space="0"/>
        </w:pBdr>
        <w:spacing w:after="160" w:before="0"/>
        <w:ind w:right="0" w:firstLine="0" w:left="0"/>
        <w:jc w:val="both"/>
        <w:rPr>
          <w:rFonts w:ascii="Arial" w:hAnsi="Arial" w:eastAsia="Arial" w:cs="Arial"/>
          <w:color w:val="000000"/>
          <w:sz w:val="24"/>
          <w:szCs w:val="24"/>
          <w:highlight w:val="none"/>
        </w:rPr>
      </w:pPr>
      <w:r>
        <w:rPr>
          <w:rFonts w:ascii="Arial" w:hAnsi="Arial" w:eastAsia="Arial" w:cs="Arial"/>
          <w:color w:val="000000"/>
          <w:sz w:val="24"/>
        </w:rPr>
        <w:t xml:space="preserve">Ahora, Citigroup planea relanzar un “nuevo Banamex”. Sin embargo, con tantas demandas pendientes, la confianza de clientes e inversionistas está en duda. [</w:t>
      </w:r>
      <w:r>
        <w:rPr>
          <w:rFonts w:ascii="Arial" w:hAnsi="Arial" w:eastAsia="Arial" w:cs="Arial"/>
          <w:color w:val="000000"/>
          <w:sz w:val="24"/>
          <w:lang w:val="es-ES"/>
        </w:rPr>
        <w:t xml:space="preserve">11</w:t>
      </w:r>
      <w:r>
        <w:rPr>
          <w:rFonts w:ascii="Arial" w:hAnsi="Arial" w:eastAsia="Arial" w:cs="Arial"/>
          <w:color w:val="000000"/>
          <w:sz w:val="24"/>
        </w:rPr>
        <w:t xml:space="preserve">] </w:t>
      </w: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after="160" w:before="0"/>
        <w:ind w:right="0" w:firstLine="0" w:left="0"/>
        <w:jc w:val="both"/>
        <w:rPr>
          <w:rFonts w:ascii="Arial" w:hAnsi="Arial" w:eastAsia="Arial" w:cs="Arial"/>
          <w:color w:val="000000"/>
          <w:sz w:val="24"/>
          <w:szCs w:val="24"/>
          <w:highlight w:val="none"/>
          <w:lang w:val="es-ES"/>
        </w:rPr>
      </w:pPr>
      <w:r>
        <w:rPr>
          <w:rFonts w:ascii="Arial" w:hAnsi="Arial" w:eastAsia="Arial" w:cs="Arial"/>
          <w:b/>
          <w:bCs/>
          <w:color w:val="000000"/>
          <w:sz w:val="24"/>
          <w:highlight w:val="none"/>
          <w:lang w:val="es-ES"/>
        </w:rPr>
        <w:t xml:space="preserve">Leyes que contemplan el caso:</w:t>
      </w:r>
      <w:r>
        <w:rPr>
          <w:rFonts w:ascii="Arial" w:hAnsi="Arial" w:eastAsia="Arial" w:cs="Arial"/>
          <w:b/>
          <w:bCs/>
          <w:color w:val="000000"/>
          <w:sz w:val="24"/>
          <w:szCs w:val="24"/>
          <w:highlight w:val="none"/>
          <w:lang w:val="es-ES"/>
        </w:rPr>
      </w:r>
      <w:r>
        <w:rPr>
          <w:rFonts w:ascii="Arial" w:hAnsi="Arial" w:eastAsia="Arial" w:cs="Arial"/>
          <w:color w:val="000000"/>
          <w:sz w:val="24"/>
          <w:szCs w:val="24"/>
          <w:highlight w:val="none"/>
          <w:lang w:val="es-ES"/>
        </w:rP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highlight w:val="none"/>
        </w:rPr>
        <w:t xml:space="preserve">Ley Federal de Protección de Datos Personales en Posesión de los Particulares: Esta ley establece medidas de seguridad para proteger la información personal. La falta de controles adecuados en la verificación de la validez de las facturas y la posible utili</w:t>
      </w:r>
      <w:r>
        <w:rPr>
          <w:rFonts w:ascii="Arial" w:hAnsi="Arial" w:eastAsia="Arial" w:cs="Arial"/>
          <w:color w:val="000000"/>
          <w:sz w:val="24"/>
          <w:highlight w:val="none"/>
        </w:rPr>
        <w:t xml:space="preserve">zación de documentación fraudulenta podrían haber violado esta ley.</w:t>
      </w:r>
      <w:r/>
      <w:r>
        <w:rPr>
          <w:rFonts w:ascii="Arial" w:hAnsi="Arial" w:eastAsia="Arial" w:cs="Arial"/>
          <w:color w:val="000000"/>
          <w:sz w:val="24"/>
          <w:highlight w:val="none"/>
        </w:rPr>
      </w: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highlight w:val="none"/>
        </w:rPr>
        <w:t xml:space="preserve">Ley de Instituciones de Crédito: </w:t>
      </w:r>
      <w:r>
        <w:rPr>
          <w:rFonts w:ascii="Arial" w:hAnsi="Arial" w:eastAsia="Arial" w:cs="Arial"/>
          <w:color w:val="000000"/>
          <w:sz w:val="24"/>
          <w:highlight w:val="none"/>
        </w:rPr>
        <w:t xml:space="preserve">Esta ley regula las operaciones de las instituciones de crédito, incluyendo la verificación de la validez de las facturas presentadas como respaldo de préstamos. La falta de controles adecuados en la verificación de las facturas podría haber violado esta le</w:t>
      </w:r>
      <w:r>
        <w:rPr>
          <w:rFonts w:ascii="Arial" w:hAnsi="Arial" w:eastAsia="Arial" w:cs="Arial"/>
          <w:color w:val="000000"/>
          <w:sz w:val="24"/>
          <w:highlight w:val="none"/>
        </w:rPr>
        <w:t xml:space="preserve">y</w:t>
      </w:r>
      <w:r>
        <w:rPr>
          <w:rFonts w:ascii="Arial" w:hAnsi="Arial" w:eastAsia="Arial" w:cs="Arial"/>
          <w:color w:val="000000"/>
          <w:sz w:val="24"/>
          <w:highlight w:val="none"/>
          <w:lang w:val="es-ES"/>
        </w:rPr>
        <w:t xml:space="preserve">.</w:t>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after="160" w:before="0"/>
        <w:ind w:right="0" w:firstLine="0" w:left="0"/>
        <w:jc w:val="both"/>
        <w:rPr>
          <w:rFonts w:ascii="Arial" w:hAnsi="Arial" w:eastAsia="Arial" w:cs="Arial"/>
          <w:color w:val="000000"/>
          <w:sz w:val="24"/>
          <w:szCs w:val="24"/>
          <w:highlight w:val="none"/>
        </w:rPr>
      </w:pPr>
      <w:r>
        <w:rPr>
          <w:rFonts w:ascii="Arial" w:hAnsi="Arial" w:eastAsia="Arial" w:cs="Arial"/>
          <w:color w:val="000000"/>
          <w:sz w:val="24"/>
          <w:highlight w:val="none"/>
        </w:rPr>
        <w:t xml:space="preserve">Ley de Transparencia y Ordenamiento de los Servicios Financieros: Esta ley busca asegurar la transparencia en las operaciones financieras y proteger a los usuarios de servicios financieros. La falta de transparencia en la concesión de los préstamos y la det</w:t>
      </w:r>
      <w:r>
        <w:rPr>
          <w:rFonts w:ascii="Arial" w:hAnsi="Arial" w:eastAsia="Arial" w:cs="Arial"/>
          <w:color w:val="000000"/>
          <w:sz w:val="24"/>
          <w:highlight w:val="none"/>
        </w:rPr>
        <w:t xml:space="preserve">ección tardía de la facturación falsa podrían haber violado esta ley.</w:t>
      </w:r>
      <w:r/>
      <w:r>
        <w:rPr>
          <w:rFonts w:ascii="Arial" w:hAnsi="Arial" w:eastAsia="Arial" w:cs="Arial"/>
          <w:color w:val="000000"/>
          <w:sz w:val="24"/>
          <w:highlight w:val="none"/>
          <w:lang w:val="es-ES"/>
        </w:rPr>
      </w:r>
      <w:r>
        <w:rPr>
          <w:rFonts w:ascii="Arial" w:hAnsi="Arial" w:eastAsia="Arial" w:cs="Arial"/>
          <w:color w:val="000000"/>
          <w:sz w:val="24"/>
          <w:highlight w:val="none"/>
        </w:rPr>
      </w:r>
      <w:r>
        <w:rPr>
          <w:rFonts w:ascii="Arial" w:hAnsi="Arial" w:eastAsia="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after="160" w:before="0"/>
        <w:ind w:right="0" w:firstLine="0" w:left="0"/>
        <w:jc w:val="both"/>
        <w:rPr>
          <w:rFonts w:ascii="Arial" w:hAnsi="Arial" w:eastAsia="Arial" w:cs="Arial"/>
          <w:color w:val="000000"/>
          <w:sz w:val="24"/>
          <w:szCs w:val="24"/>
          <w:highlight w:val="none"/>
          <w:lang w:val="es-ES"/>
        </w:rPr>
      </w:pPr>
      <w:r>
        <w:rPr>
          <w:rFonts w:ascii="Arial" w:hAnsi="Arial" w:eastAsia="Arial" w:cs="Arial"/>
          <w:b/>
          <w:bCs/>
          <w:color w:val="000000"/>
          <w:sz w:val="24"/>
          <w:highlight w:val="none"/>
          <w:lang w:val="es-ES"/>
        </w:rPr>
        <w:t xml:space="preserve">Posible soluci</w:t>
      </w:r>
      <w:r>
        <w:rPr>
          <w:rFonts w:ascii="Arial" w:hAnsi="Arial" w:eastAsia="Arial" w:cs="Arial"/>
          <w:b/>
          <w:bCs/>
          <w:color w:val="000000"/>
          <w:sz w:val="24"/>
          <w:highlight w:val="none"/>
          <w:lang w:val="es-ES"/>
        </w:rPr>
        <w:t xml:space="preserve">ón:</w:t>
      </w:r>
      <w:r>
        <w:rPr>
          <w:rFonts w:ascii="Arial" w:hAnsi="Arial" w:eastAsia="Arial" w:cs="Arial"/>
          <w:color w:val="000000"/>
          <w:sz w:val="24"/>
          <w:highlight w:val="none"/>
          <w:lang w:val="es-ES"/>
        </w:rPr>
        <w:t xml:space="preserve"> </w:t>
      </w:r>
      <w:r>
        <w:rPr>
          <w:rFonts w:ascii="Arial" w:hAnsi="Arial" w:eastAsia="Arial" w:cs="Arial"/>
          <w:color w:val="000000"/>
          <w:sz w:val="24"/>
          <w:szCs w:val="24"/>
          <w:highlight w:val="none"/>
          <w:lang w:val="es-ES"/>
        </w:rPr>
      </w:r>
      <w:r>
        <w:rPr>
          <w:rFonts w:ascii="Arial" w:hAnsi="Arial" w:eastAsia="Arial" w:cs="Arial"/>
          <w:color w:val="000000"/>
          <w:sz w:val="24"/>
          <w:szCs w:val="24"/>
          <w:highlight w:val="none"/>
          <w:lang w:val="es-ES"/>
        </w:rP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highlight w:val="none"/>
          <w:lang w:val="es-ES"/>
        </w:rPr>
        <w:t xml:space="preserve">En los casos en que se ha producido un fraude, la auditoría interna debe comprender cómo fallaron los controles e identificar las </w:t>
      </w:r>
      <w:r>
        <w:rPr>
          <w:rFonts w:ascii="Arial" w:hAnsi="Arial" w:eastAsia="Arial" w:cs="Arial"/>
          <w:color w:val="000000"/>
          <w:sz w:val="24"/>
          <w:highlight w:val="none"/>
          <w:lang w:val="es-ES"/>
        </w:rPr>
        <w:t xml:space="preserve">oportunidades de mejora. Debe considerar la probabilidad de errores adicionales, fraude o incumplimiento en toda </w:t>
      </w:r>
      <w:r>
        <w:rPr>
          <w:rFonts w:ascii="Arial" w:hAnsi="Arial" w:eastAsia="Arial" w:cs="Arial"/>
          <w:color w:val="000000"/>
          <w:sz w:val="24"/>
          <w:highlight w:val="none"/>
          <w:lang w:val="es-ES"/>
        </w:rPr>
        <w:t xml:space="preserve">la organización y reevaluar el costo del aseguramiento en relación con los beneficios potenciales.</w:t>
      </w:r>
      <w:r>
        <w:rPr>
          <w:rFonts w:ascii="Arial" w:hAnsi="Arial" w:eastAsia="Arial" w:cs="Arial"/>
          <w:color w:val="000000"/>
          <w:sz w:val="24"/>
          <w:highlight w:val="none"/>
          <w:lang w:val="es-ES"/>
        </w:rPr>
        <w:t xml:space="preserve"> [12]</w:t>
      </w:r>
      <w:r>
        <w:rPr>
          <w:rFonts w:ascii="Arial" w:hAnsi="Arial" w:eastAsia="Arial" w:cs="Arial"/>
          <w:color w:val="000000"/>
          <w:sz w:val="24"/>
          <w:highlight w:val="none"/>
          <w:lang w:val="es-ES"/>
        </w:rPr>
      </w:r>
      <w:r/>
    </w:p>
    <w:p>
      <w:pPr>
        <w:pBdr/>
        <w:spacing/>
        <w:ind/>
        <w:jc w:val="both"/>
        <w:rPr>
          <w:lang w:val="es-ES"/>
        </w:rPr>
      </w:pPr>
      <w:r>
        <w:rPr>
          <w:rFonts w:ascii="Arial" w:hAnsi="Arial" w:cs="Arial"/>
          <w:sz w:val="24"/>
          <w:szCs w:val="24"/>
          <w:highlight w:val="none"/>
          <w:lang w:val="es-ES"/>
        </w:rPr>
      </w:r>
      <w:r>
        <w:rPr>
          <w:lang w:val="es-ES"/>
        </w:rPr>
      </w:r>
      <w:r>
        <w:rPr>
          <w:lang w:val="es-ES"/>
        </w:rPr>
      </w:r>
    </w:p>
    <w:p>
      <w:pPr>
        <w:pBdr/>
        <w:spacing/>
        <w:ind/>
        <w:rPr>
          <w:rFonts w:ascii="Arial" w:hAnsi="Arial" w:cs="Arial"/>
          <w:sz w:val="24"/>
          <w:szCs w:val="24"/>
        </w:rPr>
      </w:pPr>
      <w:r>
        <w:rPr>
          <w:rFonts w:ascii="Arial" w:hAnsi="Arial" w:cs="Arial"/>
          <w:sz w:val="24"/>
          <w:szCs w:val="24"/>
        </w:rPr>
        <w:br w:type="page" w:clear="all"/>
      </w:r>
      <w:r>
        <w:rPr>
          <w:rFonts w:ascii="Arial" w:hAnsi="Arial" w:cs="Arial"/>
          <w:sz w:val="24"/>
          <w:szCs w:val="24"/>
        </w:rPr>
      </w:r>
      <w:r>
        <w:rPr>
          <w:rFonts w:ascii="Arial" w:hAnsi="Arial" w:cs="Arial"/>
          <w:sz w:val="24"/>
          <w:szCs w:val="24"/>
        </w:rPr>
      </w:r>
    </w:p>
    <w:p>
      <w:pPr>
        <w:pStyle w:val="941"/>
        <w:pBdr/>
        <w:spacing w:line="360" w:lineRule="auto"/>
        <w:ind/>
        <w:jc w:val="center"/>
        <w:rPr>
          <w:rFonts w:ascii="Arial" w:hAnsi="Arial" w:cs="Arial"/>
          <w:b/>
          <w:bCs/>
          <w:sz w:val="24"/>
          <w:szCs w:val="24"/>
        </w:rPr>
      </w:pPr>
      <w:r>
        <w:rPr>
          <w:rFonts w:ascii="Arial" w:hAnsi="Arial" w:cs="Arial"/>
          <w:b/>
          <w:bCs/>
          <w:sz w:val="24"/>
          <w:szCs w:val="24"/>
        </w:rPr>
        <w:t xml:space="preserve">Referencias</w:t>
      </w:r>
      <w:r>
        <w:rPr>
          <w:rFonts w:ascii="Arial" w:hAnsi="Arial" w:cs="Arial"/>
          <w:b/>
          <w:bCs/>
          <w:sz w:val="24"/>
          <w:szCs w:val="24"/>
        </w:rPr>
      </w:r>
      <w:r>
        <w:rPr>
          <w:rFonts w:ascii="Arial" w:hAnsi="Arial" w:cs="Arial"/>
          <w:b/>
          <w:bCs/>
          <w:sz w:val="24"/>
          <w:szCs w:val="24"/>
        </w:rPr>
      </w:r>
    </w:p>
    <w:p>
      <w:pPr>
        <w:pBdr/>
        <w:spacing/>
        <w:ind w:hanging="708" w:left="708"/>
        <w:rPr>
          <w:rFonts w:ascii="Arial" w:hAnsi="Arial" w:eastAsia="Arial" w:cs="Arial"/>
          <w:sz w:val="24"/>
          <w:szCs w:val="24"/>
          <w:highlight w:val="none"/>
          <w:lang w:eastAsia="zh-CN"/>
        </w:rPr>
      </w:pPr>
      <w:r>
        <w:rPr>
          <w:rFonts w:ascii="Arial" w:hAnsi="Arial" w:eastAsia="Arial" w:cs="Arial"/>
          <w:sz w:val="24"/>
          <w:szCs w:val="24"/>
        </w:rPr>
        <w:t xml:space="preserve">[1]</w:t>
      </w:r>
      <w:r>
        <w:tab/>
      </w:r>
      <w:r>
        <w:rPr>
          <w:rFonts w:ascii="Arial" w:hAnsi="Arial" w:eastAsia="Arial" w:cs="Arial"/>
          <w:sz w:val="24"/>
          <w:szCs w:val="24"/>
          <w:highlight w:val="none"/>
          <w:lang w:eastAsia="zh-CN"/>
        </w:rPr>
        <w:t xml:space="preserve">“LEY FEDERAL DE PROTECCIÓN DE DATOS PERSONALES EN POSESIÓN DE LOS PARTICULARES”, </w:t>
      </w:r>
      <w:r>
        <w:rPr>
          <w:rFonts w:ascii="Arial" w:hAnsi="Arial" w:eastAsia="Arial" w:cs="Arial"/>
          <w:i/>
          <w:iCs/>
          <w:sz w:val="24"/>
          <w:szCs w:val="24"/>
          <w:highlight w:val="none"/>
          <w:lang w:eastAsia="zh-CN"/>
        </w:rPr>
        <w:t xml:space="preserve">Gob.mx</w:t>
      </w:r>
      <w:r>
        <w:rPr>
          <w:rFonts w:ascii="Arial" w:hAnsi="Arial" w:eastAsia="Arial" w:cs="Arial"/>
          <w:sz w:val="24"/>
          <w:szCs w:val="24"/>
          <w:highlight w:val="none"/>
          <w:lang w:eastAsia="zh-CN"/>
        </w:rPr>
        <w:t xml:space="preserve">. [En línea]. Disponible en: </w:t>
      </w:r>
      <w:hyperlink r:id="rId16" w:tooltip="https://www.diputados.gob.mx/LeyesBiblio/pdf/LFPDPPP.pdf" w:history="1">
        <w:r>
          <w:rPr>
            <w:rStyle w:val="953"/>
            <w:rFonts w:ascii="Arial" w:hAnsi="Arial" w:eastAsia="Arial" w:cs="Arial"/>
            <w:sz w:val="24"/>
            <w:szCs w:val="24"/>
            <w:highlight w:val="none"/>
            <w:lang w:eastAsia="zh-CN"/>
          </w:rPr>
          <w:t xml:space="preserve">https://www.diputados.gob.mx/LeyesBiblio/pdf/LFPDPPP.pdf</w:t>
        </w:r>
      </w:hyperlink>
      <w:r>
        <w:rPr>
          <w:rFonts w:ascii="Arial" w:hAnsi="Arial" w:eastAsia="Arial" w:cs="Arial"/>
          <w:sz w:val="24"/>
          <w:szCs w:val="24"/>
          <w:highlight w:val="none"/>
          <w:lang w:eastAsia="zh-CN"/>
        </w:rPr>
        <w:t xml:space="preserve">. [Consultado: 09-mar-2025].</w:t>
      </w:r>
      <w:r>
        <w:rPr>
          <w:rFonts w:ascii="Arial" w:hAnsi="Arial" w:eastAsia="Arial" w:cs="Arial"/>
          <w:sz w:val="24"/>
          <w:szCs w:val="24"/>
          <w:highlight w:val="none"/>
          <w:lang w:eastAsia="zh-CN"/>
        </w:rPr>
      </w:r>
      <w:r>
        <w:rPr>
          <w:rFonts w:ascii="Arial" w:hAnsi="Arial" w:eastAsia="Arial" w:cs="Arial"/>
          <w:sz w:val="24"/>
          <w:szCs w:val="24"/>
          <w:highlight w:val="none"/>
          <w:lang w:eastAsia="zh-CN"/>
        </w:rPr>
      </w:r>
    </w:p>
    <w:p>
      <w:pPr>
        <w:pBdr/>
        <w:spacing/>
        <w:ind w:hanging="708" w:left="708"/>
        <w:rPr>
          <w:rFonts w:ascii="Arial" w:hAnsi="Arial" w:eastAsia="Arial" w:cs="Arial"/>
          <w:sz w:val="24"/>
          <w:szCs w:val="24"/>
          <w:lang w:eastAsia="zh-CN"/>
        </w:rPr>
      </w:pPr>
      <w:r>
        <w:rPr>
          <w:rFonts w:ascii="Arial" w:hAnsi="Arial" w:eastAsia="Arial" w:cs="Arial"/>
          <w:sz w:val="24"/>
          <w:szCs w:val="24"/>
          <w:highlight w:val="none"/>
          <w:lang w:val="es-ES"/>
        </w:rPr>
        <w:t xml:space="preserve">[2]</w:t>
        <w:tab/>
      </w:r>
      <w:r>
        <w:rPr>
          <w:rFonts w:ascii="Arial" w:hAnsi="Arial" w:eastAsia="Arial" w:cs="Arial"/>
          <w:sz w:val="24"/>
          <w:szCs w:val="24"/>
          <w:highlight w:val="none"/>
          <w:lang w:val="es-ES"/>
        </w:rPr>
        <w:t xml:space="preserve">“LEY GENERAL DE PROTECCIÓN DE DATOS PERSONALES EN POSESIÓN DE SUJETOS OBLIGADOS”, </w:t>
      </w:r>
      <w:r>
        <w:rPr>
          <w:rFonts w:ascii="Arial" w:hAnsi="Arial" w:eastAsia="Arial" w:cs="Arial"/>
          <w:i/>
          <w:iCs/>
          <w:sz w:val="24"/>
          <w:szCs w:val="24"/>
          <w:highlight w:val="none"/>
          <w:lang w:val="es-ES"/>
        </w:rPr>
        <w:t xml:space="preserve">Gob.mx</w:t>
      </w:r>
      <w:r>
        <w:rPr>
          <w:rFonts w:ascii="Arial" w:hAnsi="Arial" w:eastAsia="Arial" w:cs="Arial"/>
          <w:sz w:val="24"/>
          <w:szCs w:val="24"/>
          <w:highlight w:val="none"/>
          <w:lang w:val="es-ES"/>
        </w:rPr>
        <w:t xml:space="preserve">. [En línea]. Disponible en: </w:t>
      </w:r>
      <w:hyperlink r:id="rId17" w:tooltip="https://www.diputados.gob.mx/LeyesBiblio/pdf/LGPDPPSO.pdf" w:history="1">
        <w:r>
          <w:rPr>
            <w:rStyle w:val="953"/>
            <w:rFonts w:ascii="Arial" w:hAnsi="Arial" w:eastAsia="Arial" w:cs="Arial"/>
            <w:sz w:val="24"/>
            <w:szCs w:val="24"/>
            <w:highlight w:val="none"/>
            <w:lang w:val="es-ES"/>
          </w:rPr>
          <w:t xml:space="preserve">https://www.diputados.gob.mx/LeyesBiblio/pdf/LGPDPPSO.pdf</w:t>
        </w:r>
      </w:hyperlink>
      <w:r>
        <w:rPr>
          <w:rFonts w:ascii="Arial" w:hAnsi="Arial" w:eastAsia="Arial" w:cs="Arial"/>
          <w:sz w:val="24"/>
          <w:szCs w:val="24"/>
          <w:highlight w:val="none"/>
          <w:lang w:val="es-ES"/>
        </w:rPr>
        <w:t xml:space="preserve">. [Consultado: 09-mar-2025].</w:t>
      </w:r>
      <w:r>
        <w:rPr>
          <w:rFonts w:ascii="Arial" w:hAnsi="Arial" w:eastAsia="Arial" w:cs="Arial"/>
          <w:sz w:val="24"/>
          <w:szCs w:val="24"/>
          <w:lang w:eastAsia="zh-CN"/>
        </w:rPr>
      </w:r>
      <w:r>
        <w:rPr>
          <w:rFonts w:ascii="Arial" w:hAnsi="Arial" w:eastAsia="Arial" w:cs="Arial"/>
          <w:sz w:val="24"/>
          <w:szCs w:val="24"/>
          <w:lang w:eastAsia="zh-CN"/>
        </w:rPr>
      </w:r>
    </w:p>
    <w:p>
      <w:pPr>
        <w:pBdr/>
        <w:spacing/>
        <w:ind w:hanging="708" w:left="708"/>
        <w:rPr>
          <w:rFonts w:ascii="Arial" w:hAnsi="Arial" w:eastAsia="Arial" w:cs="Arial"/>
          <w:sz w:val="24"/>
          <w:szCs w:val="24"/>
          <w:highlight w:val="none"/>
          <w:lang w:eastAsia="zh-CN"/>
        </w:rPr>
      </w:pPr>
      <w:r>
        <w:rPr>
          <w:rFonts w:ascii="Arial" w:hAnsi="Arial" w:eastAsia="Arial" w:cs="Arial"/>
          <w:sz w:val="24"/>
          <w:szCs w:val="24"/>
          <w:lang w:eastAsia="zh-CN"/>
        </w:rPr>
        <w:t xml:space="preserve">[</w:t>
      </w:r>
      <w:r>
        <w:rPr>
          <w:rFonts w:ascii="Arial" w:hAnsi="Arial" w:eastAsia="Arial" w:cs="Arial"/>
          <w:sz w:val="24"/>
          <w:szCs w:val="24"/>
          <w:lang w:val="es-ES"/>
        </w:rPr>
        <w:t xml:space="preserve">3</w:t>
      </w:r>
      <w:r>
        <w:rPr>
          <w:rFonts w:ascii="Arial" w:hAnsi="Arial" w:eastAsia="Arial" w:cs="Arial"/>
          <w:sz w:val="24"/>
          <w:szCs w:val="24"/>
          <w:lang w:eastAsia="zh-CN"/>
        </w:rPr>
        <w:t xml:space="preserve">]</w:t>
      </w:r>
      <w:r>
        <w:rPr>
          <w:rFonts w:ascii="Arial" w:hAnsi="Arial" w:eastAsia="Arial" w:cs="Arial"/>
          <w:sz w:val="24"/>
          <w:szCs w:val="24"/>
          <w:lang w:eastAsia="zh-CN"/>
        </w:rPr>
        <w:tab/>
      </w:r>
      <w:r>
        <w:rPr>
          <w:rFonts w:ascii="Arial" w:hAnsi="Arial" w:eastAsia="Arial" w:cs="Arial"/>
          <w:sz w:val="24"/>
          <w:szCs w:val="24"/>
          <w:lang w:val="es-ES"/>
        </w:rPr>
        <w:t xml:space="preserve">“LEY GENERAL EN MATERIA DE HUMANIDADES, CIENCIAS, TECNOLOGÍAS E INNOVACIÓN”, </w:t>
      </w:r>
      <w:r>
        <w:rPr>
          <w:rFonts w:ascii="Arial" w:hAnsi="Arial" w:eastAsia="Arial" w:cs="Arial"/>
          <w:i/>
          <w:iCs/>
          <w:sz w:val="24"/>
          <w:szCs w:val="24"/>
          <w:lang w:val="es-ES"/>
        </w:rPr>
        <w:t xml:space="preserve">Gob.mx</w:t>
      </w:r>
      <w:r>
        <w:rPr>
          <w:rFonts w:ascii="Arial" w:hAnsi="Arial" w:eastAsia="Arial" w:cs="Arial"/>
          <w:sz w:val="24"/>
          <w:szCs w:val="24"/>
          <w:lang w:val="es-ES"/>
        </w:rPr>
        <w:t xml:space="preserve">. [En línea]. Disponible en: </w:t>
      </w:r>
      <w:hyperlink r:id="rId18" w:tooltip="https://www.diputados.gob.mx/LeyesBiblio/pdf/LGMHCTI.pdf" w:history="1">
        <w:r>
          <w:rPr>
            <w:rStyle w:val="953"/>
            <w:rFonts w:ascii="Arial" w:hAnsi="Arial" w:eastAsia="Arial" w:cs="Arial"/>
            <w:sz w:val="24"/>
            <w:szCs w:val="24"/>
            <w:lang w:val="es-ES"/>
          </w:rPr>
          <w:t xml:space="preserve">https://www.diputados.gob.mx/LeyesBiblio/pdf/LGMHCTI.pdf</w:t>
        </w:r>
      </w:hyperlink>
      <w:r>
        <w:rPr>
          <w:rFonts w:ascii="Arial" w:hAnsi="Arial" w:eastAsia="Arial" w:cs="Arial"/>
          <w:sz w:val="24"/>
          <w:szCs w:val="24"/>
          <w:lang w:val="es-ES"/>
        </w:rPr>
        <w:t xml:space="preserve">. [Consultado: 09-mar-2025].</w:t>
      </w:r>
      <w:r>
        <w:rPr>
          <w:rFonts w:ascii="Arial" w:hAnsi="Arial" w:eastAsia="Arial" w:cs="Arial"/>
          <w:sz w:val="24"/>
          <w:szCs w:val="24"/>
          <w:highlight w:val="none"/>
          <w:lang w:eastAsia="zh-CN"/>
        </w:rPr>
      </w:r>
      <w:r>
        <w:rPr>
          <w:rFonts w:ascii="Arial" w:hAnsi="Arial" w:eastAsia="Arial" w:cs="Arial"/>
          <w:sz w:val="24"/>
          <w:szCs w:val="24"/>
          <w:highlight w:val="none"/>
          <w:lang w:eastAsia="zh-CN"/>
        </w:rP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t xml:space="preserve">[4]</w:t>
        <w:tab/>
      </w:r>
      <w:r>
        <w:rPr>
          <w:rFonts w:ascii="Arial" w:hAnsi="Arial" w:eastAsia="Arial" w:cs="Arial"/>
          <w:sz w:val="24"/>
          <w:szCs w:val="24"/>
          <w:highlight w:val="none"/>
          <w:lang w:val="es-ES"/>
        </w:rPr>
        <w:t xml:space="preserve">“LEY FEDERAL DE TELECOMUNICACIONES Y RADIODIFUSIÓN”, </w:t>
      </w:r>
      <w:r>
        <w:rPr>
          <w:rFonts w:ascii="Arial" w:hAnsi="Arial" w:eastAsia="Arial" w:cs="Arial"/>
          <w:i/>
          <w:iCs/>
          <w:sz w:val="24"/>
          <w:szCs w:val="24"/>
          <w:highlight w:val="none"/>
          <w:lang w:val="es-ES"/>
        </w:rPr>
        <w:t xml:space="preserve">Gob.mx</w:t>
      </w:r>
      <w:r>
        <w:rPr>
          <w:rFonts w:ascii="Arial" w:hAnsi="Arial" w:eastAsia="Arial" w:cs="Arial"/>
          <w:sz w:val="24"/>
          <w:szCs w:val="24"/>
          <w:highlight w:val="none"/>
          <w:lang w:val="es-ES"/>
        </w:rPr>
        <w:t xml:space="preserve">. [En línea]. Disponible en: </w:t>
      </w:r>
      <w:hyperlink r:id="rId19" w:tooltip="https://www.diputados.gob.mx/LeyesBiblio/pdf/LFTR.pdf" w:history="1">
        <w:r>
          <w:rPr>
            <w:rStyle w:val="953"/>
            <w:rFonts w:ascii="Arial" w:hAnsi="Arial" w:eastAsia="Arial" w:cs="Arial"/>
            <w:sz w:val="24"/>
            <w:szCs w:val="24"/>
            <w:highlight w:val="none"/>
            <w:lang w:val="es-ES"/>
          </w:rPr>
          <w:t xml:space="preserve">https://www.diputados.gob.mx/LeyesBiblio/pdf/LFTR.pdf</w:t>
        </w:r>
      </w:hyperlink>
      <w:r>
        <w:rPr>
          <w:rFonts w:ascii="Arial" w:hAnsi="Arial" w:eastAsia="Arial" w:cs="Arial"/>
          <w:sz w:val="24"/>
          <w:szCs w:val="24"/>
          <w:highlight w:val="none"/>
          <w:lang w:val="es-ES"/>
        </w:rPr>
        <w:t xml:space="preserve">. [Consultado: 09-mar-2025].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t xml:space="preserve">[5]</w:t>
        <w:tab/>
      </w:r>
      <w:r>
        <w:rPr>
          <w:rFonts w:ascii="Arial" w:hAnsi="Arial" w:eastAsia="Arial" w:cs="Arial"/>
          <w:sz w:val="24"/>
          <w:szCs w:val="24"/>
          <w:highlight w:val="none"/>
          <w:lang w:val="es-ES"/>
        </w:rPr>
        <w:t xml:space="preserve">“LEY FEDERAL DE PROTECCIÓN A LA PROPIEDAD INDUSTRIAL”, </w:t>
      </w:r>
      <w:r>
        <w:rPr>
          <w:rFonts w:ascii="Arial" w:hAnsi="Arial" w:eastAsia="Arial" w:cs="Arial"/>
          <w:i/>
          <w:iCs/>
          <w:sz w:val="24"/>
          <w:szCs w:val="24"/>
          <w:highlight w:val="none"/>
          <w:lang w:val="es-ES"/>
        </w:rPr>
        <w:t xml:space="preserve">Gob.mx</w:t>
      </w:r>
      <w:r>
        <w:rPr>
          <w:rFonts w:ascii="Arial" w:hAnsi="Arial" w:eastAsia="Arial" w:cs="Arial"/>
          <w:sz w:val="24"/>
          <w:szCs w:val="24"/>
          <w:highlight w:val="none"/>
          <w:lang w:val="es-ES"/>
        </w:rPr>
        <w:t xml:space="preserve">. [En línea]. Disponible en: </w:t>
      </w:r>
      <w:hyperlink r:id="rId20" w:tooltip="https://www.diputados.gob.mx/LeyesBiblio/pdf/LFPPI.pdf" w:history="1">
        <w:r>
          <w:rPr>
            <w:rStyle w:val="953"/>
            <w:rFonts w:ascii="Arial" w:hAnsi="Arial" w:eastAsia="Arial" w:cs="Arial"/>
            <w:sz w:val="24"/>
            <w:szCs w:val="24"/>
            <w:highlight w:val="none"/>
            <w:lang w:val="es-ES"/>
          </w:rPr>
          <w:t xml:space="preserve">https://www.diputados.gob.mx/LeyesBiblio/pdf/LFPPI.pdf</w:t>
        </w:r>
      </w:hyperlink>
      <w:r>
        <w:rPr>
          <w:rFonts w:ascii="Arial" w:hAnsi="Arial" w:eastAsia="Arial" w:cs="Arial"/>
          <w:sz w:val="24"/>
          <w:szCs w:val="24"/>
          <w:highlight w:val="none"/>
          <w:lang w:val="es-ES"/>
        </w:rPr>
        <w:t xml:space="preserve">. [Consultado: 09-mar-2025].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rPr/>
      </w:pPr>
      <w:r>
        <w:rPr>
          <w:rFonts w:ascii="Arial" w:hAnsi="Arial" w:eastAsia="Arial" w:cs="Arial"/>
          <w:sz w:val="24"/>
          <w:szCs w:val="24"/>
          <w:highlight w:val="none"/>
          <w:lang w:val="es-ES"/>
        </w:rPr>
        <w:t xml:space="preserve">[6]</w:t>
        <w:tab/>
      </w:r>
      <w:r>
        <w:rPr>
          <w:rFonts w:ascii="Arial" w:hAnsi="Arial" w:eastAsia="Arial" w:cs="Arial"/>
          <w:sz w:val="24"/>
          <w:szCs w:val="24"/>
          <w:highlight w:val="none"/>
          <w:lang w:val="es-ES"/>
        </w:rPr>
        <w:t xml:space="preserve">“LEY DE FIRMA ELECTRÓNICA AVANZADA”, </w:t>
      </w:r>
      <w:r>
        <w:rPr>
          <w:rFonts w:ascii="Arial" w:hAnsi="Arial" w:eastAsia="Arial" w:cs="Arial"/>
          <w:i/>
          <w:iCs/>
          <w:sz w:val="24"/>
          <w:szCs w:val="24"/>
          <w:highlight w:val="none"/>
          <w:lang w:val="es-ES"/>
        </w:rPr>
        <w:t xml:space="preserve">Gob.mx</w:t>
      </w:r>
      <w:r>
        <w:rPr>
          <w:rFonts w:ascii="Arial" w:hAnsi="Arial" w:eastAsia="Arial" w:cs="Arial"/>
          <w:sz w:val="24"/>
          <w:szCs w:val="24"/>
          <w:highlight w:val="none"/>
          <w:lang w:val="es-ES"/>
        </w:rPr>
        <w:t xml:space="preserve">. [En línea]. Disponible en: </w:t>
      </w:r>
      <w:hyperlink r:id="rId21" w:tooltip="https://www.diputados.gob.mx/LeyesBiblio/pdf/LFEA_200521.pdf" w:history="1">
        <w:r>
          <w:rPr>
            <w:rStyle w:val="953"/>
            <w:rFonts w:ascii="Arial" w:hAnsi="Arial" w:eastAsia="Arial" w:cs="Arial"/>
            <w:sz w:val="24"/>
            <w:szCs w:val="24"/>
            <w:highlight w:val="none"/>
            <w:lang w:val="es-ES"/>
          </w:rPr>
          <w:t xml:space="preserve">https://www.diputados.gob.mx/LeyesBiblio/pdf/LFEA_200521.pdf</w:t>
        </w:r>
      </w:hyperlink>
      <w:r>
        <w:rPr>
          <w:rFonts w:ascii="Arial" w:hAnsi="Arial" w:eastAsia="Arial" w:cs="Arial"/>
          <w:sz w:val="24"/>
          <w:szCs w:val="24"/>
          <w:highlight w:val="none"/>
          <w:lang w:val="es-ES"/>
        </w:rPr>
        <w:t xml:space="preserve">. [Consultado: 09-mar-2025].</w:t>
      </w:r>
      <w:r>
        <w:rPr>
          <w:rFonts w:ascii="Arial" w:hAnsi="Arial" w:eastAsia="Arial" w:cs="Arial"/>
          <w:sz w:val="24"/>
          <w:szCs w:val="24"/>
          <w:highlight w:val="none"/>
          <w:lang w:val="es-ES"/>
        </w:rPr>
      </w: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t xml:space="preserve">[7]</w:t>
        <w:tab/>
      </w:r>
      <w:r>
        <w:rPr>
          <w:rFonts w:ascii="Arial" w:hAnsi="Arial" w:eastAsia="Arial" w:cs="Arial"/>
          <w:sz w:val="24"/>
          <w:szCs w:val="24"/>
          <w:highlight w:val="none"/>
          <w:lang w:val="es-ES"/>
        </w:rPr>
        <w:t xml:space="preserve">R. Riquelme, “8 dependencias del gobierno de AMLO presentaron irregularidades TIC, según la ASF”, </w:t>
      </w:r>
      <w:r>
        <w:rPr>
          <w:rFonts w:ascii="Arial" w:hAnsi="Arial" w:eastAsia="Arial" w:cs="Arial"/>
          <w:i/>
          <w:iCs/>
          <w:sz w:val="24"/>
          <w:szCs w:val="24"/>
          <w:highlight w:val="none"/>
          <w:lang w:val="es-ES"/>
        </w:rPr>
        <w:t xml:space="preserve">El Economista</w:t>
      </w:r>
      <w:r>
        <w:rPr>
          <w:rFonts w:ascii="Arial" w:hAnsi="Arial" w:eastAsia="Arial" w:cs="Arial"/>
          <w:sz w:val="24"/>
          <w:szCs w:val="24"/>
          <w:highlight w:val="none"/>
          <w:lang w:val="es-ES"/>
        </w:rPr>
        <w:t xml:space="preserve">, 27-feb-2022. [En línea]. Disponible en: </w:t>
      </w:r>
      <w:hyperlink r:id="rId22" w:tooltip="https://www.eleconomista.com.mx/tecnologia/8-dependencias-del-gobierno-de-AMLO-presentaron-irregularidades-TIC-segun-la-ASF-20220225-0086.html" w:history="1">
        <w:r>
          <w:rPr>
            <w:rStyle w:val="953"/>
            <w:rFonts w:ascii="Arial" w:hAnsi="Arial" w:eastAsia="Arial" w:cs="Arial"/>
            <w:sz w:val="24"/>
            <w:szCs w:val="24"/>
            <w:highlight w:val="none"/>
            <w:lang w:val="es-ES"/>
          </w:rPr>
          <w:t xml:space="preserve">https://www.eleconomista.com.mx/tecnologia/8-dependencias-del-gobierno-de-AMLO-presentaron-irregularidad</w:t>
        </w:r>
        <w:r>
          <w:rPr>
            <w:rStyle w:val="953"/>
            <w:rFonts w:ascii="Arial" w:hAnsi="Arial" w:eastAsia="Arial" w:cs="Arial"/>
            <w:sz w:val="24"/>
            <w:szCs w:val="24"/>
            <w:highlight w:val="none"/>
            <w:lang w:val="es-ES"/>
          </w:rPr>
          <w:t xml:space="preserve">es-TIC-segun-la-ASF-20220225-0086.html</w:t>
        </w:r>
      </w:hyperlink>
      <w:r>
        <w:rPr>
          <w:rFonts w:ascii="Arial" w:hAnsi="Arial" w:eastAsia="Arial" w:cs="Arial"/>
          <w:sz w:val="24"/>
          <w:szCs w:val="24"/>
          <w:highlight w:val="none"/>
          <w:lang w:val="es-ES"/>
        </w:rPr>
        <w:t xml:space="preserve">. [Consultado: 10-mar-2025].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t xml:space="preserve">[8]</w:t>
        <w:tab/>
      </w:r>
      <w:r>
        <w:rPr>
          <w:rFonts w:ascii="Arial" w:hAnsi="Arial" w:eastAsia="Arial" w:cs="Arial"/>
          <w:sz w:val="24"/>
          <w:szCs w:val="24"/>
          <w:highlight w:val="none"/>
          <w:lang w:val="es-ES"/>
        </w:rPr>
        <w:t xml:space="preserve">M. Delaure, “Prevención y detección de fraudes: cómo fortalecer las funciones de las empresas, los auditores y los reguladores”, </w:t>
      </w:r>
      <w:r>
        <w:rPr>
          <w:rFonts w:ascii="Arial" w:hAnsi="Arial" w:eastAsia="Arial" w:cs="Arial"/>
          <w:i/>
          <w:iCs/>
          <w:sz w:val="24"/>
          <w:szCs w:val="24"/>
          <w:highlight w:val="none"/>
          <w:lang w:val="es-ES"/>
        </w:rPr>
        <w:t xml:space="preserve">EY</w:t>
      </w:r>
      <w:r>
        <w:rPr>
          <w:rFonts w:ascii="Arial" w:hAnsi="Arial" w:eastAsia="Arial" w:cs="Arial"/>
          <w:sz w:val="24"/>
          <w:szCs w:val="24"/>
          <w:highlight w:val="none"/>
          <w:lang w:val="es-ES"/>
        </w:rPr>
        <w:t xml:space="preserve">. [En línea]. Disponible en: </w:t>
      </w:r>
      <w:hyperlink r:id="rId23" w:tooltip="https://www.ey.com/es_mx/insights/assurance/preventing-and-detecting-fraud-how-to-strengthen-the-roles-of-companies-auditors-and-regulators" w:history="1">
        <w:r>
          <w:rPr>
            <w:rStyle w:val="953"/>
            <w:rFonts w:ascii="Arial" w:hAnsi="Arial" w:eastAsia="Arial" w:cs="Arial"/>
            <w:sz w:val="24"/>
            <w:szCs w:val="24"/>
            <w:highlight w:val="none"/>
            <w:lang w:val="es-ES"/>
          </w:rPr>
          <w:t xml:space="preserve">https://www.ey.com/es_mx/insights/assurance/preventing-and-detecting-</w:t>
        </w:r>
        <w:r>
          <w:rPr>
            <w:rStyle w:val="953"/>
            <w:rFonts w:ascii="Arial" w:hAnsi="Arial" w:eastAsia="Arial" w:cs="Arial"/>
            <w:sz w:val="24"/>
            <w:szCs w:val="24"/>
            <w:highlight w:val="none"/>
            <w:lang w:val="es-ES"/>
          </w:rPr>
          <w:t xml:space="preserve">fraud-how-to-strengthen-the-roles-of-companies-auditors-and-regulators</w:t>
        </w:r>
      </w:hyperlink>
      <w:r>
        <w:rPr>
          <w:rFonts w:ascii="Arial" w:hAnsi="Arial" w:eastAsia="Arial" w:cs="Arial"/>
          <w:sz w:val="24"/>
          <w:szCs w:val="24"/>
          <w:highlight w:val="none"/>
          <w:lang w:val="es-ES"/>
        </w:rPr>
        <w:t xml:space="preserve">. [Consultado: 09-mar-2025].</w:t>
      </w:r>
      <w:r>
        <w:rPr>
          <w:rFonts w:ascii="Arial" w:hAnsi="Arial" w:eastAsia="Arial" w:cs="Arial"/>
          <w:sz w:val="24"/>
          <w:szCs w:val="24"/>
          <w:highlight w:val="none"/>
          <w:lang w:val="es-ES"/>
        </w:rPr>
      </w:r>
      <w:r/>
    </w:p>
    <w:p>
      <w:pPr>
        <w:pBdr/>
        <w:spacing/>
        <w:ind w:hanging="708" w:left="708"/>
        <w:rPr/>
      </w:pPr>
      <w:r>
        <w:rPr>
          <w:rFonts w:ascii="Arial" w:hAnsi="Arial" w:eastAsia="Arial" w:cs="Arial"/>
          <w:sz w:val="24"/>
          <w:szCs w:val="24"/>
          <w:highlight w:val="none"/>
          <w:lang w:val="es-ES"/>
        </w:rPr>
        <w:t xml:space="preserve">[9]</w:t>
        <w:tab/>
      </w:r>
      <w:r>
        <w:rPr>
          <w:rFonts w:ascii="Arial" w:hAnsi="Arial" w:eastAsia="Arial" w:cs="Arial"/>
          <w:sz w:val="24"/>
          <w:szCs w:val="24"/>
          <w:highlight w:val="none"/>
          <w:lang w:val="es-ES"/>
        </w:rPr>
        <w:t xml:space="preserve">“¿Qué es la gestión del acceso con privilegios (PAM)?”, </w:t>
      </w:r>
      <w:r>
        <w:rPr>
          <w:rFonts w:ascii="Arial" w:hAnsi="Arial" w:eastAsia="Arial" w:cs="Arial"/>
          <w:i/>
          <w:iCs/>
          <w:sz w:val="24"/>
          <w:szCs w:val="24"/>
          <w:highlight w:val="none"/>
          <w:lang w:val="es-ES"/>
        </w:rPr>
        <w:t xml:space="preserve">CyberArk</w:t>
      </w:r>
      <w:r>
        <w:rPr>
          <w:rFonts w:ascii="Arial" w:hAnsi="Arial" w:eastAsia="Arial" w:cs="Arial"/>
          <w:sz w:val="24"/>
          <w:szCs w:val="24"/>
          <w:highlight w:val="none"/>
          <w:lang w:val="es-ES"/>
        </w:rPr>
        <w:t xml:space="preserve">, 27-abr-2020. [En línea]. Disponible en: </w:t>
      </w:r>
      <w:hyperlink r:id="rId24" w:tooltip="https://www.cyberark.com/es/what-is/privileged-access-management/" w:history="1">
        <w:r>
          <w:rPr>
            <w:rStyle w:val="953"/>
            <w:rFonts w:ascii="Arial" w:hAnsi="Arial" w:eastAsia="Arial" w:cs="Arial"/>
            <w:sz w:val="24"/>
            <w:szCs w:val="24"/>
            <w:highlight w:val="none"/>
            <w:lang w:val="es-ES"/>
          </w:rPr>
          <w:t xml:space="preserve">https://www.cyberark.com/es/what-is/privileged-access-management/</w:t>
        </w:r>
      </w:hyperlink>
      <w:r>
        <w:rPr>
          <w:rFonts w:ascii="Arial" w:hAnsi="Arial" w:eastAsia="Arial" w:cs="Arial"/>
          <w:sz w:val="24"/>
          <w:szCs w:val="24"/>
          <w:highlight w:val="none"/>
          <w:lang w:val="es-ES"/>
        </w:rPr>
        <w:t xml:space="preserve">. [Consultado: 11-mar-2025].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t xml:space="preserve">[10]</w:t>
        <w:tab/>
      </w:r>
      <w:r>
        <w:rPr>
          <w:rFonts w:ascii="Arial" w:hAnsi="Arial" w:eastAsia="Arial" w:cs="Arial"/>
          <w:sz w:val="24"/>
          <w:szCs w:val="24"/>
          <w:highlight w:val="none"/>
          <w:lang w:val="es-ES"/>
        </w:rPr>
        <w:t xml:space="preserve">“Claves para entender el fraude de Oceanografía a Banamex”, El Financiero, 01-mar-2014. [En línea]. Disponible en: </w:t>
      </w:r>
      <w:hyperlink r:id="rId25" w:tooltip="https://www.elfinanciero.com.mx/economia/claves-para-entender-el-fraude-de-oceanografia-a-banamex/" w:history="1">
        <w:r>
          <w:rPr>
            <w:rStyle w:val="953"/>
            <w:rFonts w:ascii="Arial" w:hAnsi="Arial" w:eastAsia="Arial" w:cs="Arial"/>
            <w:sz w:val="24"/>
            <w:szCs w:val="24"/>
            <w:highlight w:val="none"/>
            <w:lang w:val="es-ES"/>
          </w:rPr>
          <w:t xml:space="preserve">https://www.elfinanciero.com.mx/economia/claves-para-entender-el-fraude-de-oceanografia-a-banamex/</w:t>
        </w:r>
      </w:hyperlink>
      <w:r>
        <w:rPr>
          <w:rFonts w:ascii="Arial" w:hAnsi="Arial" w:eastAsia="Arial" w:cs="Arial"/>
          <w:sz w:val="24"/>
          <w:szCs w:val="24"/>
          <w:highlight w:val="none"/>
          <w:lang w:val="es-ES"/>
        </w:rPr>
        <w:t xml:space="preserve">. [Consultado: 04-mar-2025]. </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t xml:space="preserve">[11]</w:t>
        <w:tab/>
      </w:r>
      <w:r>
        <w:rPr>
          <w:rFonts w:ascii="Arial" w:hAnsi="Arial" w:eastAsia="Arial" w:cs="Arial"/>
          <w:sz w:val="24"/>
          <w:szCs w:val="24"/>
          <w:highlight w:val="none"/>
          <w:lang w:val="es-ES"/>
        </w:rPr>
        <w:t xml:space="preserve">P. Navarro, P. Franco, y G. Pérez, “Oceanografía y Banamex: el escándalo que marcó a México y sigue vigente”, La Verdad Noticias, 16-nov-2024. [En línea]. Disponible en: </w:t>
      </w:r>
      <w:hyperlink r:id="rId26" w:tooltip="https://laverdadnoticias.com/economia/oceanografia-y-banamex-el-escandalo-que-marco-a-mexico-y-sigue-vigente-20241116" w:history="1">
        <w:r>
          <w:rPr>
            <w:rStyle w:val="953"/>
            <w:rFonts w:ascii="Arial" w:hAnsi="Arial" w:eastAsia="Arial" w:cs="Arial"/>
            <w:sz w:val="24"/>
            <w:szCs w:val="24"/>
            <w:highlight w:val="none"/>
            <w:lang w:val="es-ES"/>
          </w:rPr>
          <w:t xml:space="preserve">https://laverdadnoticias.com/economia/oceanografia-y-banamex-el-escandalo-que-marco-a-m</w:t>
        </w:r>
        <w:r>
          <w:rPr>
            <w:rStyle w:val="953"/>
            <w:rFonts w:ascii="Arial" w:hAnsi="Arial" w:eastAsia="Arial" w:cs="Arial"/>
            <w:sz w:val="24"/>
            <w:szCs w:val="24"/>
            <w:highlight w:val="none"/>
            <w:lang w:val="es-ES"/>
          </w:rPr>
          <w:t xml:space="preserve">exico-y-sigue-vigente-20241116</w:t>
        </w:r>
      </w:hyperlink>
      <w:r>
        <w:rPr>
          <w:rFonts w:ascii="Arial" w:hAnsi="Arial" w:eastAsia="Arial" w:cs="Arial"/>
          <w:sz w:val="24"/>
          <w:szCs w:val="24"/>
          <w:highlight w:val="none"/>
          <w:lang w:val="es-ES"/>
        </w:rPr>
        <w:t xml:space="preserve">. [Consultado: 04-mar-2025]. </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t xml:space="preserve">[12]</w:t>
        <w:tab/>
      </w:r>
      <w:r>
        <w:rPr>
          <w:rFonts w:ascii="Arial" w:hAnsi="Arial" w:eastAsia="Arial" w:cs="Arial"/>
          <w:sz w:val="24"/>
          <w:szCs w:val="24"/>
          <w:highlight w:val="none"/>
          <w:lang w:val="es-ES"/>
        </w:rPr>
        <w:t xml:space="preserve">“EL FRAUDE Y LA AUDITORÍA INTERNA”, </w:t>
      </w:r>
      <w:r>
        <w:rPr>
          <w:rFonts w:ascii="Arial" w:hAnsi="Arial" w:eastAsia="Arial" w:cs="Arial"/>
          <w:i/>
          <w:iCs/>
          <w:sz w:val="24"/>
          <w:szCs w:val="24"/>
          <w:highlight w:val="none"/>
          <w:lang w:val="es-ES"/>
        </w:rPr>
        <w:t xml:space="preserve">Theiia.org</w:t>
      </w:r>
      <w:r>
        <w:rPr>
          <w:rFonts w:ascii="Arial" w:hAnsi="Arial" w:eastAsia="Arial" w:cs="Arial"/>
          <w:sz w:val="24"/>
          <w:szCs w:val="24"/>
          <w:highlight w:val="none"/>
          <w:lang w:val="es-ES"/>
        </w:rPr>
        <w:t xml:space="preserve">. [En línea]. Disponible en: </w:t>
      </w:r>
      <w:hyperlink r:id="rId27" w:tooltip="https://www.theiia.org/globalassets/documents/resources/fraud-and-internal-audit-assurance-over-fraud-controls-fundamental-to-success-april-2019/fraud-and-internal-audit-spanish.pdf" w:history="1">
        <w:r>
          <w:rPr>
            <w:rStyle w:val="953"/>
            <w:rFonts w:ascii="Arial" w:hAnsi="Arial" w:eastAsia="Arial" w:cs="Arial"/>
            <w:sz w:val="24"/>
            <w:szCs w:val="24"/>
            <w:highlight w:val="none"/>
            <w:lang w:val="es-ES"/>
          </w:rPr>
          <w:t xml:space="preserve">https://www.theiia.org/globalassets/documents/resources/fraud-and-internal-audit-assurance-over-fraud-controls-fundamental-to-success-april-2019/fraud-and-internal-audit-spanish.pdf</w:t>
        </w:r>
      </w:hyperlink>
      <w:r>
        <w:rPr>
          <w:rFonts w:ascii="Arial" w:hAnsi="Arial" w:eastAsia="Arial" w:cs="Arial"/>
          <w:sz w:val="24"/>
          <w:szCs w:val="24"/>
          <w:highlight w:val="none"/>
          <w:lang w:val="es-ES"/>
        </w:rPr>
        <w:t xml:space="preserve">.</w:t>
      </w:r>
      <w:r>
        <w:rPr>
          <w:rFonts w:ascii="Arial" w:hAnsi="Arial" w:eastAsia="Arial" w:cs="Arial"/>
          <w:sz w:val="24"/>
          <w:szCs w:val="24"/>
          <w:highlight w:val="none"/>
          <w:lang w:val="es-ES"/>
        </w:rPr>
        <w:t xml:space="preserve"> [Consultado: 09-mar-2025].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firstLine="0" w:left="0"/>
        <w:rPr>
          <w:rFonts w:ascii="Arial" w:hAnsi="Arial" w:eastAsia="Arial" w:cs="Arial"/>
          <w:sz w:val="24"/>
          <w:szCs w:val="24"/>
          <w:lang w:eastAsia="zh-CN"/>
        </w:rPr>
      </w:pPr>
      <w:r>
        <w:rPr>
          <w:rFonts w:ascii="Arial" w:hAnsi="Arial" w:eastAsia="Arial" w:cs="Arial"/>
          <w:sz w:val="24"/>
          <w:szCs w:val="24"/>
          <w:lang w:eastAsia="zh-CN"/>
        </w:rPr>
      </w:r>
      <w:r>
        <w:rPr>
          <w:rFonts w:ascii="Arial" w:hAnsi="Arial" w:eastAsia="Arial" w:cs="Arial"/>
          <w:sz w:val="24"/>
          <w:szCs w:val="24"/>
          <w:lang w:eastAsia="zh-CN"/>
        </w:rPr>
      </w:r>
      <w:r>
        <w:rPr>
          <w:rFonts w:ascii="Arial" w:hAnsi="Arial" w:eastAsia="Arial" w:cs="Arial"/>
          <w:sz w:val="24"/>
          <w:szCs w:val="24"/>
          <w:lang w:eastAsia="zh-CN"/>
        </w:rPr>
      </w:r>
    </w:p>
    <w:p>
      <w:pPr>
        <w:pStyle w:val="955"/>
        <w:pBdr/>
        <w:spacing/>
        <w:ind/>
        <w:rPr>
          <w:rFonts w:ascii="Arial" w:hAnsi="Arial" w:cs="Arial"/>
          <w:sz w:val="24"/>
          <w:szCs w:val="24"/>
          <w:lang w:val="es-MX"/>
        </w:rPr>
      </w:pPr>
      <w:r>
        <w:rPr>
          <w:rFonts w:ascii="Arial" w:hAnsi="Arial" w:cs="Arial"/>
          <w:sz w:val="24"/>
          <w:szCs w:val="24"/>
          <w:lang w:val="es-MX"/>
        </w:rPr>
      </w:r>
      <w:r>
        <w:rPr>
          <w:rFonts w:ascii="Arial" w:hAnsi="Arial" w:cs="Arial"/>
          <w:sz w:val="24"/>
          <w:szCs w:val="24"/>
          <w:lang w:val="es-MX"/>
        </w:rPr>
      </w:r>
      <w:r>
        <w:rPr>
          <w:rFonts w:ascii="Arial" w:hAnsi="Arial" w:cs="Arial"/>
          <w:sz w:val="24"/>
          <w:szCs w:val="24"/>
          <w:lang w:val="es-MX"/>
        </w:rPr>
      </w:r>
    </w:p>
    <w:sectPr>
      <w:headerReference w:type="default" r:id="rId9"/>
      <w:footnotePr/>
      <w:endnotePr/>
      <w:type w:val="nextPage"/>
      <w:pgSz w:h="16838" w:orient="portrait" w:w="11906"/>
      <w:pgMar w:top="1417" w:right="1701" w:bottom="1417"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SimSun">
    <w:panose1 w:val="02000603000000000000"/>
  </w:font>
  <w:font w:name="Times New Roman">
    <w:panose1 w:val="02020603050405020304"/>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pBdr/>
      <w:spacing/>
      <w:ind/>
      <w:rPr/>
    </w:pPr>
    <w:r>
      <mc:AlternateContent>
        <mc:Choice Requires="wpg">
          <w:drawing>
            <wp:inline xmlns:wp="http://schemas.openxmlformats.org/drawingml/2006/wordprocessingDrawing" distT="0" distB="0" distL="0" distR="0">
              <wp:extent cx="5400040" cy="74930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5400040" cy="7493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5.20pt;height:59.00pt;mso-wrap-distance-left:0.00pt;mso-wrap-distance-top:0.00pt;mso-wrap-distance-right:0.00pt;mso-wrap-distance-bottom:0.00pt;z-index:1;" stroked="false">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1]"/>
      <w:numFmt w:val="decimal"/>
      <w:pPr>
        <w:pBdr/>
        <w:spacing/>
        <w:ind w:hanging="432" w:left="432"/>
      </w:pPr>
      <w:rPr/>
      <w:start w:val="5"/>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1]"/>
      <w:numFmt w:val="decimal"/>
      <w:pPr>
        <w:pBdr/>
        <w:spacing/>
        <w:ind w:hanging="432" w:left="432"/>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432" w:left="432"/>
      </w:pPr>
      <w:rPr/>
      <w:start w:val="4"/>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1]"/>
      <w:numFmt w:val="decimal"/>
      <w:pPr>
        <w:pBdr/>
        <w:spacing/>
        <w:ind w:hanging="432" w:left="432"/>
      </w:pPr>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1]"/>
      <w:numFmt w:val="decimal"/>
      <w:pPr>
        <w:pBdr/>
        <w:spacing/>
        <w:ind w:hanging="432" w:left="432"/>
      </w:pPr>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5"/>
  </w:num>
  <w:num w:numId="2">
    <w:abstractNumId w:val="8"/>
  </w:num>
  <w:num w:numId="3">
    <w:abstractNumId w:val="11"/>
  </w:num>
  <w:num w:numId="4">
    <w:abstractNumId w:val="10"/>
  </w:num>
  <w:num w:numId="5">
    <w:abstractNumId w:val="4"/>
  </w:num>
  <w:num w:numId="6">
    <w:abstractNumId w:val="1"/>
  </w:num>
  <w:num w:numId="7">
    <w:abstractNumId w:val="3"/>
  </w:num>
  <w:num w:numId="8">
    <w:abstractNumId w:val="2"/>
  </w:num>
  <w:num w:numId="9">
    <w:abstractNumId w:val="7"/>
  </w:num>
  <w:num w:numId="10">
    <w:abstractNumId w:val="12"/>
  </w:num>
  <w:num w:numId="11">
    <w:abstractNumId w:val="9"/>
  </w:num>
  <w:num w:numId="12">
    <w:abstractNumId w:val="6"/>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4">
    <w:name w:val="Table Grid Light"/>
    <w:basedOn w:val="9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1"/>
    <w:basedOn w:val="9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2"/>
    <w:basedOn w:val="94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3"/>
    <w:basedOn w:val="9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4"/>
    <w:basedOn w:val="9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5"/>
    <w:basedOn w:val="9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w:basedOn w:val="94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1"/>
    <w:basedOn w:val="9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2"/>
    <w:basedOn w:val="9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3"/>
    <w:basedOn w:val="9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4"/>
    <w:basedOn w:val="9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5"/>
    <w:basedOn w:val="9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6"/>
    <w:basedOn w:val="9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w:basedOn w:val="9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1"/>
    <w:basedOn w:val="9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2"/>
    <w:basedOn w:val="9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3"/>
    <w:basedOn w:val="9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4"/>
    <w:basedOn w:val="9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5"/>
    <w:basedOn w:val="9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6"/>
    <w:basedOn w:val="9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w:basedOn w:val="9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1"/>
    <w:basedOn w:val="9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2"/>
    <w:basedOn w:val="9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3"/>
    <w:basedOn w:val="9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4"/>
    <w:basedOn w:val="9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5"/>
    <w:basedOn w:val="9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6"/>
    <w:basedOn w:val="9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w:basedOn w:val="94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1"/>
    <w:basedOn w:val="94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2"/>
    <w:basedOn w:val="94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3"/>
    <w:basedOn w:val="94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4"/>
    <w:basedOn w:val="94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5"/>
    <w:basedOn w:val="94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6"/>
    <w:basedOn w:val="94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w:basedOn w:val="9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Accent 1"/>
    <w:basedOn w:val="9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2"/>
    <w:basedOn w:val="9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3"/>
    <w:basedOn w:val="9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Accent 4"/>
    <w:basedOn w:val="9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5"/>
    <w:basedOn w:val="9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 Accent 6"/>
    <w:basedOn w:val="9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6 Colorful"/>
    <w:basedOn w:val="94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6">
    <w:name w:val="Grid Table 6 Colorful - Accent 1"/>
    <w:basedOn w:val="94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7">
    <w:name w:val="Grid Table 6 Colorful - Accent 2"/>
    <w:basedOn w:val="9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8">
    <w:name w:val="Grid Table 6 Colorful - Accent 3"/>
    <w:basedOn w:val="94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9">
    <w:name w:val="Grid Table 6 Colorful - Accent 4"/>
    <w:basedOn w:val="9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0">
    <w:name w:val="Grid Table 6 Colorful - Accent 5"/>
    <w:basedOn w:val="94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1">
    <w:name w:val="Grid Table 6 Colorful - Accent 6"/>
    <w:basedOn w:val="94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2">
    <w:name w:val="Grid Table 7 Colorful"/>
    <w:basedOn w:val="94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1"/>
    <w:basedOn w:val="94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2"/>
    <w:basedOn w:val="94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3"/>
    <w:basedOn w:val="94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4"/>
    <w:basedOn w:val="94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5"/>
    <w:basedOn w:val="94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6"/>
    <w:basedOn w:val="94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w:basedOn w:val="9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1"/>
    <w:basedOn w:val="9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2"/>
    <w:basedOn w:val="9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3"/>
    <w:basedOn w:val="9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4"/>
    <w:basedOn w:val="9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5"/>
    <w:basedOn w:val="9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6"/>
    <w:basedOn w:val="9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w:basedOn w:val="94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1"/>
    <w:basedOn w:val="94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2"/>
    <w:basedOn w:val="94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3"/>
    <w:basedOn w:val="94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4"/>
    <w:basedOn w:val="94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5"/>
    <w:basedOn w:val="94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6"/>
    <w:basedOn w:val="94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w:basedOn w:val="9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1"/>
    <w:basedOn w:val="94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2"/>
    <w:basedOn w:val="9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3"/>
    <w:basedOn w:val="94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4"/>
    <w:basedOn w:val="9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5"/>
    <w:basedOn w:val="94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6"/>
    <w:basedOn w:val="94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w:basedOn w:val="9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1"/>
    <w:basedOn w:val="94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2"/>
    <w:basedOn w:val="94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3"/>
    <w:basedOn w:val="94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4"/>
    <w:basedOn w:val="94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5"/>
    <w:basedOn w:val="94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6"/>
    <w:basedOn w:val="94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5 Dark"/>
    <w:basedOn w:val="94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1"/>
    <w:basedOn w:val="94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2"/>
    <w:basedOn w:val="94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3"/>
    <w:basedOn w:val="94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4"/>
    <w:basedOn w:val="94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5"/>
    <w:basedOn w:val="94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6"/>
    <w:basedOn w:val="94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6 Colorful"/>
    <w:basedOn w:val="94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1"/>
    <w:basedOn w:val="94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2"/>
    <w:basedOn w:val="94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3"/>
    <w:basedOn w:val="94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4"/>
    <w:basedOn w:val="94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5"/>
    <w:basedOn w:val="94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6"/>
    <w:basedOn w:val="94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7 Colorful"/>
    <w:basedOn w:val="94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2">
    <w:name w:val="List Table 7 Colorful - Accent 1"/>
    <w:basedOn w:val="94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63">
    <w:name w:val="List Table 7 Colorful - Accent 2"/>
    <w:basedOn w:val="94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64">
    <w:name w:val="List Table 7 Colorful - Accent 3"/>
    <w:basedOn w:val="94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5">
    <w:name w:val="List Table 7 Colorful - Accent 4"/>
    <w:basedOn w:val="94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6">
    <w:name w:val="List Table 7 Colorful - Accent 5"/>
    <w:basedOn w:val="94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67">
    <w:name w:val="List Table 7 Colorful - Accent 6"/>
    <w:basedOn w:val="94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8">
    <w:name w:val="Lined - Accent"/>
    <w:basedOn w:val="9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1"/>
    <w:basedOn w:val="9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2"/>
    <w:basedOn w:val="9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3"/>
    <w:basedOn w:val="9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4"/>
    <w:basedOn w:val="9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5"/>
    <w:basedOn w:val="9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6"/>
    <w:basedOn w:val="9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w:basedOn w:val="94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1"/>
    <w:basedOn w:val="94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2"/>
    <w:basedOn w:val="94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3"/>
    <w:basedOn w:val="94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4"/>
    <w:basedOn w:val="94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5"/>
    <w:basedOn w:val="94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6"/>
    <w:basedOn w:val="94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w:basedOn w:val="94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1"/>
    <w:basedOn w:val="9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2"/>
    <w:basedOn w:val="9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3"/>
    <w:basedOn w:val="9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4"/>
    <w:basedOn w:val="9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5"/>
    <w:basedOn w:val="9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6"/>
    <w:basedOn w:val="9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9">
    <w:name w:val="Heading 3"/>
    <w:basedOn w:val="940"/>
    <w:next w:val="940"/>
    <w:link w:val="89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90">
    <w:name w:val="Heading 4"/>
    <w:basedOn w:val="940"/>
    <w:next w:val="940"/>
    <w:link w:val="89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91">
    <w:name w:val="Heading 5"/>
    <w:basedOn w:val="940"/>
    <w:next w:val="940"/>
    <w:link w:val="90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2">
    <w:name w:val="Heading 6"/>
    <w:basedOn w:val="940"/>
    <w:next w:val="940"/>
    <w:link w:val="90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3">
    <w:name w:val="Heading 7"/>
    <w:basedOn w:val="940"/>
    <w:next w:val="940"/>
    <w:link w:val="90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4">
    <w:name w:val="Heading 8"/>
    <w:basedOn w:val="940"/>
    <w:next w:val="940"/>
    <w:link w:val="90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5">
    <w:name w:val="Heading 9"/>
    <w:basedOn w:val="940"/>
    <w:next w:val="940"/>
    <w:link w:val="90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6">
    <w:name w:val="Heading 1 Char"/>
    <w:basedOn w:val="943"/>
    <w:link w:val="941"/>
    <w:uiPriority w:val="9"/>
    <w:pPr>
      <w:pBdr/>
      <w:spacing/>
      <w:ind/>
    </w:pPr>
    <w:rPr>
      <w:rFonts w:ascii="Arial" w:hAnsi="Arial" w:eastAsia="Arial" w:cs="Arial"/>
      <w:color w:val="0f4761" w:themeColor="accent1" w:themeShade="BF"/>
      <w:sz w:val="40"/>
      <w:szCs w:val="40"/>
    </w:rPr>
  </w:style>
  <w:style w:type="character" w:styleId="897">
    <w:name w:val="Heading 2 Char"/>
    <w:basedOn w:val="943"/>
    <w:link w:val="942"/>
    <w:uiPriority w:val="9"/>
    <w:pPr>
      <w:pBdr/>
      <w:spacing/>
      <w:ind/>
    </w:pPr>
    <w:rPr>
      <w:rFonts w:ascii="Arial" w:hAnsi="Arial" w:eastAsia="Arial" w:cs="Arial"/>
      <w:color w:val="0f4761" w:themeColor="accent1" w:themeShade="BF"/>
      <w:sz w:val="32"/>
      <w:szCs w:val="32"/>
    </w:rPr>
  </w:style>
  <w:style w:type="character" w:styleId="898">
    <w:name w:val="Heading 3 Char"/>
    <w:basedOn w:val="943"/>
    <w:link w:val="889"/>
    <w:uiPriority w:val="9"/>
    <w:pPr>
      <w:pBdr/>
      <w:spacing/>
      <w:ind/>
    </w:pPr>
    <w:rPr>
      <w:rFonts w:ascii="Arial" w:hAnsi="Arial" w:eastAsia="Arial" w:cs="Arial"/>
      <w:color w:val="0f4761" w:themeColor="accent1" w:themeShade="BF"/>
      <w:sz w:val="28"/>
      <w:szCs w:val="28"/>
    </w:rPr>
  </w:style>
  <w:style w:type="character" w:styleId="899">
    <w:name w:val="Heading 4 Char"/>
    <w:basedOn w:val="943"/>
    <w:link w:val="890"/>
    <w:uiPriority w:val="9"/>
    <w:pPr>
      <w:pBdr/>
      <w:spacing/>
      <w:ind/>
    </w:pPr>
    <w:rPr>
      <w:rFonts w:ascii="Arial" w:hAnsi="Arial" w:eastAsia="Arial" w:cs="Arial"/>
      <w:i/>
      <w:iCs/>
      <w:color w:val="0f4761" w:themeColor="accent1" w:themeShade="BF"/>
    </w:rPr>
  </w:style>
  <w:style w:type="character" w:styleId="900">
    <w:name w:val="Heading 5 Char"/>
    <w:basedOn w:val="943"/>
    <w:link w:val="891"/>
    <w:uiPriority w:val="9"/>
    <w:pPr>
      <w:pBdr/>
      <w:spacing/>
      <w:ind/>
    </w:pPr>
    <w:rPr>
      <w:rFonts w:ascii="Arial" w:hAnsi="Arial" w:eastAsia="Arial" w:cs="Arial"/>
      <w:color w:val="0f4761" w:themeColor="accent1" w:themeShade="BF"/>
    </w:rPr>
  </w:style>
  <w:style w:type="character" w:styleId="901">
    <w:name w:val="Heading 6 Char"/>
    <w:basedOn w:val="943"/>
    <w:link w:val="892"/>
    <w:uiPriority w:val="9"/>
    <w:pPr>
      <w:pBdr/>
      <w:spacing/>
      <w:ind/>
    </w:pPr>
    <w:rPr>
      <w:rFonts w:ascii="Arial" w:hAnsi="Arial" w:eastAsia="Arial" w:cs="Arial"/>
      <w:i/>
      <w:iCs/>
      <w:color w:val="595959" w:themeColor="text1" w:themeTint="A6"/>
    </w:rPr>
  </w:style>
  <w:style w:type="character" w:styleId="902">
    <w:name w:val="Heading 7 Char"/>
    <w:basedOn w:val="943"/>
    <w:link w:val="893"/>
    <w:uiPriority w:val="9"/>
    <w:pPr>
      <w:pBdr/>
      <w:spacing/>
      <w:ind/>
    </w:pPr>
    <w:rPr>
      <w:rFonts w:ascii="Arial" w:hAnsi="Arial" w:eastAsia="Arial" w:cs="Arial"/>
      <w:color w:val="595959" w:themeColor="text1" w:themeTint="A6"/>
    </w:rPr>
  </w:style>
  <w:style w:type="character" w:styleId="903">
    <w:name w:val="Heading 8 Char"/>
    <w:basedOn w:val="943"/>
    <w:link w:val="894"/>
    <w:uiPriority w:val="9"/>
    <w:pPr>
      <w:pBdr/>
      <w:spacing/>
      <w:ind/>
    </w:pPr>
    <w:rPr>
      <w:rFonts w:ascii="Arial" w:hAnsi="Arial" w:eastAsia="Arial" w:cs="Arial"/>
      <w:i/>
      <w:iCs/>
      <w:color w:val="272727" w:themeColor="text1" w:themeTint="D8"/>
    </w:rPr>
  </w:style>
  <w:style w:type="character" w:styleId="904">
    <w:name w:val="Heading 9 Char"/>
    <w:basedOn w:val="943"/>
    <w:link w:val="895"/>
    <w:uiPriority w:val="9"/>
    <w:pPr>
      <w:pBdr/>
      <w:spacing/>
      <w:ind/>
    </w:pPr>
    <w:rPr>
      <w:rFonts w:ascii="Arial" w:hAnsi="Arial" w:eastAsia="Arial" w:cs="Arial"/>
      <w:i/>
      <w:iCs/>
      <w:color w:val="272727" w:themeColor="text1" w:themeTint="D8"/>
    </w:rPr>
  </w:style>
  <w:style w:type="paragraph" w:styleId="905">
    <w:name w:val="Title"/>
    <w:basedOn w:val="940"/>
    <w:next w:val="940"/>
    <w:link w:val="906"/>
    <w:uiPriority w:val="10"/>
    <w:qFormat/>
    <w:pPr>
      <w:pBdr/>
      <w:spacing w:after="80" w:line="240" w:lineRule="auto"/>
      <w:ind/>
      <w:contextualSpacing w:val="true"/>
    </w:pPr>
    <w:rPr>
      <w:rFonts w:ascii="Arial" w:hAnsi="Arial" w:eastAsia="Arial" w:cs="Arial"/>
      <w:spacing w:val="-10"/>
      <w:sz w:val="56"/>
      <w:szCs w:val="56"/>
    </w:rPr>
  </w:style>
  <w:style w:type="character" w:styleId="906">
    <w:name w:val="Title Char"/>
    <w:basedOn w:val="943"/>
    <w:link w:val="905"/>
    <w:uiPriority w:val="10"/>
    <w:pPr>
      <w:pBdr/>
      <w:spacing/>
      <w:ind/>
    </w:pPr>
    <w:rPr>
      <w:rFonts w:ascii="Arial" w:hAnsi="Arial" w:eastAsia="Arial" w:cs="Arial"/>
      <w:spacing w:val="-10"/>
      <w:sz w:val="56"/>
      <w:szCs w:val="56"/>
    </w:rPr>
  </w:style>
  <w:style w:type="paragraph" w:styleId="907">
    <w:name w:val="Subtitle"/>
    <w:basedOn w:val="940"/>
    <w:next w:val="940"/>
    <w:link w:val="908"/>
    <w:uiPriority w:val="11"/>
    <w:qFormat/>
    <w:pPr>
      <w:numPr>
        <w:ilvl w:val="1"/>
      </w:numPr>
      <w:pBdr/>
      <w:spacing/>
      <w:ind/>
    </w:pPr>
    <w:rPr>
      <w:color w:val="595959" w:themeColor="text1" w:themeTint="A6"/>
      <w:spacing w:val="15"/>
      <w:sz w:val="28"/>
      <w:szCs w:val="28"/>
    </w:rPr>
  </w:style>
  <w:style w:type="character" w:styleId="908">
    <w:name w:val="Subtitle Char"/>
    <w:basedOn w:val="943"/>
    <w:link w:val="907"/>
    <w:uiPriority w:val="11"/>
    <w:pPr>
      <w:pBdr/>
      <w:spacing/>
      <w:ind/>
    </w:pPr>
    <w:rPr>
      <w:color w:val="595959" w:themeColor="text1" w:themeTint="A6"/>
      <w:spacing w:val="15"/>
      <w:sz w:val="28"/>
      <w:szCs w:val="28"/>
    </w:rPr>
  </w:style>
  <w:style w:type="paragraph" w:styleId="909">
    <w:name w:val="Quote"/>
    <w:basedOn w:val="940"/>
    <w:next w:val="940"/>
    <w:link w:val="910"/>
    <w:uiPriority w:val="29"/>
    <w:qFormat/>
    <w:pPr>
      <w:pBdr/>
      <w:spacing w:before="160"/>
      <w:ind/>
      <w:jc w:val="center"/>
    </w:pPr>
    <w:rPr>
      <w:i/>
      <w:iCs/>
      <w:color w:val="404040" w:themeColor="text1" w:themeTint="BF"/>
    </w:rPr>
  </w:style>
  <w:style w:type="character" w:styleId="910">
    <w:name w:val="Quote Char"/>
    <w:basedOn w:val="943"/>
    <w:link w:val="909"/>
    <w:uiPriority w:val="29"/>
    <w:pPr>
      <w:pBdr/>
      <w:spacing/>
      <w:ind/>
    </w:pPr>
    <w:rPr>
      <w:i/>
      <w:iCs/>
      <w:color w:val="404040" w:themeColor="text1" w:themeTint="BF"/>
    </w:rPr>
  </w:style>
  <w:style w:type="character" w:styleId="911">
    <w:name w:val="Intense Emphasis"/>
    <w:basedOn w:val="943"/>
    <w:uiPriority w:val="21"/>
    <w:qFormat/>
    <w:pPr>
      <w:pBdr/>
      <w:spacing/>
      <w:ind/>
    </w:pPr>
    <w:rPr>
      <w:i/>
      <w:iCs/>
      <w:color w:val="0f4761" w:themeColor="accent1" w:themeShade="BF"/>
    </w:rPr>
  </w:style>
  <w:style w:type="paragraph" w:styleId="912">
    <w:name w:val="Intense Quote"/>
    <w:basedOn w:val="940"/>
    <w:next w:val="940"/>
    <w:link w:val="91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3">
    <w:name w:val="Intense Quote Char"/>
    <w:basedOn w:val="943"/>
    <w:link w:val="912"/>
    <w:uiPriority w:val="30"/>
    <w:pPr>
      <w:pBdr/>
      <w:spacing/>
      <w:ind/>
    </w:pPr>
    <w:rPr>
      <w:i/>
      <w:iCs/>
      <w:color w:val="0f4761" w:themeColor="accent1" w:themeShade="BF"/>
    </w:rPr>
  </w:style>
  <w:style w:type="character" w:styleId="914">
    <w:name w:val="Intense Reference"/>
    <w:basedOn w:val="943"/>
    <w:uiPriority w:val="32"/>
    <w:qFormat/>
    <w:pPr>
      <w:pBdr/>
      <w:spacing/>
      <w:ind/>
    </w:pPr>
    <w:rPr>
      <w:b/>
      <w:bCs/>
      <w:smallCaps/>
      <w:color w:val="0f4761" w:themeColor="accent1" w:themeShade="BF"/>
      <w:spacing w:val="5"/>
    </w:rPr>
  </w:style>
  <w:style w:type="character" w:styleId="915">
    <w:name w:val="Subtle Emphasis"/>
    <w:basedOn w:val="943"/>
    <w:uiPriority w:val="19"/>
    <w:qFormat/>
    <w:pPr>
      <w:pBdr/>
      <w:spacing/>
      <w:ind/>
    </w:pPr>
    <w:rPr>
      <w:i/>
      <w:iCs/>
      <w:color w:val="404040" w:themeColor="text1" w:themeTint="BF"/>
    </w:rPr>
  </w:style>
  <w:style w:type="character" w:styleId="916">
    <w:name w:val="Emphasis"/>
    <w:basedOn w:val="943"/>
    <w:uiPriority w:val="20"/>
    <w:qFormat/>
    <w:pPr>
      <w:pBdr/>
      <w:spacing/>
      <w:ind/>
    </w:pPr>
    <w:rPr>
      <w:i/>
      <w:iCs/>
    </w:rPr>
  </w:style>
  <w:style w:type="character" w:styleId="917">
    <w:name w:val="Strong"/>
    <w:basedOn w:val="943"/>
    <w:uiPriority w:val="22"/>
    <w:qFormat/>
    <w:pPr>
      <w:pBdr/>
      <w:spacing/>
      <w:ind/>
    </w:pPr>
    <w:rPr>
      <w:b/>
      <w:bCs/>
    </w:rPr>
  </w:style>
  <w:style w:type="character" w:styleId="918">
    <w:name w:val="Subtle Reference"/>
    <w:basedOn w:val="943"/>
    <w:uiPriority w:val="31"/>
    <w:qFormat/>
    <w:pPr>
      <w:pBdr/>
      <w:spacing/>
      <w:ind/>
    </w:pPr>
    <w:rPr>
      <w:smallCaps/>
      <w:color w:val="5a5a5a" w:themeColor="text1" w:themeTint="A5"/>
    </w:rPr>
  </w:style>
  <w:style w:type="character" w:styleId="919">
    <w:name w:val="Book Title"/>
    <w:basedOn w:val="943"/>
    <w:uiPriority w:val="33"/>
    <w:qFormat/>
    <w:pPr>
      <w:pBdr/>
      <w:spacing/>
      <w:ind/>
    </w:pPr>
    <w:rPr>
      <w:b/>
      <w:bCs/>
      <w:i/>
      <w:iCs/>
      <w:spacing w:val="5"/>
    </w:rPr>
  </w:style>
  <w:style w:type="character" w:styleId="920">
    <w:name w:val="Header Char"/>
    <w:basedOn w:val="943"/>
    <w:link w:val="948"/>
    <w:uiPriority w:val="99"/>
    <w:pPr>
      <w:pBdr/>
      <w:spacing/>
      <w:ind/>
    </w:pPr>
  </w:style>
  <w:style w:type="character" w:styleId="921">
    <w:name w:val="Footer Char"/>
    <w:basedOn w:val="943"/>
    <w:link w:val="950"/>
    <w:uiPriority w:val="99"/>
    <w:pPr>
      <w:pBdr/>
      <w:spacing/>
      <w:ind/>
    </w:pPr>
  </w:style>
  <w:style w:type="paragraph" w:styleId="922">
    <w:name w:val="footnote text"/>
    <w:basedOn w:val="940"/>
    <w:link w:val="923"/>
    <w:uiPriority w:val="99"/>
    <w:semiHidden/>
    <w:unhideWhenUsed/>
    <w:pPr>
      <w:pBdr/>
      <w:spacing w:after="0" w:line="240" w:lineRule="auto"/>
      <w:ind/>
    </w:pPr>
    <w:rPr>
      <w:sz w:val="20"/>
      <w:szCs w:val="20"/>
    </w:rPr>
  </w:style>
  <w:style w:type="character" w:styleId="923">
    <w:name w:val="Footnote Text Char"/>
    <w:basedOn w:val="943"/>
    <w:link w:val="922"/>
    <w:uiPriority w:val="99"/>
    <w:semiHidden/>
    <w:pPr>
      <w:pBdr/>
      <w:spacing/>
      <w:ind/>
    </w:pPr>
    <w:rPr>
      <w:sz w:val="20"/>
      <w:szCs w:val="20"/>
    </w:rPr>
  </w:style>
  <w:style w:type="character" w:styleId="924">
    <w:name w:val="footnote reference"/>
    <w:basedOn w:val="943"/>
    <w:uiPriority w:val="99"/>
    <w:semiHidden/>
    <w:unhideWhenUsed/>
    <w:pPr>
      <w:pBdr/>
      <w:spacing/>
      <w:ind/>
    </w:pPr>
    <w:rPr>
      <w:vertAlign w:val="superscript"/>
    </w:rPr>
  </w:style>
  <w:style w:type="paragraph" w:styleId="925">
    <w:name w:val="endnote text"/>
    <w:basedOn w:val="940"/>
    <w:link w:val="926"/>
    <w:uiPriority w:val="99"/>
    <w:semiHidden/>
    <w:unhideWhenUsed/>
    <w:pPr>
      <w:pBdr/>
      <w:spacing w:after="0" w:line="240" w:lineRule="auto"/>
      <w:ind/>
    </w:pPr>
    <w:rPr>
      <w:sz w:val="20"/>
      <w:szCs w:val="20"/>
    </w:rPr>
  </w:style>
  <w:style w:type="character" w:styleId="926">
    <w:name w:val="Endnote Text Char"/>
    <w:basedOn w:val="943"/>
    <w:link w:val="925"/>
    <w:uiPriority w:val="99"/>
    <w:semiHidden/>
    <w:pPr>
      <w:pBdr/>
      <w:spacing/>
      <w:ind/>
    </w:pPr>
    <w:rPr>
      <w:sz w:val="20"/>
      <w:szCs w:val="20"/>
    </w:rPr>
  </w:style>
  <w:style w:type="character" w:styleId="927">
    <w:name w:val="endnote reference"/>
    <w:basedOn w:val="943"/>
    <w:uiPriority w:val="99"/>
    <w:semiHidden/>
    <w:unhideWhenUsed/>
    <w:pPr>
      <w:pBdr/>
      <w:spacing/>
      <w:ind/>
    </w:pPr>
    <w:rPr>
      <w:vertAlign w:val="superscript"/>
    </w:rPr>
  </w:style>
  <w:style w:type="character" w:styleId="928">
    <w:name w:val="FollowedHyperlink"/>
    <w:basedOn w:val="943"/>
    <w:uiPriority w:val="99"/>
    <w:semiHidden/>
    <w:unhideWhenUsed/>
    <w:pPr>
      <w:pBdr/>
      <w:spacing/>
      <w:ind/>
    </w:pPr>
    <w:rPr>
      <w:color w:val="954f72" w:themeColor="followedHyperlink"/>
      <w:u w:val="single"/>
    </w:rPr>
  </w:style>
  <w:style w:type="paragraph" w:styleId="929">
    <w:name w:val="toc 1"/>
    <w:basedOn w:val="940"/>
    <w:next w:val="940"/>
    <w:uiPriority w:val="39"/>
    <w:unhideWhenUsed/>
    <w:pPr>
      <w:pBdr/>
      <w:spacing w:after="100"/>
      <w:ind/>
    </w:pPr>
  </w:style>
  <w:style w:type="paragraph" w:styleId="930">
    <w:name w:val="toc 2"/>
    <w:basedOn w:val="940"/>
    <w:next w:val="940"/>
    <w:uiPriority w:val="39"/>
    <w:unhideWhenUsed/>
    <w:pPr>
      <w:pBdr/>
      <w:spacing w:after="100"/>
      <w:ind w:left="220"/>
    </w:pPr>
  </w:style>
  <w:style w:type="paragraph" w:styleId="931">
    <w:name w:val="toc 3"/>
    <w:basedOn w:val="940"/>
    <w:next w:val="940"/>
    <w:uiPriority w:val="39"/>
    <w:unhideWhenUsed/>
    <w:pPr>
      <w:pBdr/>
      <w:spacing w:after="100"/>
      <w:ind w:left="440"/>
    </w:pPr>
  </w:style>
  <w:style w:type="paragraph" w:styleId="932">
    <w:name w:val="toc 4"/>
    <w:basedOn w:val="940"/>
    <w:next w:val="940"/>
    <w:uiPriority w:val="39"/>
    <w:unhideWhenUsed/>
    <w:pPr>
      <w:pBdr/>
      <w:spacing w:after="100"/>
      <w:ind w:left="660"/>
    </w:pPr>
  </w:style>
  <w:style w:type="paragraph" w:styleId="933">
    <w:name w:val="toc 5"/>
    <w:basedOn w:val="940"/>
    <w:next w:val="940"/>
    <w:uiPriority w:val="39"/>
    <w:unhideWhenUsed/>
    <w:pPr>
      <w:pBdr/>
      <w:spacing w:after="100"/>
      <w:ind w:left="880"/>
    </w:pPr>
  </w:style>
  <w:style w:type="paragraph" w:styleId="934">
    <w:name w:val="toc 6"/>
    <w:basedOn w:val="940"/>
    <w:next w:val="940"/>
    <w:uiPriority w:val="39"/>
    <w:unhideWhenUsed/>
    <w:pPr>
      <w:pBdr/>
      <w:spacing w:after="100"/>
      <w:ind w:left="1100"/>
    </w:pPr>
  </w:style>
  <w:style w:type="paragraph" w:styleId="935">
    <w:name w:val="toc 7"/>
    <w:basedOn w:val="940"/>
    <w:next w:val="940"/>
    <w:uiPriority w:val="39"/>
    <w:unhideWhenUsed/>
    <w:pPr>
      <w:pBdr/>
      <w:spacing w:after="100"/>
      <w:ind w:left="1320"/>
    </w:pPr>
  </w:style>
  <w:style w:type="paragraph" w:styleId="936">
    <w:name w:val="toc 8"/>
    <w:basedOn w:val="940"/>
    <w:next w:val="940"/>
    <w:uiPriority w:val="39"/>
    <w:unhideWhenUsed/>
    <w:pPr>
      <w:pBdr/>
      <w:spacing w:after="100"/>
      <w:ind w:left="1540"/>
    </w:pPr>
  </w:style>
  <w:style w:type="paragraph" w:styleId="937">
    <w:name w:val="toc 9"/>
    <w:basedOn w:val="940"/>
    <w:next w:val="940"/>
    <w:uiPriority w:val="39"/>
    <w:unhideWhenUsed/>
    <w:pPr>
      <w:pBdr/>
      <w:spacing w:after="100"/>
      <w:ind w:left="1760"/>
    </w:pPr>
  </w:style>
  <w:style w:type="paragraph" w:styleId="938">
    <w:name w:val="TOC Heading"/>
    <w:uiPriority w:val="39"/>
    <w:unhideWhenUsed/>
    <w:pPr>
      <w:pBdr/>
      <w:spacing/>
      <w:ind/>
    </w:pPr>
  </w:style>
  <w:style w:type="paragraph" w:styleId="939">
    <w:name w:val="table of figures"/>
    <w:basedOn w:val="940"/>
    <w:next w:val="940"/>
    <w:uiPriority w:val="99"/>
    <w:unhideWhenUsed/>
    <w:pPr>
      <w:pBdr/>
      <w:spacing w:after="0" w:afterAutospacing="0"/>
      <w:ind/>
    </w:pPr>
  </w:style>
  <w:style w:type="paragraph" w:styleId="940" w:default="1">
    <w:name w:val="Normal"/>
    <w:qFormat/>
    <w:pPr>
      <w:pBdr/>
      <w:spacing/>
      <w:ind/>
    </w:pPr>
    <w:rPr>
      <w:lang w:val="es-MX"/>
    </w:rPr>
  </w:style>
  <w:style w:type="paragraph" w:styleId="941">
    <w:name w:val="Heading 1"/>
    <w:basedOn w:val="940"/>
    <w:next w:val="940"/>
    <w:link w:val="952"/>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942">
    <w:name w:val="Heading 2"/>
    <w:basedOn w:val="940"/>
    <w:next w:val="940"/>
    <w:link w:val="957"/>
    <w:uiPriority w:val="9"/>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character" w:styleId="943" w:default="1">
    <w:name w:val="Default Paragraph Font"/>
    <w:uiPriority w:val="1"/>
    <w:semiHidden/>
    <w:unhideWhenUsed/>
    <w:pPr>
      <w:pBdr/>
      <w:spacing/>
      <w:ind/>
    </w:pPr>
  </w:style>
  <w:style w:type="table" w:styleId="94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5" w:default="1">
    <w:name w:val="No List"/>
    <w:uiPriority w:val="99"/>
    <w:semiHidden/>
    <w:unhideWhenUsed/>
    <w:pPr>
      <w:pBdr/>
      <w:spacing/>
      <w:ind/>
    </w:pPr>
  </w:style>
  <w:style w:type="paragraph" w:styleId="946">
    <w:name w:val="No Spacing"/>
    <w:link w:val="947"/>
    <w:uiPriority w:val="1"/>
    <w:qFormat/>
    <w:pPr>
      <w:pBdr/>
      <w:spacing w:after="0" w:line="240" w:lineRule="auto"/>
      <w:ind/>
    </w:pPr>
    <w:rPr>
      <w:rFonts w:eastAsiaTheme="minorEastAsia"/>
      <w:lang w:val="es-MX" w:eastAsia="es-MX"/>
    </w:rPr>
  </w:style>
  <w:style w:type="character" w:styleId="947" w:customStyle="1">
    <w:name w:val="Sin espaciado Car"/>
    <w:basedOn w:val="943"/>
    <w:link w:val="946"/>
    <w:uiPriority w:val="1"/>
    <w:pPr>
      <w:pBdr/>
      <w:spacing/>
      <w:ind/>
    </w:pPr>
    <w:rPr>
      <w:rFonts w:eastAsiaTheme="minorEastAsia"/>
      <w:lang w:val="es-MX" w:eastAsia="es-MX"/>
    </w:rPr>
  </w:style>
  <w:style w:type="paragraph" w:styleId="948">
    <w:name w:val="Header"/>
    <w:basedOn w:val="940"/>
    <w:link w:val="949"/>
    <w:uiPriority w:val="99"/>
    <w:unhideWhenUsed/>
    <w:pPr>
      <w:pBdr/>
      <w:tabs>
        <w:tab w:val="center" w:leader="none" w:pos="4252"/>
        <w:tab w:val="right" w:leader="none" w:pos="8504"/>
      </w:tabs>
      <w:spacing w:after="0" w:line="240" w:lineRule="auto"/>
      <w:ind/>
    </w:pPr>
  </w:style>
  <w:style w:type="character" w:styleId="949" w:customStyle="1">
    <w:name w:val="Encabezado Car"/>
    <w:basedOn w:val="943"/>
    <w:link w:val="948"/>
    <w:uiPriority w:val="99"/>
    <w:pPr>
      <w:pBdr/>
      <w:spacing/>
      <w:ind/>
    </w:pPr>
    <w:rPr>
      <w:lang w:val="es-MX"/>
    </w:rPr>
  </w:style>
  <w:style w:type="paragraph" w:styleId="950">
    <w:name w:val="Footer"/>
    <w:basedOn w:val="940"/>
    <w:link w:val="951"/>
    <w:uiPriority w:val="99"/>
    <w:unhideWhenUsed/>
    <w:pPr>
      <w:pBdr/>
      <w:tabs>
        <w:tab w:val="center" w:leader="none" w:pos="4252"/>
        <w:tab w:val="right" w:leader="none" w:pos="8504"/>
      </w:tabs>
      <w:spacing w:after="0" w:line="240" w:lineRule="auto"/>
      <w:ind/>
    </w:pPr>
  </w:style>
  <w:style w:type="character" w:styleId="951" w:customStyle="1">
    <w:name w:val="Pie de página Car"/>
    <w:basedOn w:val="943"/>
    <w:link w:val="950"/>
    <w:uiPriority w:val="99"/>
    <w:pPr>
      <w:pBdr/>
      <w:spacing/>
      <w:ind/>
    </w:pPr>
    <w:rPr>
      <w:lang w:val="es-MX"/>
    </w:rPr>
  </w:style>
  <w:style w:type="character" w:styleId="952" w:customStyle="1">
    <w:name w:val="Título 1 Car"/>
    <w:basedOn w:val="943"/>
    <w:link w:val="941"/>
    <w:uiPriority w:val="9"/>
    <w:pPr>
      <w:pBdr/>
      <w:spacing/>
      <w:ind/>
    </w:pPr>
    <w:rPr>
      <w:rFonts w:asciiTheme="majorHAnsi" w:hAnsiTheme="majorHAnsi" w:eastAsiaTheme="majorEastAsia" w:cstheme="majorBidi"/>
      <w:color w:val="2f5496" w:themeColor="accent1" w:themeShade="BF"/>
      <w:sz w:val="32"/>
      <w:szCs w:val="32"/>
      <w:lang w:val="es-MX"/>
    </w:rPr>
  </w:style>
  <w:style w:type="character" w:styleId="953">
    <w:name w:val="Hyperlink"/>
    <w:basedOn w:val="943"/>
    <w:uiPriority w:val="99"/>
    <w:unhideWhenUsed/>
    <w:pPr>
      <w:pBdr/>
      <w:spacing/>
      <w:ind/>
    </w:pPr>
    <w:rPr>
      <w:color w:val="0563c1" w:themeColor="hyperlink"/>
      <w:u w:val="single"/>
    </w:rPr>
  </w:style>
  <w:style w:type="character" w:styleId="954">
    <w:name w:val="Unresolved Mention"/>
    <w:basedOn w:val="943"/>
    <w:uiPriority w:val="99"/>
    <w:semiHidden/>
    <w:unhideWhenUsed/>
    <w:pPr>
      <w:pBdr/>
      <w:spacing/>
      <w:ind/>
    </w:pPr>
    <w:rPr>
      <w:color w:val="605e5c"/>
      <w:shd w:val="clear" w:color="auto" w:fill="e1dfdd"/>
    </w:rPr>
  </w:style>
  <w:style w:type="paragraph" w:styleId="955" w:customStyle="1">
    <w:name w:val="IEEE Reference Item"/>
    <w:basedOn w:val="940"/>
    <w:uiPriority w:val="1"/>
    <w:pPr>
      <w:pBdr/>
      <w:spacing/>
      <w:ind w:hanging="432" w:left="432"/>
      <w:jc w:val="both"/>
    </w:pPr>
    <w:rPr>
      <w:rFonts w:ascii="Times New Roman" w:hAnsi="Times New Roman" w:eastAsia="SimSun" w:cs="Times New Roman"/>
      <w:sz w:val="16"/>
      <w:szCs w:val="16"/>
      <w:lang w:val="en-US" w:eastAsia="zh-CN"/>
    </w:rPr>
  </w:style>
  <w:style w:type="paragraph" w:styleId="956">
    <w:name w:val="Caption"/>
    <w:basedOn w:val="940"/>
    <w:next w:val="940"/>
    <w:uiPriority w:val="35"/>
    <w:unhideWhenUsed/>
    <w:qFormat/>
    <w:pPr>
      <w:pBdr/>
      <w:spacing w:after="200" w:line="240" w:lineRule="auto"/>
      <w:ind/>
    </w:pPr>
    <w:rPr>
      <w:i/>
      <w:iCs/>
      <w:color w:val="44546a" w:themeColor="text2"/>
      <w:sz w:val="18"/>
      <w:szCs w:val="18"/>
    </w:rPr>
  </w:style>
  <w:style w:type="character" w:styleId="957" w:customStyle="1">
    <w:name w:val="Título 2 Car"/>
    <w:basedOn w:val="943"/>
    <w:link w:val="942"/>
    <w:uiPriority w:val="9"/>
    <w:pPr>
      <w:pBdr/>
      <w:spacing/>
      <w:ind/>
    </w:pPr>
    <w:rPr>
      <w:rFonts w:asciiTheme="majorHAnsi" w:hAnsiTheme="majorHAnsi" w:eastAsiaTheme="majorEastAsia" w:cstheme="majorBidi"/>
      <w:color w:val="2f5496" w:themeColor="accent1" w:themeShade="BF"/>
      <w:sz w:val="32"/>
      <w:szCs w:val="32"/>
      <w:lang w:val="es-MX"/>
    </w:rPr>
  </w:style>
  <w:style w:type="paragraph" w:styleId="958">
    <w:name w:val="List Paragraph"/>
    <w:basedOn w:val="940"/>
    <w:uiPriority w:val="34"/>
    <w:qFormat/>
    <w:pPr>
      <w:pBdr/>
      <w:spacing/>
      <w:ind w:left="720"/>
      <w:contextualSpacing w:val="true"/>
    </w:pPr>
  </w:style>
  <w:style w:type="table" w:styleId="959">
    <w:name w:val="Table Grid"/>
    <w:basedOn w:val="944"/>
    <w:uiPriority w:val="5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png"/><Relationship Id="rId15" Type="http://schemas.openxmlformats.org/officeDocument/2006/relationships/image" Target="media/image6.jpg"/><Relationship Id="rId16" Type="http://schemas.openxmlformats.org/officeDocument/2006/relationships/hyperlink" Target="https://www.diputados.gob.mx/LeyesBiblio/pdf/LFPDPPP.pdf" TargetMode="External"/><Relationship Id="rId17" Type="http://schemas.openxmlformats.org/officeDocument/2006/relationships/hyperlink" Target="https://www.diputados.gob.mx/LeyesBiblio/pdf/LGPDPPSO.pdf" TargetMode="External"/><Relationship Id="rId18" Type="http://schemas.openxmlformats.org/officeDocument/2006/relationships/hyperlink" Target="https://www.diputados.gob.mx/LeyesBiblio/pdf/LGMHCTI.pdf" TargetMode="External"/><Relationship Id="rId19" Type="http://schemas.openxmlformats.org/officeDocument/2006/relationships/hyperlink" Target="https://www.diputados.gob.mx/LeyesBiblio/pdf/LFTR.pdf" TargetMode="External"/><Relationship Id="rId20" Type="http://schemas.openxmlformats.org/officeDocument/2006/relationships/hyperlink" Target="https://www.diputados.gob.mx/LeyesBiblio/pdf/LFPPI.pdf" TargetMode="External"/><Relationship Id="rId21" Type="http://schemas.openxmlformats.org/officeDocument/2006/relationships/hyperlink" Target="https://www.diputados.gob.mx/LeyesBiblio/pdf/LFEA_200521.pdf" TargetMode="External"/><Relationship Id="rId22" Type="http://schemas.openxmlformats.org/officeDocument/2006/relationships/hyperlink" Target="https://www.eleconomista.com.mx/tecnologia/8-dependencias-del-gobierno-de-AMLO-presentaron-irregularidades-TIC-segun-la-ASF-20220225-0086.html" TargetMode="External"/><Relationship Id="rId23" Type="http://schemas.openxmlformats.org/officeDocument/2006/relationships/hyperlink" Target="https://www.ey.com/es_mx/insights/assurance/preventing-and-detecting-fraud-how-to-strengthen-the-roles-of-companies-auditors-and-regulators" TargetMode="External"/><Relationship Id="rId24" Type="http://schemas.openxmlformats.org/officeDocument/2006/relationships/hyperlink" Target="https://www.cyberark.com/es/what-is/privileged-access-management/" TargetMode="External"/><Relationship Id="rId25" Type="http://schemas.openxmlformats.org/officeDocument/2006/relationships/hyperlink" Target="https://www.elfinanciero.com.mx/economia/claves-para-entender-el-fraude-de-oceanografia-a-banamex/" TargetMode="External"/><Relationship Id="rId26" Type="http://schemas.openxmlformats.org/officeDocument/2006/relationships/hyperlink" Target="https://laverdadnoticias.com/economia/oceanografia-y-banamex-el-escandalo-que-marco-a-mexico-y-sigue-vigente-20241116" TargetMode="External"/><Relationship Id="rId27" Type="http://schemas.openxmlformats.org/officeDocument/2006/relationships/hyperlink" Target="https://www.theiia.org/globalassets/documents/resources/fraud-and-internal-audit-assurance-over-fraud-controls-fundamental-to-success-april-2019/fraud-and-internal-audit-spanish.pdf"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Docente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ONLYOFFICE/8.3.1.25</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Juan Carlos Sánchez Gaytán</dc:creator>
  <cp:keywords/>
  <dc:description/>
  <cp:revision>7</cp:revision>
  <dcterms:created xsi:type="dcterms:W3CDTF">2025-03-04T05:59:00Z</dcterms:created>
  <dcterms:modified xsi:type="dcterms:W3CDTF">2025-03-11T04:04:20Z</dcterms:modified>
</cp:coreProperties>
</file>