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tbl>
      <w:tblPr>
        <w:tblW w:w="4987" w:type="pct"/>
        <w:jc w:val="center"/>
        <w:tblBorders>
          <w:insideV w:val="single" w:color="ed7d31" w:themeColor="accent2" w:sz="12" w:space="0"/>
        </w:tblBorders>
        <w:tblLayout w:type="fixed"/>
        <w:tblCellMar>
          <w:left w:w="360" w:type="dxa"/>
          <w:top w:w="1296" w:type="dxa"/>
          <w:right w:w="360" w:type="dxa"/>
          <w:bottom w:w="1296" w:type="dxa"/>
        </w:tblCellMar>
        <w:tblLook w:val="04A0" w:firstRow="1" w:lastRow="0" w:firstColumn="1" w:lastColumn="0" w:noHBand="0" w:noVBand="1"/>
      </w:tblPr>
      <w:tblGrid>
        <w:gridCol w:w="4389"/>
        <w:gridCol w:w="4093"/>
      </w:tblGrid>
      <w:tr>
        <w:trPr>
          <w:jc w:val="center"/>
        </w:trPr>
        <w:tc>
          <w:tcPr>
            <w:tcBorders/>
            <w:tcW w:w="2587" w:type="pct"/>
            <w:vAlign w:val="center"/>
            <w:textDirection w:val="lrTb"/>
            <w:noWrap w:val="false"/>
          </w:tcPr>
          <w:p>
            <w:pPr>
              <w:pBdr/>
              <w:spacing/>
              <w:ind/>
              <w:rPr/>
            </w:pPr>
            <w:r/>
            <w:r/>
          </w:p>
          <w:p>
            <w:pPr>
              <w:pBdr/>
              <w:spacing/>
              <w:ind/>
              <w:jc w:val="right"/>
              <w:rPr>
                <w:rFonts w:eastAsiaTheme="minorEastAsia"/>
                <w:caps/>
                <w:color w:val="191919" w:themeColor="text1" w:themeTint="E6"/>
                <w:sz w:val="44"/>
                <w:szCs w:val="44"/>
                <w:lang w:eastAsia="es-MX"/>
              </w:rPr>
            </w:pPr>
            <w:r>
              <w:rPr>
                <w:rFonts w:eastAsiaTheme="minorEastAsia"/>
                <w:caps/>
                <w:color w:val="191919" w:themeColor="text1" w:themeTint="E6"/>
                <w:sz w:val="44"/>
                <w:szCs w:val="44"/>
                <w:lang w:eastAsia="es-MX"/>
              </w:rPr>
            </w:r>
            <w:r>
              <w:rPr>
                <w:rFonts w:eastAsiaTheme="minorEastAsia"/>
                <w:caps/>
                <w:color w:val="191919" w:themeColor="text1" w:themeTint="E6"/>
                <w:sz w:val="44"/>
                <w:szCs w:val="44"/>
                <w:lang w:eastAsia="es-MX"/>
              </w:rPr>
            </w:r>
            <w:r>
              <w:rPr>
                <w:rFonts w:eastAsiaTheme="minorEastAsia"/>
                <w:caps/>
                <w:color w:val="191919" w:themeColor="text1" w:themeTint="E6"/>
                <w:sz w:val="44"/>
                <w:szCs w:val="44"/>
                <w:lang w:eastAsia="es-MX"/>
              </w:rPr>
            </w:r>
          </w:p>
          <w:p>
            <w:pPr>
              <w:pBdr/>
              <w:spacing/>
              <w:ind/>
              <w:jc w:val="right"/>
              <w:rPr>
                <w:rFonts w:ascii="Times New Roman" w:hAnsi="Times New Roman" w:cs="Times New Roman" w:eastAsiaTheme="minorEastAsia"/>
                <w:i/>
                <w:iCs/>
                <w:caps/>
                <w:color w:val="191919" w:themeColor="text1" w:themeTint="E6"/>
                <w:sz w:val="36"/>
                <w:szCs w:val="36"/>
                <w:lang w:eastAsia="es-MX"/>
              </w:rPr>
            </w:pPr>
            <w:r>
              <w:rPr>
                <w:rFonts w:ascii="Times New Roman" w:hAnsi="Times New Roman" w:cs="Times New Roman" w:eastAsiaTheme="minorEastAsia"/>
                <w:i/>
                <w:iCs/>
                <w:caps/>
                <w:color w:val="191919"/>
                <w:sz w:val="36"/>
                <w:szCs w:val="36"/>
                <w:lang w:eastAsia="es-MX"/>
              </w:rPr>
              <w:t xml:space="preserve">Ingeniería</w:t>
            </w:r>
            <w:r>
              <w:rPr>
                <w:rFonts w:ascii="Times New Roman" w:hAnsi="Times New Roman" w:cs="Times New Roman" w:eastAsiaTheme="minorEastAsia"/>
                <w:i/>
                <w:iCs/>
                <w:caps/>
                <w:color w:val="191919"/>
                <w:sz w:val="36"/>
                <w:szCs w:val="36"/>
                <w:lang w:eastAsia="es-MX"/>
              </w:rPr>
              <w:t xml:space="preserve"> en tecnolog</w:t>
            </w:r>
            <w:r>
              <w:rPr>
                <w:rFonts w:ascii="Times New Roman" w:hAnsi="Times New Roman" w:cs="Times New Roman" w:eastAsiaTheme="minorEastAsia"/>
                <w:i/>
                <w:iCs/>
                <w:caps/>
                <w:color w:val="191919"/>
                <w:sz w:val="36"/>
                <w:szCs w:val="36"/>
                <w:lang w:eastAsia="es-MX"/>
              </w:rPr>
              <w:t xml:space="preserve">í</w:t>
            </w:r>
            <w:r>
              <w:rPr>
                <w:rFonts w:ascii="Times New Roman" w:hAnsi="Times New Roman" w:cs="Times New Roman" w:eastAsiaTheme="minorEastAsia"/>
                <w:i/>
                <w:iCs/>
                <w:caps/>
                <w:color w:val="191919"/>
                <w:sz w:val="36"/>
                <w:szCs w:val="36"/>
                <w:lang w:eastAsia="es-MX"/>
              </w:rPr>
              <w:t xml:space="preserve">as de la información</w:t>
            </w:r>
            <w:r>
              <w:rPr>
                <w:rFonts w:ascii="Times New Roman" w:hAnsi="Times New Roman" w:cs="Times New Roman" w:eastAsiaTheme="minorEastAsia"/>
                <w:i/>
                <w:iCs/>
                <w:caps/>
                <w:color w:val="191919"/>
                <w:sz w:val="36"/>
                <w:szCs w:val="36"/>
                <w:lang w:eastAsia="es-MX"/>
              </w:rPr>
              <w:t xml:space="preserve"> y comunicación</w:t>
            </w:r>
            <w:r>
              <w:rPr>
                <w:rFonts w:ascii="Times New Roman" w:hAnsi="Times New Roman" w:cs="Times New Roman" w:eastAsiaTheme="minorEastAsia"/>
                <w:i/>
                <w:iCs/>
                <w:caps/>
                <w:color w:val="191919" w:themeColor="text1" w:themeTint="E6"/>
                <w:sz w:val="36"/>
                <w:szCs w:val="36"/>
                <w:lang w:eastAsia="es-MX"/>
              </w:rPr>
            </w:r>
            <w:r>
              <w:rPr>
                <w:rFonts w:ascii="Times New Roman" w:hAnsi="Times New Roman" w:cs="Times New Roman" w:eastAsiaTheme="minorEastAsia"/>
                <w:i/>
                <w:iCs/>
                <w:caps/>
                <w:color w:val="191919" w:themeColor="text1" w:themeTint="E6"/>
                <w:sz w:val="36"/>
                <w:szCs w:val="36"/>
                <w:lang w:eastAsia="es-MX"/>
              </w:rPr>
            </w:r>
          </w:p>
          <w:p>
            <w:pPr>
              <w:pBdr/>
              <w:spacing/>
              <w:ind/>
              <w:jc w:val="right"/>
              <w:rPr>
                <w:rFonts w:eastAsiaTheme="minorEastAsia"/>
                <w:caps/>
                <w:color w:val="191919" w:themeColor="text1" w:themeTint="E6"/>
                <w:sz w:val="32"/>
                <w:szCs w:val="32"/>
                <w:lang w:eastAsia="es-MX"/>
              </w:rPr>
            </w:pPr>
            <w:r>
              <w:rPr>
                <w:rFonts w:eastAsiaTheme="minorEastAsia"/>
                <w:caps/>
                <w:color w:val="191919" w:themeColor="text1" w:themeTint="E6"/>
                <w:sz w:val="32"/>
                <w:szCs w:val="32"/>
                <w:lang w:eastAsia="es-MX"/>
              </w:rPr>
            </w:r>
            <w:r>
              <w:rPr>
                <w:rFonts w:eastAsiaTheme="minorEastAsia"/>
                <w:caps/>
                <w:color w:val="191919" w:themeColor="text1" w:themeTint="E6"/>
                <w:sz w:val="32"/>
                <w:szCs w:val="32"/>
                <w:lang w:eastAsia="es-MX"/>
              </w:rPr>
            </w:r>
            <w:r>
              <w:rPr>
                <w:rFonts w:eastAsiaTheme="minorEastAsia"/>
                <w:caps/>
                <w:color w:val="191919" w:themeColor="text1" w:themeTint="E6"/>
                <w:sz w:val="32"/>
                <w:szCs w:val="32"/>
                <w:lang w:eastAsia="es-MX"/>
              </w:rPr>
            </w:r>
          </w:p>
          <w:p>
            <w:pPr>
              <w:pBdr/>
              <w:spacing/>
              <w:ind/>
              <w:jc w:val="right"/>
              <w:rPr>
                <w:rFonts w:eastAsiaTheme="minorEastAsia"/>
                <w:i/>
                <w:iCs/>
                <w:caps/>
                <w:color w:val="1f4e79" w:themeColor="accent5" w:themeShade="80"/>
                <w:sz w:val="32"/>
                <w:szCs w:val="32"/>
                <w:lang w:eastAsia="es-MX"/>
              </w:rPr>
            </w:pPr>
            <w:r>
              <w:rPr>
                <w:rFonts w:eastAsiaTheme="minorEastAsia"/>
                <w:i/>
                <w:iCs/>
                <w:caps/>
                <w:color w:val="1f4e79" w:themeColor="accent5" w:themeShade="80"/>
                <w:sz w:val="32"/>
                <w:szCs w:val="32"/>
                <w:lang w:eastAsia="es-MX"/>
              </w:rPr>
              <w:t xml:space="preserve">Auditoría</w:t>
            </w:r>
            <w:r>
              <w:rPr>
                <w:rFonts w:eastAsiaTheme="minorEastAsia"/>
                <w:i/>
                <w:iCs/>
                <w:caps/>
                <w:color w:val="1f4e79" w:themeColor="accent5" w:themeShade="80"/>
                <w:sz w:val="32"/>
                <w:szCs w:val="32"/>
                <w:lang w:eastAsia="es-MX"/>
              </w:rPr>
              <w:t xml:space="preserve"> EN </w:t>
            </w:r>
            <w:r>
              <w:rPr>
                <w:rFonts w:eastAsiaTheme="minorEastAsia"/>
                <w:i/>
                <w:iCs/>
                <w:caps/>
                <w:color w:val="1f4e79" w:themeColor="accent5" w:themeShade="80"/>
                <w:sz w:val="32"/>
                <w:szCs w:val="32"/>
                <w:lang w:eastAsia="es-MX"/>
              </w:rPr>
              <w:t xml:space="preserve">Tecnologías</w:t>
            </w:r>
            <w:r>
              <w:rPr>
                <w:rFonts w:eastAsiaTheme="minorEastAsia"/>
                <w:i/>
                <w:iCs/>
                <w:caps/>
                <w:color w:val="1f4e79" w:themeColor="accent5" w:themeShade="80"/>
                <w:sz w:val="32"/>
                <w:szCs w:val="32"/>
                <w:lang w:eastAsia="es-MX"/>
              </w:rPr>
              <w:t xml:space="preserve"> DE </w:t>
            </w:r>
            <w:r>
              <w:rPr>
                <w:rFonts w:eastAsiaTheme="minorEastAsia"/>
                <w:i/>
                <w:iCs/>
                <w:caps/>
                <w:color w:val="1f4e79" w:themeColor="accent5" w:themeShade="80"/>
                <w:sz w:val="32"/>
                <w:szCs w:val="32"/>
                <w:lang w:eastAsia="es-MX"/>
              </w:rPr>
              <w:t xml:space="preserve">la </w:t>
            </w:r>
            <w:r>
              <w:rPr>
                <w:rFonts w:eastAsiaTheme="minorEastAsia"/>
                <w:i/>
                <w:iCs/>
                <w:caps/>
                <w:color w:val="1f4e79" w:themeColor="accent5" w:themeShade="80"/>
                <w:sz w:val="32"/>
                <w:szCs w:val="32"/>
                <w:lang w:eastAsia="es-MX"/>
              </w:rPr>
              <w:t xml:space="preserve">Información</w:t>
            </w:r>
            <w:r>
              <w:rPr>
                <w:rFonts w:eastAsiaTheme="minorEastAsia"/>
                <w:i/>
                <w:iCs/>
                <w:caps/>
                <w:color w:val="1f4e79" w:themeColor="accent5" w:themeShade="80"/>
                <w:sz w:val="32"/>
                <w:szCs w:val="32"/>
                <w:lang w:eastAsia="es-MX"/>
              </w:rPr>
            </w:r>
            <w:r>
              <w:rPr>
                <w:rFonts w:eastAsiaTheme="minorEastAsia"/>
                <w:i/>
                <w:iCs/>
                <w:caps/>
                <w:color w:val="1f4e79" w:themeColor="accent5" w:themeShade="80"/>
                <w:sz w:val="32"/>
                <w:szCs w:val="32"/>
                <w:lang w:eastAsia="es-MX"/>
              </w:rPr>
            </w:r>
          </w:p>
          <w:p>
            <w:pPr>
              <w:pBdr/>
              <w:spacing/>
              <w:ind/>
              <w:jc w:val="right"/>
              <w:rPr>
                <w:rFonts w:eastAsiaTheme="minorEastAsia"/>
                <w:caps/>
                <w:color w:val="191919" w:themeColor="text1" w:themeTint="E6"/>
                <w:sz w:val="24"/>
                <w:szCs w:val="24"/>
                <w:lang w:eastAsia="es-MX"/>
              </w:rPr>
            </w:pPr>
            <w:r>
              <w:rPr>
                <w:rFonts w:eastAsiaTheme="minorEastAsia"/>
                <w:caps/>
                <w:color w:val="191919" w:themeColor="text1" w:themeTint="E6"/>
                <w:sz w:val="24"/>
                <w:szCs w:val="24"/>
                <w:lang w:eastAsia="es-MX"/>
              </w:rPr>
              <w:t xml:space="preserve">unidad 1</w:t>
            </w:r>
            <w:r>
              <w:rPr>
                <w:rFonts w:eastAsiaTheme="minorEastAsia"/>
                <w:caps/>
                <w:color w:val="191919" w:themeColor="text1" w:themeTint="E6"/>
                <w:sz w:val="24"/>
                <w:szCs w:val="24"/>
                <w:lang w:eastAsia="es-MX"/>
              </w:rPr>
              <w:t xml:space="preserve">:</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rFonts w:eastAsiaTheme="minorEastAsia"/>
                <w:caps/>
                <w:color w:val="191919" w:themeColor="text1" w:themeTint="E6"/>
                <w:sz w:val="24"/>
                <w:szCs w:val="24"/>
                <w:lang w:eastAsia="es-MX"/>
              </w:rPr>
            </w:pPr>
            <w:r>
              <w:rPr>
                <w:rFonts w:eastAsiaTheme="minorEastAsia"/>
                <w:i/>
                <w:iCs/>
                <w:caps/>
                <w:color w:val="1f4e79" w:themeColor="accent5" w:themeShade="80"/>
                <w:sz w:val="32"/>
                <w:szCs w:val="32"/>
                <w:lang w:eastAsia="es-MX"/>
              </w:rPr>
              <w:t xml:space="preserve">El marco jurídico de la auditoría informática</w:t>
            </w:r>
            <w:r>
              <w:t xml:space="preserve"> </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rFonts w:eastAsiaTheme="minorEastAsia"/>
                <w:caps/>
                <w:color w:val="191919" w:themeColor="text1" w:themeTint="E6"/>
                <w:sz w:val="24"/>
                <w:szCs w:val="24"/>
                <w:lang w:eastAsia="es-MX"/>
              </w:rPr>
            </w:pPr>
            <w:r>
              <w:rPr>
                <w:rFonts w:eastAsiaTheme="minorEastAsia"/>
                <w:caps/>
                <w:color w:val="191919" w:themeColor="text1" w:themeTint="E6"/>
                <w:sz w:val="24"/>
                <w:szCs w:val="24"/>
                <w:lang w:eastAsia="es-MX"/>
              </w:rPr>
              <w:t xml:space="preserve">Tema </w:t>
            </w:r>
            <w:r>
              <w:rPr>
                <w:rFonts w:eastAsiaTheme="minorEastAsia"/>
                <w:caps/>
                <w:color w:val="191919" w:themeColor="text1" w:themeTint="E6"/>
                <w:sz w:val="24"/>
                <w:szCs w:val="24"/>
                <w:lang w:eastAsia="es-MX"/>
              </w:rPr>
              <w:t xml:space="preserve">4</w:t>
            </w:r>
            <w:r>
              <w:rPr>
                <w:rFonts w:eastAsiaTheme="minorEastAsia"/>
                <w:caps/>
                <w:color w:val="191919" w:themeColor="text1" w:themeTint="E6"/>
                <w:sz w:val="24"/>
                <w:szCs w:val="24"/>
                <w:lang w:eastAsia="es-MX"/>
              </w:rPr>
              <w:t xml:space="preserve">:</w:t>
            </w:r>
            <w:r>
              <w:rPr>
                <w:rFonts w:eastAsiaTheme="minorEastAsia"/>
                <w:caps/>
                <w:color w:val="191919" w:themeColor="text1" w:themeTint="E6"/>
                <w:sz w:val="24"/>
                <w:szCs w:val="24"/>
                <w:lang w:eastAsia="es-MX"/>
              </w:rPr>
            </w:r>
            <w:r>
              <w:rPr>
                <w:rFonts w:eastAsiaTheme="minorEastAsia"/>
                <w:caps/>
                <w:color w:val="191919" w:themeColor="text1" w:themeTint="E6"/>
                <w:sz w:val="24"/>
                <w:szCs w:val="24"/>
                <w:lang w:eastAsia="es-MX"/>
              </w:rPr>
            </w:r>
          </w:p>
          <w:p>
            <w:pPr>
              <w:pBdr/>
              <w:spacing/>
              <w:ind/>
              <w:jc w:val="right"/>
              <w:rPr>
                <w:b/>
                <w:bCs/>
                <w:sz w:val="24"/>
                <w:szCs w:val="24"/>
              </w:rPr>
            </w:pPr>
            <w:r>
              <w:rPr>
                <w:rFonts w:eastAsiaTheme="minorEastAsia"/>
                <w:i/>
                <w:iCs/>
                <w:caps/>
                <w:color w:val="1f4e79" w:themeColor="accent5" w:themeShade="80"/>
                <w:sz w:val="32"/>
                <w:szCs w:val="32"/>
                <w:lang w:eastAsia="es-MX"/>
              </w:rPr>
              <w:t xml:space="preserve">xd (placeholder)</w:t>
            </w:r>
            <w:r>
              <w:rPr>
                <w:b/>
                <w:bCs/>
                <w:sz w:val="24"/>
                <w:szCs w:val="24"/>
              </w:rPr>
            </w:r>
            <w:r>
              <w:rPr>
                <w:b/>
                <w:bCs/>
                <w:sz w:val="24"/>
                <w:szCs w:val="24"/>
              </w:rPr>
            </w:r>
          </w:p>
        </w:tc>
        <w:tc>
          <w:tcPr>
            <w:tcBorders/>
            <w:tcW w:w="2413" w:type="pct"/>
            <w:vAlign w:val="center"/>
            <w:textDirection w:val="lrTb"/>
            <w:noWrap w:val="false"/>
          </w:tcPr>
          <w:p>
            <w:pPr>
              <w:pStyle w:val="946"/>
              <w:pBdr/>
              <w:spacing/>
              <w:ind/>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p>
            <w:pPr>
              <w:pStyle w:val="946"/>
              <w:pBdr/>
              <w:spacing/>
              <w:ind/>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p>
            <w:pPr>
              <w:pStyle w:val="946"/>
              <w:pBdr/>
              <w:spacing/>
              <w:ind/>
              <w:jc w:val="center"/>
              <w:rPr>
                <w:caps/>
                <w:color w:val="000000" w:themeColor="text1"/>
                <w:sz w:val="26"/>
                <w:szCs w:val="26"/>
              </w:rPr>
            </w:pPr>
            <w:r>
              <w:rPr>
                <w:caps/>
                <w:color w:val="000000" w:themeColor="text1"/>
                <w:sz w:val="26"/>
                <w:szCs w:val="26"/>
              </w:rPr>
            </w:r>
            <w:r>
              <w:rPr>
                <w:caps/>
                <w:color w:val="000000" w:themeColor="text1"/>
                <w:sz w:val="26"/>
                <w:szCs w:val="26"/>
              </w:rPr>
            </w:r>
            <w:r>
              <w:rPr>
                <w:caps/>
                <w:color w:val="000000" w:themeColor="text1"/>
                <w:sz w:val="26"/>
                <w:szCs w:val="26"/>
              </w:rPr>
            </w:r>
          </w:p>
          <w:sdt>
            <w:sdtPr>
              <w:alias w:val="Descripción breve"/>
              <w15:appearance w15:val="boundingBox"/>
              <w:id w:val="558449009"/>
              <w:dataBinding w:prefixMappings="xmlns:ns0='http://schemas.microsoft.com/office/2006/coverPageProps' " w:xpath="/ns0:CoverPageProperties[1]/ns0:Abstract[1]" w:storeItemID="{55AF091B-3C7A-41E3-B477-F2FDAA23CFDA}"/>
              <w:tag w:val=""/>
              <w:rPr>
                <w:color w:val="c45911" w:themeColor="accent2" w:themeShade="BF"/>
                <w:sz w:val="28"/>
                <w:szCs w:val="28"/>
              </w:rPr>
            </w:sdtPr>
            <w:sdtContent>
              <w:p>
                <w:pPr>
                  <w:pBdr/>
                  <w:spacing/>
                  <w:ind/>
                  <w:rPr/>
                </w:pPr>
                <w:r/>
              </w:p>
            </w:sdtContent>
          </w:sdt>
          <w:sdt>
            <w:sdtPr>
              <w:alias w:val="Autor"/>
              <w15:appearance w15:val="boundingBox"/>
              <w:id w:val="-472453804"/>
              <w:dataBinding w:prefixMappings="xmlns:ns0='http://purl.org/dc/elements/1.1/' xmlns:ns1='http://schemas.openxmlformats.org/package/2006/metadata/core-properties' " w:xpath="/ns1:coreProperties[1]/ns0:creator[1]" w:storeItemID="{6C3C8BC8-F283-45AE-878A-BAB7291924A1}"/>
              <w:tag w:val=""/>
              <w:rPr>
                <w:color w:val="44546a" w:themeColor="text2"/>
                <w:sz w:val="36"/>
                <w:szCs w:val="36"/>
              </w:rPr>
            </w:sdtPr>
            <w:sdtContent>
              <w:p>
                <w:pPr>
                  <w:pStyle w:val="946"/>
                  <w:pBdr/>
                  <w:spacing/>
                  <w:ind/>
                  <w:rPr>
                    <w:color w:val="44546a" w:themeColor="text2"/>
                    <w:sz w:val="28"/>
                    <w:szCs w:val="28"/>
                  </w:rPr>
                </w:pPr>
                <w:r>
                  <w:rPr>
                    <w:color w:val="44546a" w:themeColor="text2"/>
                    <w:sz w:val="36"/>
                    <w:szCs w:val="36"/>
                  </w:rPr>
                  <w:t xml:space="preserve">L</w:t>
                </w:r>
                <w:r>
                  <w:rPr>
                    <w:color w:val="44546a" w:themeColor="text2"/>
                    <w:sz w:val="36"/>
                    <w:szCs w:val="36"/>
                  </w:rPr>
                  <w:t xml:space="preserve">ic</w:t>
                </w:r>
                <w:r>
                  <w:rPr>
                    <w:color w:val="44546a" w:themeColor="text2"/>
                    <w:sz w:val="36"/>
                    <w:szCs w:val="36"/>
                  </w:rPr>
                  <w:t xml:space="preserve">. </w:t>
                </w:r>
                <w:r>
                  <w:rPr>
                    <w:color w:val="44546a" w:themeColor="text2"/>
                    <w:sz w:val="36"/>
                    <w:szCs w:val="36"/>
                  </w:rPr>
                  <w:t xml:space="preserve">Juan Carlos Sánchez Gaytán</w:t>
                </w:r>
                <w:r>
                  <w:rPr>
                    <w:color w:val="44546a" w:themeColor="text2"/>
                    <w:sz w:val="28"/>
                    <w:szCs w:val="28"/>
                  </w:rPr>
                </w:r>
                <w:r>
                  <w:rPr>
                    <w:color w:val="44546a" w:themeColor="text2"/>
                    <w:sz w:val="28"/>
                    <w:szCs w:val="28"/>
                  </w:rPr>
                </w:r>
              </w:p>
            </w:sdtContent>
          </w:sdt>
          <w:p>
            <w:pPr>
              <w:pStyle w:val="946"/>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46"/>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46"/>
              <w:pBdr/>
              <w:spacing/>
              <w:ind/>
              <w:rPr>
                <w:color w:val="c45911" w:themeColor="accent2" w:themeShade="BF"/>
                <w:sz w:val="28"/>
                <w:szCs w:val="28"/>
              </w:rPr>
            </w:pPr>
            <w:r>
              <w:rPr>
                <w:color w:val="c45911" w:themeColor="accent2" w:themeShade="BF"/>
                <w:sz w:val="28"/>
                <w:szCs w:val="28"/>
              </w:rPr>
              <w:t xml:space="preserve">Participante</w:t>
            </w:r>
            <w:r>
              <w:rPr>
                <w:color w:val="c45911" w:themeColor="accent2" w:themeShade="BF"/>
                <w:sz w:val="28"/>
                <w:szCs w:val="28"/>
              </w:rPr>
              <w:t xml:space="preserve">:</w:t>
            </w:r>
            <w:r>
              <w:rPr>
                <w:color w:val="c45911" w:themeColor="accent2" w:themeShade="BF"/>
                <w:sz w:val="28"/>
                <w:szCs w:val="28"/>
              </w:rPr>
            </w:r>
            <w:r>
              <w:rPr>
                <w:color w:val="c45911" w:themeColor="accent2" w:themeShade="BF"/>
                <w:sz w:val="28"/>
                <w:szCs w:val="28"/>
              </w:rPr>
            </w:r>
          </w:p>
          <w:p>
            <w:pPr>
              <w:pStyle w:val="946"/>
              <w:pBdr/>
              <w:spacing/>
              <w:ind/>
              <w:rPr>
                <w:color w:val="ff0000"/>
                <w:sz w:val="28"/>
                <w:szCs w:val="28"/>
              </w:rPr>
            </w:pPr>
            <w:r>
              <w:rPr>
                <w:color w:val="ff0000"/>
                <w:sz w:val="28"/>
                <w:szCs w:val="28"/>
              </w:rPr>
              <w:t xml:space="preserve">Flores Zavala Jesús Uriel</w:t>
            </w:r>
            <w:r>
              <w:rPr>
                <w:color w:val="ff0000"/>
                <w:sz w:val="28"/>
                <w:szCs w:val="28"/>
              </w:rPr>
            </w:r>
            <w:r>
              <w:rPr>
                <w:color w:val="ff0000"/>
                <w:sz w:val="28"/>
                <w:szCs w:val="28"/>
              </w:rPr>
            </w:r>
          </w:p>
          <w:p>
            <w:pPr>
              <w:pStyle w:val="946"/>
              <w:pBdr/>
              <w:spacing/>
              <w:ind/>
              <w:rPr>
                <w:color w:val="44546a" w:themeColor="text2"/>
                <w:sz w:val="24"/>
                <w:szCs w:val="24"/>
              </w:rPr>
            </w:pPr>
            <w:r>
              <w:rPr>
                <w:color w:val="c45911" w:themeColor="accent2" w:themeShade="BF"/>
                <w:sz w:val="24"/>
                <w:szCs w:val="24"/>
              </w:rPr>
              <w:t xml:space="preserve">Semestre:    </w:t>
            </w:r>
            <w:r>
              <w:rPr>
                <w:color w:val="c45911" w:themeColor="accent2" w:themeShade="BF"/>
                <w:sz w:val="24"/>
                <w:szCs w:val="24"/>
              </w:rPr>
              <w:t xml:space="preserve">08</w:t>
            </w:r>
            <w:r>
              <w:rPr>
                <w:color w:val="44546a" w:themeColor="text2"/>
                <w:sz w:val="24"/>
                <w:szCs w:val="24"/>
              </w:rPr>
            </w:r>
            <w:r>
              <w:rPr>
                <w:color w:val="44546a" w:themeColor="text2"/>
                <w:sz w:val="24"/>
                <w:szCs w:val="24"/>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46"/>
              <w:pBdr/>
              <w:spacing/>
              <w:ind/>
              <w:rPr>
                <w:color w:val="c45911" w:themeColor="accent2" w:themeShade="BF"/>
                <w:sz w:val="24"/>
                <w:szCs w:val="24"/>
              </w:rPr>
            </w:pPr>
            <w:r>
              <w:rPr>
                <w:color w:val="c45911" w:themeColor="accent2" w:themeShade="BF"/>
              </w:rPr>
              <w:t xml:space="preserve">Semestre:</w:t>
            </w:r>
            <w:r>
              <w:rPr>
                <w:color w:val="44546a" w:themeColor="text2"/>
                <w:sz w:val="24"/>
                <w:szCs w:val="24"/>
              </w:rPr>
              <w:t xml:space="preserve"> </w:t>
            </w:r>
            <w:r>
              <w:rPr>
                <w:color w:val="44546a" w:themeColor="text2"/>
                <w:sz w:val="24"/>
                <w:szCs w:val="24"/>
              </w:rPr>
              <w:t xml:space="preserve">enero</w:t>
            </w:r>
            <w:r>
              <w:rPr>
                <w:color w:val="44546a" w:themeColor="text2"/>
                <w:sz w:val="24"/>
                <w:szCs w:val="24"/>
              </w:rPr>
              <w:t xml:space="preserve">-</w:t>
            </w:r>
            <w:r>
              <w:rPr>
                <w:color w:val="44546a" w:themeColor="text2"/>
                <w:sz w:val="24"/>
                <w:szCs w:val="24"/>
              </w:rPr>
              <w:t xml:space="preserve">junio</w:t>
            </w:r>
            <w:r>
              <w:rPr>
                <w:color w:val="44546a" w:themeColor="text2"/>
                <w:sz w:val="24"/>
                <w:szCs w:val="24"/>
              </w:rPr>
              <w:t xml:space="preserve"> de 202</w:t>
            </w:r>
            <w:r>
              <w:rPr>
                <w:color w:val="44546a" w:themeColor="text2"/>
                <w:sz w:val="24"/>
                <w:szCs w:val="24"/>
              </w:rPr>
              <w:t xml:space="preserve">5</w:t>
            </w:r>
            <w:r>
              <w:rPr>
                <w:color w:val="c45911" w:themeColor="accent2" w:themeShade="BF"/>
                <w:sz w:val="24"/>
                <w:szCs w:val="24"/>
              </w:rPr>
            </w:r>
            <w:r>
              <w:rPr>
                <w:color w:val="c45911" w:themeColor="accent2" w:themeShade="BF"/>
                <w:sz w:val="24"/>
                <w:szCs w:val="24"/>
              </w:rPr>
            </w:r>
          </w:p>
          <w:p>
            <w:pPr>
              <w:pStyle w:val="946"/>
              <w:pBdr/>
              <w:spacing/>
              <w:ind/>
              <w:rPr>
                <w:color w:val="44546a" w:themeColor="text2"/>
                <w:sz w:val="28"/>
                <w:szCs w:val="28"/>
              </w:rPr>
            </w:pPr>
            <w:r>
              <w:rPr>
                <w:color w:val="44546a" w:themeColor="text2"/>
                <w:sz w:val="28"/>
                <w:szCs w:val="28"/>
              </w:rPr>
            </w:r>
            <w:r>
              <w:rPr>
                <w:color w:val="44546a" w:themeColor="text2"/>
                <w:sz w:val="28"/>
                <w:szCs w:val="28"/>
              </w:rPr>
            </w:r>
            <w:r>
              <w:rPr>
                <w:color w:val="44546a" w:themeColor="text2"/>
                <w:sz w:val="28"/>
                <w:szCs w:val="28"/>
              </w:rPr>
            </w:r>
          </w:p>
          <w:p>
            <w:pPr>
              <w:pStyle w:val="946"/>
              <w:pBdr/>
              <w:spacing/>
              <w:ind w:right="-662"/>
              <w:rPr>
                <w:color w:val="44546a" w:themeColor="text2"/>
              </w:rPr>
            </w:pPr>
            <w:r>
              <w:rPr>
                <w:color w:val="c45911" w:themeColor="accent2" w:themeShade="BF"/>
              </w:rPr>
              <w:t xml:space="preserve">Aguascalientes, </w:t>
            </w:r>
            <w:r>
              <w:rPr>
                <w:color w:val="c45911" w:themeColor="accent2" w:themeShade="BF"/>
              </w:rPr>
              <w:t xml:space="preserve">Ags</w:t>
            </w:r>
            <w:r>
              <w:rPr>
                <w:color w:val="c45911" w:themeColor="accent2" w:themeShade="BF"/>
              </w:rPr>
              <w:t xml:space="preserve">. </w:t>
            </w:r>
            <w:r>
              <w:rPr>
                <w:color w:val="c45911" w:themeColor="accent2" w:themeShade="BF"/>
              </w:rPr>
              <w:t xml:space="preserve">04</w:t>
            </w:r>
            <w:r>
              <w:rPr>
                <w:color w:val="c45911" w:themeColor="accent2" w:themeShade="BF"/>
              </w:rPr>
              <w:t xml:space="preserve"> de</w:t>
            </w:r>
            <w:r>
              <w:rPr>
                <w:color w:val="c45911" w:themeColor="accent2" w:themeShade="BF"/>
              </w:rPr>
              <w:t xml:space="preserve"> marzo</w:t>
            </w:r>
            <w:r>
              <w:rPr>
                <w:color w:val="c45911" w:themeColor="accent2" w:themeShade="BF"/>
              </w:rPr>
              <w:t xml:space="preserve"> de 20</w:t>
            </w:r>
            <w:r>
              <w:rPr>
                <w:color w:val="c45911" w:themeColor="accent2" w:themeShade="BF"/>
              </w:rPr>
              <w:t xml:space="preserve">25</w:t>
            </w:r>
            <w:r>
              <w:rPr>
                <w:color w:val="44546a" w:themeColor="text2"/>
              </w:rPr>
            </w:r>
            <w:r>
              <w:rPr>
                <w:color w:val="44546a" w:themeColor="text2"/>
              </w:rPr>
            </w:r>
          </w:p>
        </w:tc>
      </w:tr>
    </w:tbl>
    <w:p>
      <w:pPr>
        <w:pBdr/>
        <w:spacing/>
        <w:ind/>
        <w:jc w:val="center"/>
        <w:rPr/>
      </w:pPr>
      <w:r/>
      <w:bookmarkStart w:id="0" w:name="_Toc39045543"/>
      <w:r>
        <w:rPr>
          <w:rFonts w:ascii="Arial" w:hAnsi="Arial" w:cs="Arial"/>
          <w:b/>
          <w:bCs/>
          <w:sz w:val="24"/>
          <w:szCs w:val="24"/>
        </w:rPr>
        <w:br w:type="page" w:clear="all"/>
      </w:r>
      <w:bookmarkEnd w:id="0"/>
      <w:r/>
      <w:r/>
    </w:p>
    <w:p>
      <w:pPr>
        <w:pBdr/>
        <w:spacing/>
        <w:ind/>
        <w:jc w:val="center"/>
        <w:rPr/>
      </w:pPr>
      <w:r>
        <w:rPr>
          <w:rFonts w:ascii="Arial" w:hAnsi="Arial" w:cs="Arial"/>
          <w:b/>
          <w:bCs/>
          <w:sz w:val="24"/>
          <w:szCs w:val="24"/>
          <w:highlight w:val="none"/>
          <w:lang w:val="es-ES"/>
        </w:rPr>
        <w:t xml:space="preserve">L</w:t>
      </w:r>
      <w:r>
        <w:rPr>
          <w:rFonts w:ascii="Arial" w:hAnsi="Arial" w:cs="Arial"/>
          <w:b/>
          <w:bCs/>
          <w:sz w:val="24"/>
          <w:szCs w:val="24"/>
          <w:highlight w:val="none"/>
        </w:rPr>
        <w:t xml:space="preserve">eyes que regulan las</w:t>
      </w:r>
      <w:r>
        <w:rPr>
          <w:rFonts w:ascii="Arial" w:hAnsi="Arial" w:cs="Arial"/>
          <w:b/>
          <w:bCs/>
          <w:sz w:val="24"/>
          <w:szCs w:val="24"/>
          <w:highlight w:val="none"/>
          <w:lang w:val="es-ES"/>
        </w:rPr>
        <w:t xml:space="preserve"> </w:t>
      </w:r>
      <w:r>
        <w:rPr>
          <w:rFonts w:ascii="Arial" w:hAnsi="Arial" w:cs="Arial"/>
          <w:b/>
          <w:bCs/>
          <w:sz w:val="24"/>
          <w:szCs w:val="24"/>
          <w:highlight w:val="none"/>
        </w:rPr>
        <w:t xml:space="preserve">Tecnologías de la Información </w:t>
      </w:r>
      <w:r>
        <w:rPr>
          <w:rFonts w:ascii="Arial" w:hAnsi="Arial" w:cs="Arial"/>
          <w:b/>
          <w:bCs/>
          <w:sz w:val="24"/>
          <w:szCs w:val="24"/>
          <w:highlight w:val="none"/>
          <w:lang w:val="es-ES"/>
        </w:rPr>
        <w:t xml:space="preserve">en M</w:t>
      </w:r>
      <w:r>
        <w:rPr>
          <w:rFonts w:ascii="Arial" w:hAnsi="Arial" w:cs="Arial"/>
          <w:b/>
          <w:bCs/>
          <w:sz w:val="24"/>
          <w:szCs w:val="24"/>
          <w:highlight w:val="none"/>
          <w:lang w:val="es-ES"/>
        </w:rPr>
        <w:t xml:space="preserve">éxico</w:t>
      </w:r>
      <w:r>
        <w:rPr>
          <w:rFonts w:ascii="Arial" w:hAnsi="Arial" w:cs="Arial"/>
          <w:b/>
          <w:bCs/>
          <w:sz w:val="24"/>
          <w:szCs w:val="24"/>
          <w:highlight w:val="none"/>
        </w:rPr>
      </w:r>
      <w:r/>
    </w:p>
    <w:p>
      <w:pPr>
        <w:pBdr/>
        <w:spacing/>
        <w:ind/>
        <w:jc w:val="both"/>
        <w:rPr>
          <w:rFonts w:ascii="Arial" w:hAnsi="Arial" w:cs="Arial"/>
          <w:b/>
          <w:bCs/>
          <w:sz w:val="24"/>
          <w:szCs w:val="24"/>
          <w:highlight w:val="none"/>
        </w:rPr>
      </w:pPr>
      <w:r>
        <w:rPr>
          <w:rFonts w:ascii="Arial" w:hAnsi="Arial" w:cs="Arial"/>
          <w:b/>
          <w:bCs/>
          <w:sz w:val="24"/>
          <w:szCs w:val="24"/>
        </w:rPr>
        <w:t xml:space="preserve">Ley Federal de Protección de Datos Personales en Posesión de los Particulares</w:t>
      </w:r>
      <w:r>
        <w:rPr>
          <w:rFonts w:ascii="Arial" w:hAnsi="Arial" w:cs="Arial"/>
          <w:b/>
          <w:bCs/>
          <w:sz w:val="24"/>
          <w:szCs w:val="24"/>
          <w:highlight w:val="none"/>
        </w:rPr>
      </w:r>
      <w:r>
        <w:rPr>
          <w:rFonts w:ascii="Arial" w:hAnsi="Arial" w:cs="Arial"/>
          <w:b/>
          <w:bCs/>
          <w:sz w:val="24"/>
          <w:szCs w:val="24"/>
          <w:highlight w:val="none"/>
        </w:rPr>
      </w:r>
    </w:p>
    <w:p>
      <w:pPr>
        <w:pBdr/>
        <w:spacing/>
        <w:ind/>
        <w:jc w:val="both"/>
        <w:rPr>
          <w:rFonts w:ascii="Arial" w:hAnsi="Arial" w:cs="Arial"/>
          <w:sz w:val="24"/>
          <w:szCs w:val="24"/>
          <w:highlight w:val="none"/>
        </w:rPr>
      </w:pPr>
      <w:r>
        <w:rPr>
          <w:rFonts w:ascii="Arial" w:hAnsi="Arial" w:cs="Arial"/>
          <w:sz w:val="24"/>
          <w:szCs w:val="24"/>
        </w:rPr>
        <w:t xml:space="preserve">Esta l</w:t>
      </w:r>
      <w:r>
        <w:rPr>
          <w:rFonts w:ascii="Arial" w:hAnsi="Arial" w:cs="Arial"/>
          <w:sz w:val="24"/>
          <w:szCs w:val="24"/>
        </w:rPr>
        <w:t xml:space="preserve">ey de protección de datos personales fue promulgada en 2010 y regula el tratamiento de datos personales por parte de entidades privadas. Esta ley es fundamental para garantizar la privacidad y el derecho a la autodeterminación informativa de las personas.</w:t>
      </w:r>
      <w:r>
        <w:rPr>
          <w:rFonts w:ascii="Arial" w:hAnsi="Arial" w:cs="Arial"/>
          <w:sz w:val="24"/>
          <w:szCs w:val="24"/>
        </w:rPr>
        <w:t xml:space="preserve"> [1]</w:t>
      </w:r>
      <w:r>
        <w:rPr>
          <w:rFonts w:ascii="Arial" w:hAnsi="Arial" w:cs="Arial"/>
          <w:sz w:val="24"/>
          <w:szCs w:val="24"/>
          <w:highlight w:val="none"/>
        </w:rPr>
      </w:r>
      <w:r>
        <w:rPr>
          <w:rFonts w:ascii="Arial" w:hAnsi="Arial" w:cs="Arial"/>
          <w:sz w:val="24"/>
          <w:szCs w:val="24"/>
          <w:highlight w:val="none"/>
        </w:rPr>
      </w:r>
    </w:p>
    <w:p>
      <w:pPr>
        <w:pBdr/>
        <w:spacing/>
        <w:ind/>
        <w:jc w:val="both"/>
        <w:rPr/>
      </w:pPr>
      <w:r>
        <w:rPr>
          <w:rFonts w:ascii="Arial" w:hAnsi="Arial" w:cs="Arial"/>
          <w:sz w:val="24"/>
          <w:szCs w:val="24"/>
          <w:highlight w:val="none"/>
        </w:rPr>
        <w:t xml:space="preserve">El tratamiento de datos personales implica la obtención, uso, divulgación o almacenamiento de datos personales. El uso de los datos personales abarca cualquier acción de acceso, manejo, aprovechamiento, transferencia, comunicación o disposición de datos</w:t>
      </w:r>
      <w:r>
        <w:rPr>
          <w:rFonts w:ascii="Arial" w:hAnsi="Arial" w:cs="Arial"/>
          <w:sz w:val="24"/>
          <w:szCs w:val="24"/>
          <w:highlight w:val="none"/>
        </w:rPr>
        <w:t xml:space="preserve"> personales.</w:t>
      </w:r>
      <w:r/>
    </w:p>
    <w:p>
      <w:pPr>
        <w:pBdr/>
        <w:spacing/>
        <w:ind/>
        <w:jc w:val="both"/>
        <w:rPr>
          <w:rFonts w:ascii="Arial" w:hAnsi="Arial" w:cs="Arial"/>
          <w:sz w:val="24"/>
          <w:szCs w:val="24"/>
          <w:highlight w:val="none"/>
          <w:lang w:val="es-ES"/>
        </w:rPr>
      </w:pPr>
      <w:r>
        <w:rPr>
          <w:rFonts w:ascii="Arial" w:hAnsi="Arial" w:cs="Arial"/>
          <w:sz w:val="24"/>
          <w:szCs w:val="24"/>
          <w:highlight w:val="none"/>
        </w:rPr>
        <w:t xml:space="preserve">La autodeterminación informativa implica el derecho de las personas para decidir, de manera libre e informada, sobre el uso de la información que les pertenece. </w:t>
      </w:r>
      <w:r>
        <w:rPr>
          <w:rFonts w:ascii="Arial" w:hAnsi="Arial" w:cs="Arial"/>
          <w:sz w:val="24"/>
          <w:szCs w:val="24"/>
          <w:highlight w:val="none"/>
          <w:lang w:val="es-ES"/>
        </w:rPr>
        <w:t xml:space="preserve">[2]</w:t>
      </w:r>
      <w:r>
        <w:rPr>
          <w:rFonts w:ascii="Arial" w:hAnsi="Arial" w:cs="Arial"/>
          <w:sz w:val="24"/>
          <w:szCs w:val="24"/>
          <w:highlight w:val="none"/>
          <w:lang w:val="es-ES"/>
        </w:rPr>
      </w:r>
      <w:r>
        <w:rPr>
          <w:rFonts w:ascii="Arial" w:hAnsi="Arial" w:cs="Arial"/>
          <w:sz w:val="24"/>
          <w:szCs w:val="24"/>
          <w:highlight w:val="none"/>
          <w:lang w:val="es-ES"/>
        </w:rPr>
      </w:r>
    </w:p>
    <w:p>
      <w:pPr>
        <w:pBdr/>
        <w:spacing/>
        <w:ind/>
        <w:jc w:val="center"/>
        <w:rPr>
          <w:rFonts w:ascii="Arial" w:hAnsi="Arial" w:cs="Arial"/>
          <w:sz w:val="24"/>
          <w:szCs w:val="24"/>
        </w:rPr>
      </w:pPr>
      <w:r>
        <w:rPr>
          <w:rFonts w:ascii="Arial" w:hAnsi="Arial" w:cs="Arial"/>
          <w:sz w:val="24"/>
          <w:szCs w:val="24"/>
          <w:highlight w:val="none"/>
          <w:lang w:val="es-ES"/>
        </w:rPr>
      </w:r>
      <w:r>
        <mc:AlternateContent>
          <mc:Choice Requires="wpg">
            <w:drawing>
              <wp:inline xmlns:wp="http://schemas.openxmlformats.org/drawingml/2006/wordprocessingDrawing" distT="0" distB="0" distL="0" distR="0">
                <wp:extent cx="1447107" cy="197376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14214" name=""/>
                        <pic:cNvPicPr>
                          <a:picLocks noChangeAspect="1"/>
                        </pic:cNvPicPr>
                        <pic:nvPr/>
                      </pic:nvPicPr>
                      <pic:blipFill>
                        <a:blip r:embed="rId11"/>
                        <a:stretch/>
                      </pic:blipFill>
                      <pic:spPr bwMode="auto">
                        <a:xfrm flipH="0" flipV="0">
                          <a:off x="0" y="0"/>
                          <a:ext cx="1447106" cy="19737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13.95pt;height:155.41pt;mso-wrap-distance-left:0.00pt;mso-wrap-distance-top:0.00pt;mso-wrap-distance-right:0.00pt;mso-wrap-distance-bottom:0.00pt;z-index:1;" stroked="false">
                <v:imagedata r:id="rId11" o:title=""/>
                <o:lock v:ext="edit" rotation="t"/>
              </v:shape>
            </w:pict>
          </mc:Fallback>
        </mc:AlternateContent>
      </w:r>
      <w:r>
        <w:rPr>
          <w:rFonts w:ascii="Arial" w:hAnsi="Arial" w:cs="Arial"/>
          <w:sz w:val="24"/>
          <w:szCs w:val="24"/>
        </w:rPr>
      </w:r>
      <w:r>
        <w:rPr>
          <w:rFonts w:ascii="Arial" w:hAnsi="Arial" w:cs="Arial"/>
          <w:sz w:val="24"/>
          <w:szCs w:val="24"/>
        </w:rPr>
      </w:r>
    </w:p>
    <w:p>
      <w:pPr>
        <w:pStyle w:val="956"/>
        <w:pBdr/>
        <w:spacing/>
        <w:ind/>
        <w:jc w:val="center"/>
        <w:rPr/>
      </w:pPr>
      <w:r>
        <w:t xml:space="preserve">Figura </w:t>
      </w:r>
      <w:r>
        <w:fldChar w:fldCharType="begin"/>
        <w:instrText xml:space="preserve"> SEQ Figura \* Arabic </w:instrText>
        <w:fldChar w:fldCharType="separate"/>
      </w:r>
      <w:r>
        <w:t xml:space="preserve">1</w:t>
      </w:r>
      <w:r>
        <w:fldChar w:fldCharType="end"/>
      </w:r>
      <w:r>
        <w:t xml:space="preserve"> Documento oficial</w:t>
      </w:r>
      <w:r>
        <w:rPr>
          <w:lang w:val="es-ES"/>
        </w:rPr>
        <w:t xml:space="preserve"> del INAI</w:t>
      </w:r>
      <w:r>
        <w:t xml:space="preserve"> sobre la ley en particulares </w:t>
      </w:r>
      <w:r/>
    </w:p>
    <w:p>
      <w:pPr>
        <w:pBdr/>
        <w:spacing/>
        <w:ind/>
        <w:jc w:val="both"/>
        <w:rPr>
          <w:rFonts w:ascii="Arial" w:hAnsi="Arial" w:cs="Arial"/>
          <w:b/>
          <w:bCs/>
          <w:sz w:val="24"/>
          <w:szCs w:val="24"/>
        </w:rPr>
      </w:pPr>
      <w:r>
        <w:rPr>
          <w:rFonts w:ascii="Arial" w:hAnsi="Arial" w:cs="Arial"/>
          <w:b/>
          <w:bCs/>
          <w:sz w:val="24"/>
          <w:szCs w:val="24"/>
        </w:rPr>
        <w:t xml:space="preserve">Ley General de Protección de Datos Personales en Posesión de Sujetos Obligados</w:t>
      </w:r>
      <w:r>
        <w:rPr>
          <w:rFonts w:ascii="Arial" w:hAnsi="Arial" w:cs="Arial"/>
          <w:b/>
          <w:bCs/>
          <w:sz w:val="24"/>
          <w:szCs w:val="24"/>
        </w:rPr>
      </w:r>
      <w:r>
        <w:rPr>
          <w:rFonts w:ascii="Arial" w:hAnsi="Arial" w:cs="Arial"/>
          <w:b/>
          <w:bCs/>
          <w:sz w:val="24"/>
          <w:szCs w:val="24"/>
        </w:rPr>
      </w:r>
    </w:p>
    <w:p>
      <w:pPr>
        <w:pBdr/>
        <w:spacing/>
        <w:ind/>
        <w:jc w:val="both"/>
        <w:rPr>
          <w:rFonts w:ascii="Arial" w:hAnsi="Arial" w:cs="Arial"/>
          <w:sz w:val="24"/>
          <w:szCs w:val="24"/>
        </w:rPr>
      </w:pPr>
      <w:r>
        <w:rPr>
          <w:rFonts w:ascii="Arial" w:hAnsi="Arial" w:cs="Arial"/>
          <w:sz w:val="24"/>
          <w:szCs w:val="24"/>
        </w:rPr>
      </w:r>
      <w:r>
        <w:rPr>
          <w:rFonts w:ascii="Arial" w:hAnsi="Arial" w:cs="Arial"/>
          <w:sz w:val="24"/>
          <w:szCs w:val="24"/>
        </w:rPr>
        <w:t xml:space="preserve">L</w:t>
      </w:r>
      <w:r>
        <w:rPr>
          <w:rFonts w:ascii="Arial" w:hAnsi="Arial" w:cs="Arial"/>
          <w:sz w:val="24"/>
          <w:szCs w:val="24"/>
        </w:rPr>
        <w:t xml:space="preserve">a LGPDPPSO, publicada en el Diario Oficial de la Federación el 26 de enero de 2017, tiene por objeto establecer las bases, principios y procedimientos para garantizar el derecho que tiene toda persona a la protección de sus datos personales en posesión de </w:t>
      </w:r>
      <w:r>
        <w:rPr>
          <w:rFonts w:ascii="Arial" w:hAnsi="Arial" w:cs="Arial"/>
          <w:sz w:val="24"/>
          <w:szCs w:val="24"/>
        </w:rPr>
        <w:t xml:space="preserve">sujetos obligados.</w:t>
      </w:r>
      <w:r>
        <w:rPr>
          <w:rFonts w:ascii="Arial" w:hAnsi="Arial" w:cs="Arial"/>
          <w:sz w:val="24"/>
          <w:szCs w:val="24"/>
          <w:lang w:val="es-ES"/>
        </w:rPr>
        <w:t xml:space="preserve"> [2]</w:t>
      </w:r>
      <w:r>
        <w:rPr>
          <w:rFonts w:ascii="Arial" w:hAnsi="Arial" w:cs="Arial"/>
          <w:sz w:val="24"/>
          <w:szCs w:val="24"/>
        </w:rPr>
      </w:r>
      <w:r>
        <w:rPr>
          <w:rFonts w:ascii="Arial" w:hAnsi="Arial" w:cs="Arial"/>
          <w:sz w:val="24"/>
          <w:szCs w:val="24"/>
        </w:rPr>
      </w:r>
    </w:p>
    <w:p>
      <w:pPr>
        <w:pBdr/>
        <w:spacing/>
        <w:ind/>
        <w:jc w:val="both"/>
        <w:rPr>
          <w:rFonts w:ascii="Arial" w:hAnsi="Arial" w:cs="Arial"/>
          <w:sz w:val="24"/>
          <w:szCs w:val="24"/>
        </w:rPr>
      </w:pPr>
      <w:r>
        <w:rPr>
          <w:rFonts w:ascii="Arial" w:hAnsi="Arial" w:cs="Arial"/>
          <w:sz w:val="24"/>
          <w:szCs w:val="24"/>
        </w:rPr>
        <w:t xml:space="preserve">El Instituto Nacional de Transparencia, Acceso a la Información y Protección de Datos Personales (INAI) desempeña un</w:t>
      </w:r>
      <w:r>
        <w:rPr>
          <w:rFonts w:ascii="Arial" w:hAnsi="Arial" w:cs="Arial"/>
          <w:sz w:val="24"/>
          <w:szCs w:val="24"/>
        </w:rPr>
        <w:t xml:space="preserve"> papel crucial como la autoridad encargada de supervisar el cumplimiento de estas leyes. Además de su función reguladora, el INAI proporciona guías y recomendaciones para ayudar a las organizaciones a manejar los datos de manera responsable y transparente.</w:t>
      </w:r>
      <w:r>
        <w:rPr>
          <w:rFonts w:ascii="Arial" w:hAnsi="Arial" w:cs="Arial"/>
          <w:sz w:val="24"/>
          <w:szCs w:val="24"/>
        </w:rPr>
      </w:r>
      <w:r>
        <w:rPr>
          <w:rFonts w:ascii="Arial" w:hAnsi="Arial" w:cs="Arial"/>
          <w:sz w:val="24"/>
          <w:szCs w:val="24"/>
        </w:rPr>
      </w:r>
    </w:p>
    <w:p>
      <w:pPr>
        <w:pBdr/>
        <w:spacing/>
        <w:ind/>
        <w:jc w:val="both"/>
        <w:rPr>
          <w:rFonts w:ascii="Arial" w:hAnsi="Arial" w:cs="Arial"/>
          <w:sz w:val="24"/>
          <w:szCs w:val="24"/>
          <w:highlight w:val="none"/>
        </w:rPr>
      </w:pPr>
      <w:r>
        <w:rPr>
          <w:rFonts w:ascii="Arial" w:hAnsi="Arial" w:cs="Arial"/>
          <w:sz w:val="24"/>
          <w:szCs w:val="24"/>
        </w:rPr>
        <w:t xml:space="preserve">Este marco legal para la protección de datos y privacidad protege a los individuos y también establece un entorno digital más seguro y confiable para todos. De esta manera, contribuye a una mejor gobernanza y cooperación internacional en la era digital.</w:t>
      </w:r>
      <w:r>
        <w:rPr>
          <w:rFonts w:ascii="Arial" w:hAnsi="Arial" w:cs="Arial"/>
          <w:sz w:val="24"/>
          <w:szCs w:val="24"/>
        </w:rPr>
        <w:t xml:space="preserve"> [1]</w:t>
      </w:r>
      <w:r>
        <w:rPr>
          <w:rFonts w:ascii="Arial" w:hAnsi="Arial" w:cs="Arial"/>
          <w:sz w:val="24"/>
          <w:szCs w:val="24"/>
          <w:highlight w:val="none"/>
        </w:rPr>
      </w:r>
      <w:r>
        <w:rPr>
          <w:rFonts w:ascii="Arial" w:hAnsi="Arial" w:cs="Arial"/>
          <w:sz w:val="24"/>
          <w:szCs w:val="24"/>
          <w:highlight w:val="none"/>
        </w:rPr>
      </w:r>
    </w:p>
    <w:p>
      <w:pPr>
        <w:pBdr/>
        <w:spacing/>
        <w:ind/>
        <w:jc w:val="center"/>
        <w:rPr>
          <w:rFonts w:ascii="Arial" w:hAnsi="Arial" w:cs="Arial"/>
          <w:sz w:val="24"/>
          <w:szCs w:val="24"/>
        </w:rPr>
      </w:pPr>
      <w:r>
        <w:rPr>
          <w:rFonts w:ascii="Arial" w:hAnsi="Arial" w:cs="Arial"/>
          <w:sz w:val="24"/>
          <w:szCs w:val="24"/>
          <w:highlight w:val="none"/>
        </w:rPr>
      </w:r>
      <w:r>
        <mc:AlternateContent>
          <mc:Choice Requires="wpg">
            <w:drawing>
              <wp:inline xmlns:wp="http://schemas.openxmlformats.org/drawingml/2006/wordprocessingDrawing" distT="0" distB="0" distL="0" distR="0">
                <wp:extent cx="1496602" cy="209012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66686" name=""/>
                        <pic:cNvPicPr>
                          <a:picLocks noChangeAspect="1"/>
                        </pic:cNvPicPr>
                        <pic:nvPr/>
                      </pic:nvPicPr>
                      <pic:blipFill>
                        <a:blip r:embed="rId12"/>
                        <a:stretch/>
                      </pic:blipFill>
                      <pic:spPr bwMode="auto">
                        <a:xfrm flipH="0" flipV="0">
                          <a:off x="0" y="0"/>
                          <a:ext cx="1496602" cy="20901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17.84pt;height:164.58pt;mso-wrap-distance-left:0.00pt;mso-wrap-distance-top:0.00pt;mso-wrap-distance-right:0.00pt;mso-wrap-distance-bottom:0.00pt;z-index:1;" stroked="false">
                <v:imagedata r:id="rId12" o:title=""/>
                <o:lock v:ext="edit" rotation="t"/>
              </v:shape>
            </w:pict>
          </mc:Fallback>
        </mc:AlternateContent>
      </w:r>
      <w:r>
        <w:rPr>
          <w:rFonts w:ascii="Arial" w:hAnsi="Arial" w:cs="Arial"/>
          <w:sz w:val="24"/>
          <w:szCs w:val="24"/>
        </w:rPr>
      </w:r>
      <w:r>
        <w:rPr>
          <w:rFonts w:ascii="Arial" w:hAnsi="Arial" w:cs="Arial"/>
          <w:sz w:val="24"/>
          <w:szCs w:val="24"/>
        </w:rPr>
      </w:r>
    </w:p>
    <w:p>
      <w:pPr>
        <w:pStyle w:val="956"/>
        <w:pBdr/>
        <w:spacing/>
        <w:ind/>
        <w:jc w:val="center"/>
        <w:rPr/>
      </w:pPr>
      <w:r>
        <w:t xml:space="preserve">Figura </w:t>
      </w:r>
      <w:r>
        <w:fldChar w:fldCharType="begin"/>
        <w:instrText xml:space="preserve"> SEQ Figura \* Arabic </w:instrText>
        <w:fldChar w:fldCharType="separate"/>
      </w:r>
      <w:r>
        <w:t xml:space="preserve">2</w:t>
      </w:r>
      <w:r>
        <w:fldChar w:fldCharType="end"/>
      </w:r>
      <w:r>
        <w:t xml:space="preserve"> Documento oficial del INAI sobre la ley en sujetos obligados </w:t>
      </w:r>
      <w:r/>
    </w:p>
    <w:p>
      <w:pPr>
        <w:pBdr/>
        <w:spacing/>
        <w:ind/>
        <w:jc w:val="both"/>
        <w:rPr>
          <w:rFonts w:ascii="Arial" w:hAnsi="Arial" w:cs="Arial"/>
          <w:b/>
          <w:bCs/>
          <w:sz w:val="24"/>
          <w:szCs w:val="24"/>
        </w:rPr>
      </w:pPr>
      <w:r>
        <w:rPr>
          <w:rFonts w:ascii="Arial" w:hAnsi="Arial" w:cs="Arial"/>
          <w:b/>
          <w:bCs/>
          <w:sz w:val="24"/>
          <w:szCs w:val="24"/>
        </w:rPr>
        <w:t xml:space="preserve">Ley General en materia de Humanidades, Ciencias, Tecnologías e Innovación</w:t>
      </w:r>
      <w:r>
        <w:rPr>
          <w:rFonts w:ascii="Arial" w:hAnsi="Arial" w:cs="Arial"/>
          <w:b/>
          <w:bCs/>
          <w:sz w:val="24"/>
          <w:szCs w:val="24"/>
        </w:rPr>
      </w:r>
      <w:r>
        <w:rPr>
          <w:rFonts w:ascii="Arial" w:hAnsi="Arial" w:cs="Arial"/>
          <w:b/>
          <w:bCs/>
          <w:sz w:val="24"/>
          <w:szCs w:val="24"/>
        </w:rPr>
      </w:r>
    </w:p>
    <w:p>
      <w:pPr>
        <w:pBdr/>
        <w:spacing/>
        <w:ind/>
        <w:jc w:val="both"/>
        <w:rPr>
          <w:rFonts w:ascii="Arial" w:hAnsi="Arial" w:cs="Arial"/>
          <w:sz w:val="24"/>
          <w:szCs w:val="24"/>
        </w:rPr>
      </w:pPr>
      <w:r>
        <w:rPr>
          <w:rFonts w:ascii="Arial" w:hAnsi="Arial" w:cs="Arial"/>
          <w:sz w:val="24"/>
          <w:szCs w:val="24"/>
        </w:rPr>
        <w:t xml:space="preserve">El cambio de gobierno en México luego de las elecciones de 2018 ha supuesto transformaciones importantes en las instituciones y prácticas de la Administración Pública Federal. El sector de las Humanidades, Ciencias, Tecnología e Innovación (</w:t>
      </w:r>
      <w:r>
        <w:rPr>
          <w:rFonts w:ascii="Arial" w:hAnsi="Arial" w:cs="Arial"/>
          <w:sz w:val="24"/>
          <w:szCs w:val="24"/>
        </w:rPr>
        <w:t xml:space="preserve">Hcti</w:t>
      </w:r>
      <w:r>
        <w:rPr>
          <w:rFonts w:ascii="Arial" w:hAnsi="Arial" w:cs="Arial"/>
          <w:sz w:val="24"/>
          <w:szCs w:val="24"/>
        </w:rPr>
        <w:t xml:space="preserve">) no ha sido ajeno a esta renovación d</w:t>
      </w:r>
      <w:r>
        <w:rPr>
          <w:rFonts w:ascii="Arial" w:hAnsi="Arial" w:cs="Arial"/>
          <w:sz w:val="24"/>
          <w:szCs w:val="24"/>
        </w:rPr>
        <w:t xml:space="preserve">e la vida pública. La reforma constitucional de los artículos 3° y 73 obliga al Poder Legislativo a emitir, junto con las leyes secundarias en materia de educación, una Ley General que establezca las bases generales de coordinación para las actividades de </w:t>
      </w:r>
      <w:r>
        <w:rPr>
          <w:rFonts w:ascii="Arial" w:hAnsi="Arial" w:cs="Arial"/>
          <w:sz w:val="24"/>
          <w:szCs w:val="24"/>
        </w:rPr>
        <w:t xml:space="preserve">Hcti</w:t>
      </w:r>
      <w:r>
        <w:rPr>
          <w:rFonts w:ascii="Arial" w:hAnsi="Arial" w:cs="Arial"/>
          <w:sz w:val="24"/>
          <w:szCs w:val="24"/>
        </w:rPr>
        <w:t xml:space="preserve">. En el marco de una interpretación tel</w:t>
      </w:r>
      <w:r>
        <w:rPr>
          <w:rFonts w:ascii="Arial" w:hAnsi="Arial" w:cs="Arial"/>
          <w:sz w:val="24"/>
          <w:szCs w:val="24"/>
        </w:rPr>
        <w:t xml:space="preserve">eológica y sistemática del mandato constitucional con perspectiva de derechos humanos, la Ley General deberá regular la actuación del sector público en relación con el derecho humano a disfrutar de los beneficios del progreso científico y tecnológico y de </w:t>
      </w:r>
      <w:r>
        <w:rPr>
          <w:rFonts w:ascii="Arial" w:hAnsi="Arial" w:cs="Arial"/>
          <w:sz w:val="24"/>
          <w:szCs w:val="24"/>
        </w:rPr>
        <w:t xml:space="preserve">sus aplicaciones, así como la transferencia de tecnología y el desarrollo, difusión y aplicación de los conocimientos científicos y tecnológ</w:t>
      </w:r>
      <w:r>
        <w:rPr>
          <w:rFonts w:ascii="Arial" w:hAnsi="Arial" w:cs="Arial"/>
          <w:sz w:val="24"/>
          <w:szCs w:val="24"/>
        </w:rPr>
        <w:t xml:space="preserve">icos que fomentan el desarrollo nacional. Con ello se actualiza la posibilidad de construir un orden jurídico e institucional que responda satisfactoriamente a las necesidades de la sociedad mexicana y atienda los estándares internacionales ya mencionados.</w:t>
      </w:r>
      <w:r>
        <w:rPr>
          <w:rFonts w:ascii="Arial" w:hAnsi="Arial" w:cs="Arial"/>
          <w:sz w:val="24"/>
          <w:szCs w:val="24"/>
        </w:rPr>
        <w:t xml:space="preserve"> [</w:t>
      </w:r>
      <w:r>
        <w:rPr>
          <w:rFonts w:ascii="Arial" w:hAnsi="Arial" w:cs="Arial"/>
          <w:sz w:val="24"/>
          <w:szCs w:val="24"/>
          <w:lang w:val="es-ES"/>
        </w:rPr>
        <w:t xml:space="preserve">3</w:t>
      </w:r>
      <w:r>
        <w:rPr>
          <w:rFonts w:ascii="Arial" w:hAnsi="Arial" w:cs="Arial"/>
          <w:sz w:val="24"/>
          <w:szCs w:val="24"/>
        </w:rPr>
        <w:t xml:space="preserve">]</w:t>
      </w:r>
      <w:r>
        <w:rPr>
          <w:rFonts w:ascii="Arial" w:hAnsi="Arial" w:cs="Arial"/>
          <w:sz w:val="24"/>
          <w:szCs w:val="24"/>
        </w:rPr>
      </w:r>
      <w:r>
        <w:rPr>
          <w:rFonts w:ascii="Arial" w:hAnsi="Arial" w:cs="Arial"/>
          <w:sz w:val="24"/>
          <w:szCs w:val="24"/>
        </w:rPr>
      </w:r>
    </w:p>
    <w:p>
      <w:pPr>
        <w:pBdr/>
        <w:spacing/>
        <w:ind/>
        <w:jc w:val="both"/>
        <w:rPr>
          <w:rFonts w:ascii="Arial" w:hAnsi="Arial" w:cs="Arial"/>
          <w:sz w:val="24"/>
          <w:szCs w:val="24"/>
        </w:rPr>
      </w:pPr>
      <w:r>
        <w:rPr>
          <w:rFonts w:ascii="Arial" w:hAnsi="Arial" w:cs="Arial"/>
          <w:b/>
          <w:bCs/>
          <w:sz w:val="24"/>
          <w:szCs w:val="24"/>
        </w:rPr>
        <w:t xml:space="preserve">Ley Federal de Telecomunicaciones y Radiodifusión</w:t>
      </w:r>
      <w:r>
        <w:rPr>
          <w:rFonts w:ascii="Arial" w:hAnsi="Arial" w:cs="Arial"/>
          <w:sz w:val="24"/>
          <w:szCs w:val="24"/>
        </w:rPr>
      </w:r>
      <w:r>
        <w:rPr>
          <w:rFonts w:ascii="Arial" w:hAnsi="Arial" w:cs="Arial"/>
          <w:sz w:val="24"/>
          <w:szCs w:val="24"/>
        </w:rPr>
      </w:r>
    </w:p>
    <w:p>
      <w:pPr>
        <w:pBdr/>
        <w:spacing/>
        <w:ind/>
        <w:jc w:val="both"/>
        <w:rPr>
          <w:rFonts w:ascii="Arial" w:hAnsi="Arial" w:cs="Arial"/>
          <w:sz w:val="24"/>
          <w:szCs w:val="24"/>
          <w:highlight w:val="none"/>
          <w:lang w:val="es-ES"/>
        </w:rPr>
      </w:pPr>
      <w:r>
        <w:rPr>
          <w:rFonts w:ascii="Arial" w:hAnsi="Arial" w:cs="Arial"/>
          <w:sz w:val="24"/>
          <w:szCs w:val="24"/>
        </w:rPr>
      </w:r>
      <w:r>
        <w:rPr>
          <w:rFonts w:ascii="Arial" w:hAnsi="Arial" w:cs="Arial"/>
          <w:sz w:val="24"/>
          <w:szCs w:val="24"/>
        </w:rPr>
        <w:t xml:space="preserve">L</w:t>
      </w:r>
      <w:r>
        <w:rPr>
          <w:rFonts w:ascii="Arial" w:hAnsi="Arial" w:cs="Arial"/>
          <w:sz w:val="24"/>
          <w:szCs w:val="24"/>
        </w:rPr>
        <w:t xml:space="preserve">a presente Ley es de orden público y tiene por objeto regular el uso, aprovechamiento y explotación del espectro radioeléctrico, las redes públicas de telecomunicaciones, el acceso a la infraestructura activa y pasiva, los recursos orbitales, la comunicaci</w:t>
      </w:r>
      <w:r>
        <w:rPr>
          <w:rFonts w:ascii="Arial" w:hAnsi="Arial" w:cs="Arial"/>
          <w:sz w:val="24"/>
          <w:szCs w:val="24"/>
        </w:rPr>
        <w:t xml:space="preserve">ó</w:t>
      </w:r>
      <w:r>
        <w:rPr>
          <w:rFonts w:ascii="Arial" w:hAnsi="Arial" w:cs="Arial"/>
          <w:sz w:val="24"/>
          <w:szCs w:val="24"/>
        </w:rPr>
        <w:t xml:space="preserve">n vía satélite, la prestación de los servicios públicos de interés general de telecomunicaciones y radiodifusión, y la convergencia entre éstos, los derechos de los usuarios y las audiencias, y el proceso de competencia y libre concurrencia en estos sector</w:t>
      </w:r>
      <w:r>
        <w:rPr>
          <w:rFonts w:ascii="Arial" w:hAnsi="Arial" w:cs="Arial"/>
          <w:sz w:val="24"/>
          <w:szCs w:val="24"/>
        </w:rPr>
        <w:t xml:space="preserve">es, para que contribuyan a los fines y al ejercicio de los derechos establecidos en los artículos 6o., 7o., 27 y 28 de la Constitución Política de los Estados Unidos Mexicanos. </w:t>
      </w:r>
      <w:r>
        <w:rPr>
          <w:rFonts w:ascii="Arial" w:hAnsi="Arial" w:cs="Arial"/>
          <w:sz w:val="24"/>
          <w:szCs w:val="24"/>
          <w:lang w:val="es-ES"/>
        </w:rPr>
        <w:t xml:space="preserve">[4]</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pPr>
      <w:r>
        <w:rPr>
          <w:rFonts w:ascii="Arial" w:hAnsi="Arial" w:cs="Arial"/>
          <w:b/>
          <w:bCs/>
          <w:sz w:val="24"/>
          <w:szCs w:val="24"/>
          <w:highlight w:val="none"/>
          <w:lang w:val="es-ES"/>
        </w:rPr>
        <w:t xml:space="preserve">Ley federal de la propiedad </w:t>
      </w:r>
      <w:r>
        <w:rPr>
          <w:rFonts w:ascii="Arial" w:hAnsi="Arial" w:cs="Arial"/>
          <w:b/>
          <w:bCs/>
          <w:sz w:val="24"/>
          <w:szCs w:val="24"/>
          <w:highlight w:val="none"/>
          <w:lang w:val="es-ES"/>
        </w:rPr>
        <w:t xml:space="preserve">industrial (LFPI)</w:t>
      </w:r>
      <w:r>
        <w:rPr>
          <w:rFonts w:ascii="Arial" w:hAnsi="Arial" w:cs="Arial"/>
          <w:sz w:val="24"/>
          <w:szCs w:val="24"/>
          <w:highlight w:val="none"/>
          <w:lang w:val="es-ES"/>
        </w:rPr>
      </w:r>
      <w:r/>
    </w:p>
    <w:p>
      <w:pPr>
        <w:pBdr/>
        <w:spacing/>
        <w:ind/>
        <w:jc w:val="both"/>
        <w:rPr/>
      </w:pPr>
      <w:r>
        <w:rPr>
          <w:rFonts w:ascii="Arial" w:hAnsi="Arial" w:cs="Arial"/>
          <w:sz w:val="24"/>
          <w:szCs w:val="24"/>
          <w:highlight w:val="none"/>
          <w:lang w:val="es-ES"/>
        </w:rPr>
        <w:t xml:space="preserve">Publicada en el Diario Oficial de la Federación </w:t>
      </w:r>
      <w:r>
        <w:rPr>
          <w:rFonts w:ascii="Arial" w:hAnsi="Arial" w:cs="Arial"/>
          <w:sz w:val="24"/>
          <w:szCs w:val="24"/>
          <w:highlight w:val="none"/>
          <w:lang w:val="es-ES"/>
        </w:rPr>
        <w:t xml:space="preserve">el día 27 de Junio de 1991 por el presidente Carlos </w:t>
      </w:r>
      <w:r>
        <w:rPr>
          <w:rFonts w:ascii="Arial" w:hAnsi="Arial" w:cs="Arial"/>
          <w:sz w:val="24"/>
          <w:szCs w:val="24"/>
          <w:highlight w:val="none"/>
          <w:lang w:val="es-ES"/>
        </w:rPr>
        <w:t xml:space="preserve">Salinas de Gortari.</w:t>
      </w:r>
      <w:r>
        <w:rPr>
          <w:rFonts w:ascii="Arial" w:hAnsi="Arial" w:cs="Arial"/>
          <w:sz w:val="24"/>
          <w:szCs w:val="24"/>
          <w:highlight w:val="none"/>
          <w:lang w:val="es-ES"/>
        </w:rPr>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Esta ley tiene por objeto principalmente </w:t>
      </w:r>
      <w:r>
        <w:rPr>
          <w:rFonts w:ascii="Arial" w:hAnsi="Arial" w:cs="Arial"/>
          <w:sz w:val="24"/>
          <w:szCs w:val="24"/>
          <w:highlight w:val="none"/>
          <w:lang w:val="es-ES"/>
        </w:rPr>
        <w:t xml:space="preserve">promover y fomentar la actividad inventiva de </w:t>
      </w:r>
      <w:r>
        <w:rPr>
          <w:rFonts w:ascii="Arial" w:hAnsi="Arial" w:cs="Arial"/>
          <w:sz w:val="24"/>
          <w:szCs w:val="24"/>
          <w:highlight w:val="none"/>
          <w:lang w:val="es-ES"/>
        </w:rPr>
        <w:t xml:space="preserve">aplicación industrial, las mejoras técnicas y la </w:t>
      </w:r>
      <w:r>
        <w:rPr>
          <w:rFonts w:ascii="Arial" w:hAnsi="Arial" w:cs="Arial"/>
          <w:sz w:val="24"/>
          <w:szCs w:val="24"/>
          <w:highlight w:val="none"/>
          <w:lang w:val="es-ES"/>
        </w:rPr>
        <w:t xml:space="preserve">difusión de conocimientos tecnológicos dentro de </w:t>
      </w:r>
      <w:r>
        <w:rPr>
          <w:rFonts w:ascii="Arial" w:hAnsi="Arial" w:cs="Arial"/>
          <w:sz w:val="24"/>
          <w:szCs w:val="24"/>
          <w:highlight w:val="none"/>
          <w:lang w:val="es-ES"/>
        </w:rPr>
        <w:t xml:space="preserve">los sectores productivos. Proteger la propiedad </w:t>
      </w:r>
      <w:r>
        <w:rPr>
          <w:rFonts w:ascii="Arial" w:hAnsi="Arial" w:cs="Arial"/>
          <w:sz w:val="24"/>
          <w:szCs w:val="24"/>
          <w:highlight w:val="none"/>
          <w:lang w:val="es-ES"/>
        </w:rPr>
        <w:t xml:space="preserve">industrial mediante la regulación y otorgamiento de </w:t>
      </w:r>
      <w:r>
        <w:rPr>
          <w:rFonts w:ascii="Arial" w:hAnsi="Arial" w:cs="Arial"/>
          <w:sz w:val="24"/>
          <w:szCs w:val="24"/>
          <w:highlight w:val="none"/>
          <w:lang w:val="es-ES"/>
        </w:rPr>
        <w:t xml:space="preserve">patentes de invención; registros de modelos de </w:t>
      </w:r>
      <w:r>
        <w:rPr>
          <w:rFonts w:ascii="Arial" w:hAnsi="Arial" w:cs="Arial"/>
          <w:sz w:val="24"/>
          <w:szCs w:val="24"/>
          <w:highlight w:val="none"/>
          <w:lang w:val="es-ES"/>
        </w:rPr>
        <w:t xml:space="preserve">utilidad, diseños industriales, marcas, y avisos </w:t>
      </w:r>
      <w:r>
        <w:rPr>
          <w:rFonts w:ascii="Arial" w:hAnsi="Arial" w:cs="Arial"/>
          <w:sz w:val="24"/>
          <w:szCs w:val="24"/>
          <w:highlight w:val="none"/>
          <w:lang w:val="es-ES"/>
        </w:rPr>
        <w:t xml:space="preserve">comerciales; publicación de nombres comerciales; </w:t>
      </w:r>
      <w:r>
        <w:rPr>
          <w:rFonts w:ascii="Arial" w:hAnsi="Arial" w:cs="Arial"/>
          <w:sz w:val="24"/>
          <w:szCs w:val="24"/>
          <w:highlight w:val="none"/>
          <w:lang w:val="es-ES"/>
        </w:rPr>
        <w:t xml:space="preserve">declaración de protección de denominaciones de </w:t>
      </w:r>
      <w:r>
        <w:rPr>
          <w:rFonts w:ascii="Arial" w:hAnsi="Arial" w:cs="Arial"/>
          <w:sz w:val="24"/>
          <w:szCs w:val="24"/>
          <w:highlight w:val="none"/>
          <w:lang w:val="es-ES"/>
        </w:rPr>
        <w:t xml:space="preserve">origen, y regulación de secretos industriales.</w:t>
      </w:r>
      <w:r>
        <w:rPr>
          <w:rFonts w:ascii="Arial" w:hAnsi="Arial" w:cs="Arial"/>
          <w:sz w:val="24"/>
          <w:szCs w:val="24"/>
          <w:highlight w:val="none"/>
          <w:lang w:val="es-ES"/>
        </w:rPr>
        <w:t xml:space="preserve"> [5]</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sz w:val="24"/>
          <w:szCs w:val="24"/>
          <w:highlight w:val="none"/>
          <w:lang w:val="es-ES"/>
        </w:rPr>
        <w:t xml:space="preserve">R</w:t>
      </w:r>
      <w:r>
        <w:rPr>
          <w:rFonts w:ascii="Arial" w:hAnsi="Arial" w:cs="Arial"/>
          <w:sz w:val="24"/>
          <w:szCs w:val="24"/>
          <w:highlight w:val="none"/>
          <w:lang w:val="es-ES"/>
        </w:rPr>
        <w:t xml:space="preserve">esulta aplicable en materia de propiedad industrial la Ley de la Propiedad Industrial, los Tratados Internacionales de los que México sea parte y su aplicación administrativa corresponde al Ejecutivo Federal por conducto del Instituto Mexicano de la Propie</w:t>
      </w:r>
      <w:r>
        <w:rPr>
          <w:rFonts w:ascii="Arial" w:hAnsi="Arial" w:cs="Arial"/>
          <w:sz w:val="24"/>
          <w:szCs w:val="24"/>
          <w:highlight w:val="none"/>
          <w:lang w:val="es-ES"/>
        </w:rPr>
        <w:t xml:space="preserve">dad Industrial (IMPI). </w:t>
      </w:r>
      <w:r>
        <w:rPr>
          <w:rFonts w:ascii="Arial" w:hAnsi="Arial" w:cs="Arial"/>
          <w:sz w:val="24"/>
          <w:szCs w:val="24"/>
          <w:highlight w:val="none"/>
          <w:lang w:val="es-ES"/>
        </w:rPr>
        <w:t xml:space="preserve">[6]</w:t>
      </w:r>
      <w:r>
        <w:rPr>
          <w:rFonts w:ascii="Arial" w:hAnsi="Arial" w:cs="Arial"/>
          <w:sz w:val="24"/>
          <w:szCs w:val="24"/>
          <w:highlight w:val="none"/>
          <w:lang w:val="es-ES"/>
        </w:rPr>
      </w:r>
      <w:r>
        <w:rPr>
          <w:rFonts w:ascii="Arial" w:hAnsi="Arial" w:cs="Arial"/>
          <w:sz w:val="24"/>
          <w:szCs w:val="24"/>
          <w:highlight w:val="none"/>
          <w:lang w:val="es-ES"/>
        </w:rPr>
      </w:r>
    </w:p>
    <w:p>
      <w:pPr>
        <w:pBdr/>
        <w:spacing/>
        <w:ind/>
        <w:jc w:val="center"/>
        <w:rPr>
          <w:rFonts w:ascii="Arial" w:hAnsi="Arial" w:cs="Arial"/>
          <w:sz w:val="24"/>
          <w:szCs w:val="24"/>
          <w:highlight w:val="none"/>
          <w:lang w:val="es-ES"/>
        </w:rPr>
      </w:pPr>
      <w:r>
        <w:rPr>
          <w:rFonts w:ascii="Arial" w:hAnsi="Arial" w:cs="Arial"/>
          <w:sz w:val="24"/>
          <w:szCs w:val="24"/>
          <w:highlight w:val="none"/>
          <w:lang w:val="es-ES"/>
        </w:rPr>
      </w:r>
      <w:r>
        <mc:AlternateContent>
          <mc:Choice Requires="wpg">
            <w:drawing>
              <wp:inline xmlns:wp="http://schemas.openxmlformats.org/drawingml/2006/wordprocessingDrawing" distT="0" distB="0" distL="0" distR="0">
                <wp:extent cx="3427892" cy="144755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8653" name=""/>
                        <pic:cNvPicPr>
                          <a:picLocks noChangeAspect="1"/>
                        </pic:cNvPicPr>
                        <pic:nvPr/>
                      </pic:nvPicPr>
                      <pic:blipFill>
                        <a:blip r:embed="rId13"/>
                        <a:stretch/>
                      </pic:blipFill>
                      <pic:spPr bwMode="auto">
                        <a:xfrm flipH="0" flipV="0">
                          <a:off x="0" y="0"/>
                          <a:ext cx="3427891" cy="14475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9.91pt;height:113.98pt;mso-wrap-distance-left:0.00pt;mso-wrap-distance-top:0.00pt;mso-wrap-distance-right:0.00pt;mso-wrap-distance-bottom:0.00pt;z-index:1;" stroked="false">
                <v:imagedata r:id="rId13" o:title=""/>
                <o:lock v:ext="edit" rotation="t"/>
              </v:shape>
            </w:pict>
          </mc:Fallback>
        </mc:AlternateContent>
      </w:r>
      <w:r>
        <w:rPr>
          <w:rFonts w:ascii="Arial" w:hAnsi="Arial" w:cs="Arial"/>
          <w:sz w:val="24"/>
          <w:szCs w:val="24"/>
          <w:highlight w:val="none"/>
          <w:lang w:val="es-ES"/>
        </w:rPr>
      </w:r>
      <w:r>
        <w:rPr>
          <w:rFonts w:ascii="Arial" w:hAnsi="Arial" w:cs="Arial"/>
          <w:sz w:val="24"/>
          <w:szCs w:val="24"/>
          <w:highlight w:val="none"/>
          <w:lang w:val="es-ES"/>
        </w:rPr>
      </w:r>
    </w:p>
    <w:p>
      <w:pPr>
        <w:pStyle w:val="956"/>
        <w:pBdr/>
        <w:spacing/>
        <w:ind/>
        <w:jc w:val="center"/>
        <w:rPr/>
      </w:pPr>
      <w:r>
        <w:t xml:space="preserve">Figura </w:t>
      </w:r>
      <w:r>
        <w:fldChar w:fldCharType="begin"/>
        <w:instrText xml:space="preserve"> SEQ Figura \* Arabic </w:instrText>
        <w:fldChar w:fldCharType="separate"/>
      </w:r>
      <w:r>
        <w:t xml:space="preserve">3</w:t>
      </w:r>
      <w:r>
        <w:fldChar w:fldCharType="end"/>
      </w:r>
      <w:r>
        <w:t xml:space="preserve"> Logotipos de la marca registrada </w:t>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b/>
          <w:bCs/>
          <w:sz w:val="24"/>
          <w:szCs w:val="24"/>
          <w:highlight w:val="none"/>
          <w:lang w:val="es-ES"/>
        </w:rPr>
        <w:t xml:space="preserve">Ley de Firma Electrónica Avanzada </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sz w:val="24"/>
          <w:szCs w:val="24"/>
          <w:highlight w:val="none"/>
          <w:lang w:val="es-ES"/>
        </w:rPr>
        <w:t xml:space="preserve">L</w:t>
      </w:r>
      <w:r>
        <w:rPr>
          <w:rFonts w:ascii="Arial" w:hAnsi="Arial" w:cs="Arial"/>
          <w:sz w:val="24"/>
          <w:szCs w:val="24"/>
          <w:highlight w:val="none"/>
          <w:lang w:val="es-ES"/>
        </w:rPr>
        <w:t xml:space="preserve">a presente Ley es de orden e interés público y tiene por objeto regular: I. El uso de la firma electrónica avanzada en los actos previstos en esta Ley y la expedición de certificados digitales a personas físicas; II. Los servicios relacionados con la firma</w:t>
      </w:r>
      <w:r>
        <w:rPr>
          <w:rFonts w:ascii="Arial" w:hAnsi="Arial" w:cs="Arial"/>
          <w:sz w:val="24"/>
          <w:szCs w:val="24"/>
          <w:highlight w:val="none"/>
          <w:lang w:val="es-ES"/>
        </w:rPr>
        <w:t xml:space="preserve"> electrónica avanzada, y III. La homologación de la firma electrónica avanzada con las firmas electrónicas avanzadas reguladas por otros ordenamientos legales, en los términos establecidos en esta Ley. </w:t>
      </w:r>
      <w:r>
        <w:rPr>
          <w:rFonts w:ascii="Arial" w:hAnsi="Arial" w:cs="Arial"/>
          <w:sz w:val="24"/>
          <w:szCs w:val="24"/>
          <w:highlight w:val="none"/>
          <w:lang w:val="es-ES"/>
        </w:rPr>
        <w:t xml:space="preserve">[7]</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sz w:val="24"/>
          <w:szCs w:val="24"/>
          <w:highlight w:val="none"/>
          <w:lang w:val="es-ES"/>
        </w:rPr>
        <w:t xml:space="preserve">E</w:t>
      </w:r>
      <w:r>
        <w:rPr>
          <w:rFonts w:ascii="Arial" w:hAnsi="Arial" w:cs="Arial"/>
          <w:sz w:val="24"/>
          <w:szCs w:val="24"/>
          <w:highlight w:val="none"/>
          <w:lang w:val="es-ES"/>
        </w:rPr>
        <w:t xml:space="preserve">ntre los objetivos de la LFIEL se encuentran simplificar, facilitar y agilizar los actos y negocios jurídicos, comunicaciones y procedimientos administrativos entre los sujetos obligados del sector público, los particulares y las relaciones que mantengan e</w:t>
      </w:r>
      <w:r>
        <w:rPr>
          <w:rFonts w:ascii="Arial" w:hAnsi="Arial" w:cs="Arial"/>
          <w:sz w:val="24"/>
          <w:szCs w:val="24"/>
          <w:highlight w:val="none"/>
          <w:lang w:val="es-ES"/>
        </w:rPr>
        <w:t xml:space="preserve">ntre sí.</w:t>
      </w:r>
      <w:r>
        <w:rPr>
          <w:rFonts w:ascii="Arial" w:hAnsi="Arial" w:cs="Arial"/>
          <w:sz w:val="24"/>
          <w:szCs w:val="24"/>
          <w:highlight w:val="none"/>
          <w:lang w:val="es-ES"/>
        </w:rPr>
        <w:t xml:space="preserve"> [8]</w:t>
      </w:r>
      <w:r>
        <w:rPr>
          <w:rFonts w:ascii="Arial" w:hAnsi="Arial" w:cs="Arial"/>
          <w:sz w:val="24"/>
          <w:szCs w:val="24"/>
          <w:highlight w:val="none"/>
          <w:lang w:val="es-ES"/>
        </w:rPr>
      </w:r>
      <w:r>
        <w:rPr>
          <w:rFonts w:ascii="Arial" w:hAnsi="Arial" w:cs="Arial"/>
          <w:sz w:val="24"/>
          <w:szCs w:val="24"/>
          <w:highlight w:val="none"/>
          <w:lang w:val="es-ES"/>
        </w:rPr>
      </w:r>
    </w:p>
    <w:p>
      <w:pPr>
        <w:pBdr/>
        <w:shd w:val="nil" w:color="auto"/>
        <w:spacing/>
        <w:ind/>
        <w:rPr>
          <w:rFonts w:ascii="Arial" w:hAnsi="Arial" w:cs="Arial"/>
          <w:sz w:val="24"/>
          <w:szCs w:val="24"/>
          <w:highlight w:val="none"/>
          <w:lang w:val="es-ES"/>
        </w:rPr>
      </w:pPr>
      <w:r>
        <w:rPr>
          <w:rFonts w:ascii="Arial" w:hAnsi="Arial" w:cs="Arial"/>
          <w:sz w:val="24"/>
          <w:szCs w:val="24"/>
          <w:highlight w:val="none"/>
          <w:lang w:val="es-ES"/>
        </w:rPr>
        <w:br w:type="page" w:clear="all"/>
      </w:r>
      <w:r>
        <w:rPr>
          <w:rFonts w:ascii="Arial" w:hAnsi="Arial" w:cs="Arial"/>
          <w:sz w:val="24"/>
          <w:szCs w:val="24"/>
          <w:highlight w:val="none"/>
          <w:lang w:val="es-ES"/>
        </w:rPr>
      </w:r>
      <w:r>
        <w:rPr>
          <w:rFonts w:ascii="Arial" w:hAnsi="Arial" w:cs="Arial"/>
          <w:sz w:val="24"/>
          <w:szCs w:val="24"/>
          <w:highlight w:val="none"/>
          <w:lang w:val="es-ES"/>
        </w:rPr>
      </w:r>
    </w:p>
    <w:p>
      <w:pPr>
        <w:pBdr/>
        <w:spacing/>
        <w:ind/>
        <w:jc w:val="center"/>
        <w:rPr>
          <w:rFonts w:ascii="Arial" w:hAnsi="Arial" w:cs="Arial"/>
          <w:sz w:val="24"/>
          <w:szCs w:val="24"/>
          <w:highlight w:val="none"/>
          <w:lang w:val="es-ES"/>
        </w:rPr>
      </w:pPr>
      <w:r>
        <w:rPr>
          <w:rFonts w:ascii="Arial" w:hAnsi="Arial" w:cs="Arial"/>
          <w:b/>
          <w:bCs/>
          <w:sz w:val="24"/>
          <w:szCs w:val="24"/>
          <w:highlight w:val="none"/>
          <w:lang w:val="es-ES"/>
        </w:rPr>
        <w:t xml:space="preserve">Cuadro resumen de las leyes</w:t>
      </w:r>
      <w:r>
        <w:rPr>
          <w:rFonts w:ascii="Arial" w:hAnsi="Arial" w:cs="Arial"/>
          <w:sz w:val="24"/>
          <w:szCs w:val="24"/>
          <w:highlight w:val="none"/>
          <w:lang w:val="es-ES"/>
        </w:rPr>
      </w:r>
      <w:r>
        <w:rPr>
          <w:rFonts w:ascii="Arial" w:hAnsi="Arial" w:cs="Arial"/>
          <w:sz w:val="24"/>
          <w:szCs w:val="24"/>
          <w:highlight w:val="none"/>
          <w:lang w:val="es-ES"/>
        </w:rPr>
      </w:r>
    </w:p>
    <w:tbl>
      <w:tblPr>
        <w:tblStyle w:val="959"/>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21"/>
        <w:gridCol w:w="2411"/>
        <w:gridCol w:w="2329"/>
        <w:gridCol w:w="3094"/>
      </w:tblGrid>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Ley</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Descripción</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Área de aplicación</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jc w:val="center"/>
              <w:rPr>
                <w:rFonts w:ascii="Arial" w:hAnsi="Arial" w:cs="Arial"/>
              </w:rPr>
            </w:pPr>
            <w:r>
              <w:rPr>
                <w:rFonts w:ascii="Arial" w:hAnsi="Arial" w:eastAsia="Arial" w:cs="Arial"/>
                <w:b/>
                <w:color w:val="000000"/>
                <w:sz w:val="24"/>
              </w:rPr>
              <w:t xml:space="preserve">Alcance</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Federal de Protección de Datos Personales en Posesión de los Particulares</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Regula el tratamiento de datos personales por parte de entidades privadas para garantizar la privacidad y autodeterminación informativa.</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Sector privado (empresas, organizaciones no gubernamentales, particulares que manejen datos).</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Establece obligaciones para la recolección, almacenamiento, uso y transferencia de datos personales, incluyendo el consentimiento informado y sanciones por incumplimiento.</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General de Protección de Datos Personales en Posesión de Sujetos Obligados</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Regula el manejo de datos personales por parte de entidades públicas y sujetos obligados (gobiernos, instituciones públicas).</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Sector público (gobierno federal, estatal, municipal y entidades de administración pública).</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Garantiza transparencia, seguridad y derechos de acceso, rectificación y oposición al uso de datos personales por el Estado.</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General en materia de Humanidades, Ciencias, Tecnologías e Innovación</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Promueve y coordina el desarrollo de investigación científica, humanidades, tecnología e innovación en México.</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Sectores educativo, científico, tecnológico y de innovación (universidades, centros de investigación, empresas de base tecnológica).</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Define políticas públicas, financiamiento, colaboración interinstitucional y vinculación entre ciencia y sociedad.</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Federal de Telecomunicaciones y Radiodifusión</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Regula el uso y acceso a servicios de telecomunicaciones y radiodifusión, asegurando competencia y derechos de usuarios.</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Sector de telecomunicaciones y radiodifusión (empresas de telefonía, internet, radio, televisión).</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Establece normas para concesiones, uso de espectro radioeléctrico, competencia económica, calidad de servicio y contenidos</w:t>
            </w:r>
            <w:r>
              <w:rPr>
                <w:rFonts w:ascii="Arial" w:hAnsi="Arial" w:eastAsia="Arial" w:cs="Arial"/>
                <w:color w:val="000000"/>
                <w:sz w:val="24"/>
                <w:lang w:val="es-ES"/>
              </w:rPr>
              <w:t xml:space="preserve">.</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Federal de la Propiedad Industrial (LFPI)</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Protege los derechos de propiedad industrial, como patentes, marcas, diseños industriales y secretos comerciales.</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Sector industrial y comercial (inventores, empresas, emprendedores).</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Regula el registro, vigencia y defensa de derechos de propiedad industrial, evitando la competencia desleal y falsificaciones.</w:t>
            </w:r>
            <w:r>
              <w:rPr>
                <w:rFonts w:ascii="Arial" w:hAnsi="Arial" w:cs="Arial"/>
              </w:rPr>
            </w:r>
            <w:r>
              <w:rPr>
                <w:rFonts w:ascii="Arial" w:hAnsi="Arial" w:cs="Arial"/>
              </w:rPr>
            </w:r>
          </w:p>
        </w:tc>
      </w:tr>
      <w:tr>
        <w:trPr/>
        <w:tc>
          <w:tcPr>
            <w:tcBorders/>
            <w:tcMar>
              <w:left w:w="15" w:type="dxa"/>
              <w:top w:w="15" w:type="dxa"/>
              <w:right w:w="15" w:type="dxa"/>
              <w:bottom w:w="15" w:type="dxa"/>
            </w:tcMar>
            <w:tcW w:w="1521" w:type="dxa"/>
            <w:vAlign w:val="center"/>
            <w:textDirection w:val="lrTb"/>
            <w:noWrap w:val="false"/>
          </w:tcPr>
          <w:p>
            <w:pPr>
              <w:pBdr/>
              <w:spacing w:after="0" w:before="0" w:line="240" w:lineRule="auto"/>
              <w:ind/>
              <w:rPr>
                <w:rFonts w:ascii="Arial" w:hAnsi="Arial" w:cs="Arial"/>
              </w:rPr>
            </w:pPr>
            <w:r>
              <w:rPr>
                <w:rFonts w:ascii="Arial" w:hAnsi="Arial" w:eastAsia="Arial" w:cs="Arial"/>
                <w:b/>
                <w:color w:val="000000"/>
                <w:sz w:val="24"/>
              </w:rPr>
              <w:t xml:space="preserve">Ley de Firma Electrónica Avanzada</w:t>
            </w:r>
            <w:r>
              <w:rPr>
                <w:rFonts w:ascii="Arial" w:hAnsi="Arial" w:cs="Arial"/>
              </w:rPr>
            </w:r>
            <w:r>
              <w:rPr>
                <w:rFonts w:ascii="Arial" w:hAnsi="Arial" w:cs="Arial"/>
              </w:rPr>
            </w:r>
          </w:p>
        </w:tc>
        <w:tc>
          <w:tcPr>
            <w:tcBorders/>
            <w:tcMar>
              <w:left w:w="15" w:type="dxa"/>
              <w:top w:w="15" w:type="dxa"/>
              <w:right w:w="15" w:type="dxa"/>
              <w:bottom w:w="15" w:type="dxa"/>
            </w:tcMar>
            <w:tcW w:w="2411"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Otorga validez jurídica a las firmas electrónicas avanzadas en documentos y transacciones digitales.</w:t>
            </w:r>
            <w:r>
              <w:rPr>
                <w:rFonts w:ascii="Arial" w:hAnsi="Arial" w:cs="Arial"/>
              </w:rPr>
            </w:r>
            <w:r>
              <w:rPr>
                <w:rFonts w:ascii="Arial" w:hAnsi="Arial" w:cs="Arial"/>
              </w:rPr>
            </w:r>
          </w:p>
        </w:tc>
        <w:tc>
          <w:tcPr>
            <w:tcBorders/>
            <w:tcMar>
              <w:left w:w="15" w:type="dxa"/>
              <w:top w:w="15" w:type="dxa"/>
              <w:right w:w="15" w:type="dxa"/>
              <w:bottom w:w="15" w:type="dxa"/>
            </w:tcMar>
            <w:tcW w:w="2329"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Transacciones electrónicas (contratos, trámites gubernamentales, comercio electrónico).</w:t>
            </w:r>
            <w:r>
              <w:rPr>
                <w:rFonts w:ascii="Arial" w:hAnsi="Arial" w:cs="Arial"/>
              </w:rPr>
            </w:r>
            <w:r>
              <w:rPr>
                <w:rFonts w:ascii="Arial" w:hAnsi="Arial" w:cs="Arial"/>
              </w:rPr>
            </w:r>
          </w:p>
        </w:tc>
        <w:tc>
          <w:tcPr>
            <w:tcBorders/>
            <w:tcMar>
              <w:left w:w="15" w:type="dxa"/>
              <w:top w:w="15" w:type="dxa"/>
              <w:right w:w="15" w:type="dxa"/>
              <w:bottom w:w="15" w:type="dxa"/>
            </w:tcMar>
            <w:tcW w:w="3094" w:type="dxa"/>
            <w:vAlign w:val="center"/>
            <w:textDirection w:val="lrTb"/>
            <w:noWrap w:val="false"/>
          </w:tcPr>
          <w:p>
            <w:pPr>
              <w:pBdr/>
              <w:spacing w:after="0" w:before="0" w:line="240" w:lineRule="auto"/>
              <w:ind/>
              <w:rPr>
                <w:rFonts w:ascii="Arial" w:hAnsi="Arial" w:cs="Arial"/>
              </w:rPr>
            </w:pPr>
            <w:r>
              <w:rPr>
                <w:rFonts w:ascii="Arial" w:hAnsi="Arial" w:eastAsia="Arial" w:cs="Arial"/>
                <w:color w:val="000000"/>
                <w:sz w:val="24"/>
              </w:rPr>
              <w:t xml:space="preserve">Define estándares técnicos, certificación de proveedores autorizados y equipara la firma electrónica avanzada a la manuscrita en términos legales.</w:t>
            </w:r>
            <w:r>
              <w:rPr>
                <w:rFonts w:ascii="Arial" w:hAnsi="Arial" w:cs="Arial"/>
              </w:rPr>
            </w:r>
            <w:r>
              <w:rPr>
                <w:rFonts w:ascii="Arial" w:hAnsi="Arial" w:cs="Arial"/>
              </w:rPr>
            </w:r>
          </w:p>
        </w:tc>
      </w:tr>
    </w:tbl>
    <w:p>
      <w:pPr>
        <w:pBdr/>
        <w:shd w:val="nil" w:color="auto"/>
        <w:spacing/>
        <w:ind/>
        <w:rPr>
          <w:rFonts w:ascii="Arial" w:hAnsi="Arial" w:cs="Arial"/>
          <w:sz w:val="24"/>
          <w:szCs w:val="24"/>
          <w:highlight w:val="none"/>
          <w:lang w:val="es-ES"/>
        </w:rPr>
      </w:pPr>
      <w:r>
        <w:rPr>
          <w:rFonts w:ascii="Arial" w:hAnsi="Arial" w:cs="Arial"/>
          <w:sz w:val="24"/>
          <w:szCs w:val="24"/>
          <w:highlight w:val="none"/>
          <w:lang w:val="es-ES"/>
        </w:rPr>
        <w:br w:type="page" w:clear="all"/>
      </w:r>
      <w:r>
        <w:rPr>
          <w:rFonts w:ascii="Arial" w:hAnsi="Arial" w:cs="Arial"/>
          <w:sz w:val="24"/>
          <w:szCs w:val="24"/>
          <w:highlight w:val="none"/>
          <w:lang w:val="es-ES"/>
        </w:rPr>
      </w:r>
      <w:r>
        <w:rPr>
          <w:rFonts w:ascii="Arial" w:hAnsi="Arial" w:cs="Arial"/>
          <w:sz w:val="24"/>
          <w:szCs w:val="24"/>
          <w:highlight w:val="none"/>
          <w:lang w:val="es-ES"/>
        </w:rPr>
      </w:r>
    </w:p>
    <w:p>
      <w:pPr>
        <w:pBdr/>
        <w:spacing/>
        <w:ind/>
        <w:jc w:val="center"/>
        <w:rPr>
          <w:rFonts w:ascii="Arial" w:hAnsi="Arial" w:cs="Arial"/>
          <w:sz w:val="24"/>
          <w:szCs w:val="24"/>
          <w:highlight w:val="none"/>
          <w:lang w:val="es-ES"/>
        </w:rPr>
      </w:pPr>
      <w:r>
        <w:rPr>
          <w:rFonts w:ascii="Arial" w:hAnsi="Arial" w:cs="Arial"/>
          <w:b/>
          <w:bCs/>
          <w:sz w:val="24"/>
          <w:szCs w:val="24"/>
          <w:highlight w:val="none"/>
          <w:lang w:val="es-ES"/>
        </w:rPr>
        <w:t xml:space="preserve">Casos reales de problemas de auditoria</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b/>
          <w:bCs/>
        </w:rPr>
      </w:pPr>
      <w:r>
        <w:rPr>
          <w:rFonts w:ascii="Arial" w:hAnsi="Arial" w:cs="Arial"/>
          <w:b/>
          <w:bCs/>
          <w:sz w:val="24"/>
          <w:szCs w:val="24"/>
          <w:highlight w:val="none"/>
          <w:lang w:val="es-ES"/>
        </w:rPr>
        <w:t xml:space="preserve">La estafa maestra </w:t>
      </w:r>
      <w:r>
        <w:rPr>
          <w:b/>
          <w:bCs/>
        </w:rPr>
      </w:r>
      <w:r>
        <w:rPr>
          <w:b/>
          <w:bCs/>
        </w:rPr>
      </w:r>
    </w:p>
    <w:p>
      <w:pPr>
        <w:pBdr/>
        <w:spacing/>
        <w:ind/>
        <w:jc w:val="both"/>
        <w:rPr/>
      </w:pPr>
      <w:r>
        <w:rPr>
          <w:rFonts w:ascii="Arial" w:hAnsi="Arial" w:cs="Arial"/>
          <w:sz w:val="24"/>
          <w:szCs w:val="24"/>
          <w:highlight w:val="none"/>
          <w:lang w:val="es-ES"/>
        </w:rPr>
        <w:t xml:space="preserve">A</w:t>
      </w:r>
      <w:r>
        <w:rPr>
          <w:rFonts w:ascii="Arial" w:hAnsi="Arial" w:cs="Arial"/>
          <w:sz w:val="24"/>
          <w:szCs w:val="24"/>
          <w:highlight w:val="none"/>
          <w:lang w:val="es-ES"/>
        </w:rPr>
        <w:t xml:space="preserve"> partir de 2010, un grupo de funcionarios públicos implementaron un esquema de desvío de recursos federales, que después se conoció como la Estafa Maestra, mediante el cual, entregaban presupuesto a universidades públicas, sin ningún tipo de concurso o sup</w:t>
      </w:r>
      <w:r>
        <w:rPr>
          <w:rFonts w:ascii="Arial" w:hAnsi="Arial" w:cs="Arial"/>
          <w:sz w:val="24"/>
          <w:szCs w:val="24"/>
          <w:highlight w:val="none"/>
          <w:lang w:val="es-ES"/>
        </w:rPr>
        <w:t xml:space="preserve">ervisión para que supuestamente realizaran obras o prestaran servicios, las cuales enviaban el dinero a empresas fantasma. </w:t>
      </w:r>
      <w:r/>
    </w:p>
    <w:p>
      <w:pPr>
        <w:pBdr/>
        <w:spacing/>
        <w:ind/>
        <w:jc w:val="both"/>
        <w:rPr/>
      </w:pPr>
      <w:r>
        <w:rPr>
          <w:rFonts w:ascii="Arial" w:hAnsi="Arial" w:cs="Arial"/>
          <w:sz w:val="24"/>
          <w:szCs w:val="24"/>
          <w:highlight w:val="none"/>
          <w:lang w:val="es-ES"/>
        </w:rPr>
        <w:t xml:space="preserve">E</w:t>
      </w:r>
      <w:r>
        <w:rPr>
          <w:rFonts w:ascii="Arial" w:hAnsi="Arial" w:cs="Arial"/>
          <w:sz w:val="24"/>
          <w:szCs w:val="24"/>
          <w:highlight w:val="none"/>
          <w:lang w:val="es-ES"/>
        </w:rPr>
        <w:t xml:space="preserve">l esquema operó en 2010 y 2011 pero fue hasta la revisión de la cuenta pública de 2013 y 2014, ya en el sexenio del presidente Enrique Peña Nieto, cuando se demostró que el esquema se había convertido en un gigantesco mecanismo en el que participaron más d</w:t>
      </w:r>
      <w:r>
        <w:rPr>
          <w:rFonts w:ascii="Arial" w:hAnsi="Arial" w:cs="Arial"/>
          <w:sz w:val="24"/>
          <w:szCs w:val="24"/>
          <w:highlight w:val="none"/>
          <w:lang w:val="es-ES"/>
        </w:rPr>
        <w:t xml:space="preserve">e una decena de dependencias públicas y movía miles de millones de pesos. </w:t>
      </w:r>
      <w:r/>
    </w:p>
    <w:p>
      <w:pPr>
        <w:pBdr/>
        <w:spacing/>
        <w:ind/>
        <w:jc w:val="both"/>
        <w:rPr/>
      </w:pPr>
      <w:r>
        <w:rPr>
          <w:rFonts w:ascii="Arial" w:hAnsi="Arial" w:cs="Arial"/>
          <w:sz w:val="24"/>
          <w:szCs w:val="24"/>
          <w:highlight w:val="none"/>
          <w:lang w:val="es-ES"/>
        </w:rPr>
        <w:t xml:space="preserve">U</w:t>
      </w:r>
      <w:r>
        <w:rPr>
          <w:rFonts w:ascii="Arial" w:hAnsi="Arial" w:cs="Arial"/>
          <w:sz w:val="24"/>
          <w:szCs w:val="24"/>
          <w:highlight w:val="none"/>
          <w:lang w:val="es-ES"/>
        </w:rPr>
        <w:t xml:space="preserve">na investigación, realizada por Animal Político, documentó que tan solo entre 2013 y 2014, 11 dependencias tuvieron como cómplices ocho universidades para simular servicios. El daño patrimonial podría superar los 31,000 millones de pesos, que es el monto t</w:t>
      </w:r>
      <w:r>
        <w:rPr>
          <w:rFonts w:ascii="Arial" w:hAnsi="Arial" w:cs="Arial"/>
          <w:sz w:val="24"/>
          <w:szCs w:val="24"/>
          <w:highlight w:val="none"/>
          <w:lang w:val="es-ES"/>
        </w:rPr>
        <w:t xml:space="preserve">o</w:t>
      </w:r>
      <w:r>
        <w:rPr>
          <w:rFonts w:ascii="Arial" w:hAnsi="Arial" w:cs="Arial"/>
          <w:sz w:val="24"/>
          <w:szCs w:val="24"/>
          <w:highlight w:val="none"/>
          <w:lang w:val="es-ES"/>
        </w:rPr>
        <w:t xml:space="preserve">tal de 2,081 convenios celebrados entre 2012 y 2016. La investigación periodística tomo como punto de partida los informes de la Cuenta Pública de 2013 y 2014, en los cuales estaban ubicadas las dependencias y universidades implicadas, los nombres de las c</w:t>
      </w:r>
      <w:r>
        <w:rPr>
          <w:rFonts w:ascii="Arial" w:hAnsi="Arial" w:cs="Arial"/>
          <w:sz w:val="24"/>
          <w:szCs w:val="24"/>
          <w:highlight w:val="none"/>
          <w:lang w:val="es-ES"/>
        </w:rPr>
        <w:t xml:space="preserve">ompañías subcontratadas. La investigación utilizó los informes de 12 auditorías forenses a dependencias y universidades. [9] </w:t>
      </w:r>
      <w:r/>
    </w:p>
    <w:p>
      <w:pPr>
        <w:pBdr/>
        <w:spacing/>
        <w:ind/>
        <w:jc w:val="both"/>
        <w:rPr/>
      </w:pPr>
      <w:r>
        <w:rPr>
          <w:rFonts w:ascii="Arial" w:hAnsi="Arial" w:cs="Arial"/>
          <w:sz w:val="24"/>
          <w:szCs w:val="24"/>
          <w:highlight w:val="none"/>
          <w:lang w:val="es-ES"/>
        </w:rPr>
        <w:t xml:space="preserve">“Sí, es un fraude”, dice Juan Manuel Portal, Auditor Superior de la Federación. Y los titulares de cada dependencia —agrega— son los responsables, aunque no hayan firmado los convenios que se emplearon para desviar los recursos públicos. </w:t>
      </w:r>
      <w:r/>
    </w:p>
    <w:p>
      <w:pPr>
        <w:pBdr/>
        <w:spacing/>
        <w:ind/>
        <w:jc w:val="both"/>
        <w:rPr/>
      </w:pPr>
      <w:r>
        <w:rPr>
          <w:rFonts w:ascii="Arial" w:hAnsi="Arial" w:cs="Arial"/>
          <w:sz w:val="24"/>
          <w:szCs w:val="24"/>
          <w:highlight w:val="none"/>
          <w:lang w:val="es-ES"/>
        </w:rPr>
        <w:t xml:space="preserve">Y añade: “es un claro acto de corrupción”. </w:t>
      </w: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Juan Manuel Portal califica así los resultados de la investigación de Animal Político, que confirma que 11 instancias del gobierno federal dieron contratos ilegales por casi 8 mil millones de pesos, en complicidad con ocho universidades públicas. [10] </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t xml:space="preserve">Posible solución: </w:t>
      </w:r>
      <w:r>
        <w:rPr>
          <w:rFonts w:ascii="Arial" w:hAnsi="Arial" w:cs="Arial"/>
          <w:sz w:val="24"/>
          <w:szCs w:val="24"/>
          <w:highlight w:val="none"/>
          <w:lang w:val="es-ES"/>
        </w:rPr>
      </w:r>
      <w:r>
        <w:rPr>
          <w:rFonts w:ascii="Arial" w:hAnsi="Arial" w:cs="Arial"/>
          <w:sz w:val="24"/>
          <w:szCs w:val="24"/>
          <w:highlight w:val="none"/>
          <w:lang w:val="es-ES"/>
        </w:rPr>
      </w:r>
    </w:p>
    <w:p>
      <w:pPr>
        <w:pBdr/>
        <w:spacing/>
        <w:ind/>
        <w:jc w:val="both"/>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sz w:val="24"/>
          <w:szCs w:val="24"/>
          <w:highlight w:val="none"/>
          <w:lang w:val="es-ES"/>
        </w:rPr>
        <w:t xml:space="preserve">Obligación de utilizar la analítica de datos para la prueba de fraude en las auditorías de todas las entidades enumeradas a nivel mundial</w:t>
      </w:r>
      <w:r>
        <w:rPr>
          <w:rFonts w:ascii="Arial" w:hAnsi="Arial" w:cs="Arial"/>
          <w:sz w:val="24"/>
          <w:szCs w:val="24"/>
          <w:highlight w:val="none"/>
          <w:lang w:val="es-ES"/>
        </w:rPr>
        <w:t xml:space="preserve">. [11]</w:t>
      </w:r>
      <w:r>
        <w:rPr>
          <w:rFonts w:ascii="Arial" w:hAnsi="Arial" w:cs="Arial"/>
          <w:sz w:val="24"/>
          <w:szCs w:val="24"/>
          <w:highlight w:val="none"/>
          <w:lang w:val="es-ES"/>
        </w:rPr>
      </w:r>
      <w:r>
        <w:rPr>
          <w:rFonts w:ascii="Arial" w:hAnsi="Arial" w:cs="Arial"/>
          <w:sz w:val="24"/>
          <w:szCs w:val="24"/>
          <w:highlight w:val="none"/>
          <w:lang w:val="es-ES"/>
        </w:rP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b/>
          <w:color w:val="000000"/>
          <w:sz w:val="24"/>
        </w:rPr>
        <w:t xml:space="preserve">Caso Oceanografía</w:t>
      </w:r>
      <w:r>
        <w:rPr>
          <w:rFonts w:ascii="Arial" w:hAnsi="Arial" w:eastAsia="Arial" w:cs="Arial"/>
          <w:color w:val="000000"/>
          <w:sz w:val="24"/>
        </w:rPr>
        <w:t xml:space="preserve">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LOS PRÉSTAMOS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A finales del año pasado, Banamex informa a Citi, de quien es subsidiaria, que concedió préstamos por 585 millones de dólares a la empresa Oceanografía SA de CV, una de las mayores contratistas de Pemex. Estos préstamos estuvieron respaldados por cuentas p</w:t>
      </w:r>
      <w:r>
        <w:rPr>
          <w:rFonts w:ascii="Arial" w:hAnsi="Arial" w:eastAsia="Arial" w:cs="Arial"/>
          <w:color w:val="000000"/>
          <w:sz w:val="24"/>
        </w:rPr>
        <w:t xml:space="preserve">or cobrar a la paraestatal por esa misma cantidad de dinero.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OCEANOGRAFÍA INHABILITADA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El 11 de febrero, Oceanografía queda inhabilitada por 21 meses por el gobierno mexicano tras un supuesto sobrecobro a Pemex, lo que detona una investigación del banco.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FACTURACIÓN FALSA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Citi y Banamex, junto con Pemex, detectan que Oceanografía sólo puede comprobar la validez de facturas por un valor de 185 millones de dólares. Esto implica que hay 400 millones de dólares que se prestaron a la empresa con presunta documentación fraudulent</w:t>
      </w:r>
      <w:r>
        <w:rPr>
          <w:rFonts w:ascii="Arial" w:hAnsi="Arial" w:eastAsia="Arial" w:cs="Arial"/>
          <w:color w:val="000000"/>
          <w:sz w:val="24"/>
        </w:rPr>
        <w:t xml:space="preserve">a. [</w:t>
      </w:r>
      <w:r>
        <w:rPr>
          <w:rFonts w:ascii="Arial" w:hAnsi="Arial" w:eastAsia="Arial" w:cs="Arial"/>
          <w:color w:val="000000"/>
          <w:sz w:val="24"/>
          <w:lang w:val="es-ES"/>
        </w:rPr>
        <w:t xml:space="preserve">12</w:t>
      </w:r>
      <w:r>
        <w:rPr>
          <w:rFonts w:ascii="Arial" w:hAnsi="Arial" w:eastAsia="Arial" w:cs="Arial"/>
          <w:color w:val="000000"/>
          <w:sz w:val="24"/>
        </w:rPr>
        <w:t xml:space="preserve">]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EL IMPACTO </w:t>
      </w: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rPr>
        <w:t xml:space="preserve">El caso no solo afectó a Oceanografía; también dejó heridas profundas en Banamex: </w:t>
      </w:r>
      <w:r/>
    </w:p>
    <w:p>
      <w:pPr>
        <w:pStyle w:val="958"/>
        <w:numPr>
          <w:ilvl w:val="0"/>
          <w:numId w:val="14"/>
        </w:numPr>
        <w:pBdr>
          <w:top w:val="none" w:color="000000" w:sz="4" w:space="0"/>
          <w:left w:val="none" w:color="000000" w:sz="4" w:space="0"/>
          <w:bottom w:val="none" w:color="000000" w:sz="4" w:space="0"/>
          <w:right w:val="none" w:color="000000" w:sz="4" w:space="0"/>
        </w:pBdr>
        <w:spacing/>
        <w:ind w:right="0"/>
        <w:jc w:val="both"/>
        <w:rPr/>
      </w:pPr>
      <w:r>
        <w:rPr>
          <w:rFonts w:ascii="Arial" w:hAnsi="Arial" w:eastAsia="Arial" w:cs="Arial"/>
          <w:color w:val="000000"/>
          <w:sz w:val="24"/>
        </w:rPr>
        <w:t xml:space="preserve">Citigroup enfrenta demandas por más de 9 mil millones de dólares, incluyendo 8 mil millones por los daños provocados a Oceanografía. </w:t>
      </w:r>
      <w:r/>
    </w:p>
    <w:p>
      <w:pPr>
        <w:pStyle w:val="958"/>
        <w:numPr>
          <w:ilvl w:val="0"/>
          <w:numId w:val="14"/>
        </w:numPr>
        <w:pBdr>
          <w:top w:val="none" w:color="000000" w:sz="4" w:space="0"/>
          <w:left w:val="none" w:color="000000" w:sz="4" w:space="0"/>
          <w:bottom w:val="none" w:color="000000" w:sz="4" w:space="0"/>
          <w:right w:val="none" w:color="000000" w:sz="4" w:space="0"/>
        </w:pBdr>
        <w:spacing/>
        <w:ind w:right="0"/>
        <w:jc w:val="both"/>
        <w:rPr/>
      </w:pPr>
      <w:r>
        <w:rPr>
          <w:rFonts w:ascii="Arial" w:hAnsi="Arial" w:eastAsia="Arial" w:cs="Arial"/>
          <w:color w:val="000000"/>
          <w:sz w:val="24"/>
        </w:rPr>
        <w:t xml:space="preserve">La venta de Banamex fue detenida debido a las contingencias legales. </w:t>
      </w:r>
      <w:r/>
    </w:p>
    <w:p>
      <w:pPr>
        <w:pBdr>
          <w:top w:val="none" w:color="000000" w:sz="4" w:space="0"/>
          <w:left w:val="none" w:color="000000" w:sz="4" w:space="0"/>
          <w:bottom w:val="none" w:color="000000" w:sz="4" w:space="0"/>
          <w:right w:val="none" w:color="000000" w:sz="4" w:space="0"/>
        </w:pBdr>
        <w:spacing w:after="160" w:before="0"/>
        <w:ind w:right="0" w:firstLine="0" w:left="0"/>
        <w:jc w:val="both"/>
        <w:rPr>
          <w:rFonts w:ascii="Arial" w:hAnsi="Arial" w:eastAsia="Arial" w:cs="Arial"/>
          <w:color w:val="000000"/>
          <w:sz w:val="24"/>
          <w:szCs w:val="24"/>
          <w:highlight w:val="none"/>
        </w:rPr>
      </w:pPr>
      <w:r>
        <w:rPr>
          <w:rFonts w:ascii="Arial" w:hAnsi="Arial" w:eastAsia="Arial" w:cs="Arial"/>
          <w:color w:val="000000"/>
          <w:sz w:val="24"/>
        </w:rPr>
        <w:t xml:space="preserve">Ahora, Citigroup planea relanzar un “nuevo Banamex”. Sin embargo, con tantas demandas pendientes, la confianza de clientes e inversionistas está en duda. [</w:t>
      </w:r>
      <w:r>
        <w:rPr>
          <w:rFonts w:ascii="Arial" w:hAnsi="Arial" w:eastAsia="Arial" w:cs="Arial"/>
          <w:color w:val="000000"/>
          <w:sz w:val="24"/>
          <w:lang w:val="es-ES"/>
        </w:rPr>
        <w:t xml:space="preserve">13</w:t>
      </w:r>
      <w:r>
        <w:rPr>
          <w:rFonts w:ascii="Arial" w:hAnsi="Arial" w:eastAsia="Arial" w:cs="Arial"/>
          <w:color w:val="000000"/>
          <w:sz w:val="24"/>
        </w:rPr>
        <w:t xml:space="preserve">] </w:t>
      </w:r>
      <w:r>
        <w:rPr>
          <w:rFonts w:ascii="Arial" w:hAnsi="Arial" w:eastAsia="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after="160" w:before="0"/>
        <w:ind w:right="0" w:firstLine="0" w:left="0"/>
        <w:jc w:val="both"/>
        <w:rPr>
          <w:rFonts w:ascii="Arial" w:hAnsi="Arial" w:eastAsia="Arial" w:cs="Arial"/>
          <w:color w:val="000000"/>
          <w:sz w:val="24"/>
          <w:szCs w:val="24"/>
          <w:highlight w:val="none"/>
          <w:lang w:val="es-ES"/>
        </w:rPr>
      </w:pPr>
      <w:r>
        <w:rPr>
          <w:rFonts w:ascii="Arial" w:hAnsi="Arial" w:eastAsia="Arial" w:cs="Arial"/>
          <w:color w:val="000000"/>
          <w:sz w:val="24"/>
          <w:highlight w:val="none"/>
          <w:lang w:val="es-ES"/>
        </w:rPr>
        <w:t xml:space="preserve">Ley que contempla el caso:</w:t>
      </w:r>
      <w:r>
        <w:rPr>
          <w:rFonts w:ascii="Arial" w:hAnsi="Arial" w:eastAsia="Arial" w:cs="Arial"/>
          <w:color w:val="000000"/>
          <w:sz w:val="24"/>
          <w:highlight w:val="none"/>
        </w:rPr>
      </w:r>
    </w:p>
    <w:p>
      <w:pPr>
        <w:pBdr>
          <w:top w:val="none" w:color="000000" w:sz="4" w:space="0"/>
          <w:left w:val="none" w:color="000000" w:sz="4" w:space="0"/>
          <w:bottom w:val="none" w:color="000000" w:sz="4" w:space="0"/>
          <w:right w:val="none" w:color="000000" w:sz="4" w:space="0"/>
        </w:pBdr>
        <w:spacing w:after="160" w:before="0"/>
        <w:ind w:right="0" w:firstLine="0" w:left="0"/>
        <w:jc w:val="both"/>
        <w:rPr>
          <w:rFonts w:ascii="Arial" w:hAnsi="Arial" w:eastAsia="Arial" w:cs="Arial"/>
          <w:color w:val="000000"/>
          <w:sz w:val="24"/>
          <w:szCs w:val="24"/>
          <w:highlight w:val="none"/>
        </w:rPr>
      </w:pPr>
      <w:r>
        <w:rPr>
          <w:rFonts w:ascii="Arial" w:hAnsi="Arial" w:eastAsia="Arial" w:cs="Arial"/>
          <w:color w:val="000000"/>
          <w:sz w:val="24"/>
          <w:highlight w:val="none"/>
          <w:lang w:val="es-ES"/>
        </w:rPr>
      </w:r>
      <w:r>
        <w:rPr>
          <w:rFonts w:ascii="Arial" w:hAnsi="Arial" w:eastAsia="Arial" w:cs="Arial"/>
          <w:color w:val="000000"/>
          <w:sz w:val="24"/>
          <w:highlight w:val="none"/>
          <w:lang w:val="es-ES"/>
        </w:rPr>
      </w:r>
    </w:p>
    <w:p>
      <w:pPr>
        <w:pBdr>
          <w:top w:val="none" w:color="000000" w:sz="4" w:space="0"/>
          <w:left w:val="none" w:color="000000" w:sz="4" w:space="0"/>
          <w:bottom w:val="none" w:color="000000" w:sz="4" w:space="0"/>
          <w:right w:val="none" w:color="000000" w:sz="4" w:space="0"/>
        </w:pBdr>
        <w:spacing w:after="160" w:before="0"/>
        <w:ind w:right="0" w:firstLine="0" w:left="0"/>
        <w:jc w:val="both"/>
        <w:rPr>
          <w:rFonts w:ascii="Arial" w:hAnsi="Arial" w:eastAsia="Arial" w:cs="Arial"/>
          <w:color w:val="000000"/>
          <w:sz w:val="24"/>
          <w:szCs w:val="24"/>
          <w:highlight w:val="none"/>
          <w:lang w:val="es-ES"/>
        </w:rPr>
      </w:pPr>
      <w:r>
        <w:rPr>
          <w:rFonts w:ascii="Arial" w:hAnsi="Arial" w:eastAsia="Arial" w:cs="Arial"/>
          <w:color w:val="000000"/>
          <w:sz w:val="24"/>
          <w:highlight w:val="none"/>
          <w:lang w:val="es-ES"/>
        </w:rPr>
        <w:t xml:space="preserve">Posible soluci</w:t>
      </w:r>
      <w:r>
        <w:rPr>
          <w:rFonts w:ascii="Arial" w:hAnsi="Arial" w:eastAsia="Arial" w:cs="Arial"/>
          <w:color w:val="000000"/>
          <w:sz w:val="24"/>
          <w:highlight w:val="none"/>
          <w:lang w:val="es-ES"/>
        </w:rPr>
        <w:t xml:space="preserve">ón: </w:t>
      </w:r>
      <w:r>
        <w:rPr>
          <w:rFonts w:ascii="Arial" w:hAnsi="Arial" w:eastAsia="Arial" w:cs="Arial"/>
          <w:color w:val="000000"/>
          <w:sz w:val="24"/>
          <w:highlight w:val="none"/>
        </w:rPr>
      </w:r>
      <w:r>
        <w:rPr>
          <w:rFonts w:ascii="Arial" w:hAnsi="Arial" w:eastAsia="Arial" w:cs="Arial"/>
          <w:color w:val="000000"/>
          <w:sz w:val="24"/>
          <w:szCs w:val="24"/>
          <w:highlight w:val="none"/>
          <w:lang w:val="es-ES"/>
        </w:rPr>
      </w:r>
    </w:p>
    <w:p>
      <w:pPr>
        <w:pBdr>
          <w:top w:val="none" w:color="000000" w:sz="4" w:space="0"/>
          <w:left w:val="none" w:color="000000" w:sz="4" w:space="0"/>
          <w:bottom w:val="none" w:color="000000" w:sz="4" w:space="0"/>
          <w:right w:val="none" w:color="000000" w:sz="4" w:space="0"/>
        </w:pBdr>
        <w:spacing w:after="160" w:before="0"/>
        <w:ind w:right="0" w:firstLine="0" w:left="0"/>
        <w:jc w:val="both"/>
        <w:rPr/>
      </w:pPr>
      <w:r>
        <w:rPr>
          <w:rFonts w:ascii="Arial" w:hAnsi="Arial" w:eastAsia="Arial" w:cs="Arial"/>
          <w:color w:val="000000"/>
          <w:sz w:val="24"/>
          <w:highlight w:val="none"/>
          <w:lang w:val="es-ES"/>
        </w:rPr>
        <w:t xml:space="preserve">En los casos en que se ha producido un fraude, la auditoría interna debe comprender cómo fallaron los controles e identificar las </w:t>
      </w:r>
      <w:r>
        <w:rPr>
          <w:rFonts w:ascii="Arial" w:hAnsi="Arial" w:eastAsia="Arial" w:cs="Arial"/>
          <w:color w:val="000000"/>
          <w:sz w:val="24"/>
          <w:highlight w:val="none"/>
          <w:lang w:val="es-ES"/>
        </w:rPr>
        <w:t xml:space="preserve">oportunidades de mejora. Debe considerar la probabilidad de errores adicionales, fraude o incumplimiento en toda </w:t>
      </w:r>
      <w:r>
        <w:rPr>
          <w:rFonts w:ascii="Arial" w:hAnsi="Arial" w:eastAsia="Arial" w:cs="Arial"/>
          <w:color w:val="000000"/>
          <w:sz w:val="24"/>
          <w:highlight w:val="none"/>
          <w:lang w:val="es-ES"/>
        </w:rPr>
        <w:t xml:space="preserve">la organización y reevaluar el costo del aseguramiento en relación con los beneficios potenciales.</w:t>
      </w:r>
      <w:r>
        <w:rPr>
          <w:rFonts w:ascii="Arial" w:hAnsi="Arial" w:eastAsia="Arial" w:cs="Arial"/>
          <w:color w:val="000000"/>
          <w:sz w:val="24"/>
          <w:highlight w:val="none"/>
          <w:lang w:val="es-ES"/>
        </w:rPr>
        <w:t xml:space="preserve"> [14]</w:t>
      </w:r>
      <w:r>
        <w:rPr>
          <w:rFonts w:ascii="Arial" w:hAnsi="Arial" w:eastAsia="Arial" w:cs="Arial"/>
          <w:color w:val="000000"/>
          <w:sz w:val="24"/>
          <w:highlight w:val="none"/>
          <w:lang w:val="es-ES"/>
        </w:rPr>
      </w:r>
      <w:r/>
    </w:p>
    <w:p>
      <w:pPr>
        <w:pBdr/>
        <w:spacing/>
        <w:ind/>
        <w:jc w:val="both"/>
        <w:rPr>
          <w:lang w:val="es-ES"/>
        </w:rPr>
      </w:pPr>
      <w:r>
        <w:rPr>
          <w:rFonts w:ascii="Arial" w:hAnsi="Arial" w:cs="Arial"/>
          <w:sz w:val="24"/>
          <w:szCs w:val="24"/>
          <w:highlight w:val="none"/>
          <w:lang w:val="es-ES"/>
        </w:rPr>
      </w:r>
      <w:r>
        <w:rPr>
          <w:lang w:val="es-ES"/>
        </w:rPr>
      </w:r>
      <w:r>
        <w:rPr>
          <w:lang w:val="es-ES"/>
        </w:rPr>
      </w:r>
    </w:p>
    <w:p>
      <w:pPr>
        <w:pBdr/>
        <w:spacing/>
        <w:ind/>
        <w:rPr>
          <w:rFonts w:ascii="Arial" w:hAnsi="Arial" w:cs="Arial"/>
          <w:sz w:val="24"/>
          <w:szCs w:val="24"/>
        </w:rPr>
      </w:pPr>
      <w:r>
        <w:rPr>
          <w:rFonts w:ascii="Arial" w:hAnsi="Arial" w:cs="Arial"/>
          <w:sz w:val="24"/>
          <w:szCs w:val="24"/>
        </w:rPr>
        <w:br w:type="page" w:clear="all"/>
      </w:r>
      <w:r>
        <w:rPr>
          <w:rFonts w:ascii="Arial" w:hAnsi="Arial" w:cs="Arial"/>
          <w:sz w:val="24"/>
          <w:szCs w:val="24"/>
        </w:rPr>
      </w:r>
      <w:r>
        <w:rPr>
          <w:rFonts w:ascii="Arial" w:hAnsi="Arial" w:cs="Arial"/>
          <w:sz w:val="24"/>
          <w:szCs w:val="24"/>
        </w:rPr>
      </w:r>
    </w:p>
    <w:p>
      <w:pPr>
        <w:pStyle w:val="941"/>
        <w:pBdr/>
        <w:spacing w:line="360" w:lineRule="auto"/>
        <w:ind/>
        <w:jc w:val="center"/>
        <w:rPr>
          <w:rFonts w:ascii="Arial" w:hAnsi="Arial" w:cs="Arial"/>
          <w:b/>
          <w:bCs/>
          <w:sz w:val="24"/>
          <w:szCs w:val="24"/>
        </w:rPr>
      </w:pPr>
      <w:r>
        <w:rPr>
          <w:rFonts w:ascii="Arial" w:hAnsi="Arial" w:cs="Arial"/>
          <w:b/>
          <w:bCs/>
          <w:sz w:val="24"/>
          <w:szCs w:val="24"/>
        </w:rPr>
        <w:t xml:space="preserve">Referencias</w:t>
      </w:r>
      <w:r>
        <w:rPr>
          <w:rFonts w:ascii="Arial" w:hAnsi="Arial" w:cs="Arial"/>
          <w:b/>
          <w:bCs/>
          <w:sz w:val="24"/>
          <w:szCs w:val="24"/>
        </w:rPr>
      </w:r>
      <w:r>
        <w:rPr>
          <w:rFonts w:ascii="Arial" w:hAnsi="Arial" w:cs="Arial"/>
          <w:b/>
          <w:bCs/>
          <w:sz w:val="24"/>
          <w:szCs w:val="24"/>
        </w:rPr>
      </w:r>
    </w:p>
    <w:p>
      <w:pPr>
        <w:pBdr/>
        <w:spacing/>
        <w:ind w:hanging="708" w:left="708"/>
        <w:rPr>
          <w:rFonts w:ascii="Arial" w:hAnsi="Arial" w:eastAsia="Arial" w:cs="Arial"/>
          <w:sz w:val="24"/>
          <w:szCs w:val="24"/>
          <w:highlight w:val="none"/>
          <w:lang w:eastAsia="zh-CN"/>
        </w:rPr>
      </w:pPr>
      <w:r>
        <w:rPr>
          <w:rFonts w:ascii="Arial" w:hAnsi="Arial" w:eastAsia="Arial" w:cs="Arial"/>
          <w:sz w:val="24"/>
          <w:szCs w:val="24"/>
        </w:rPr>
        <w:t xml:space="preserve">[1]</w:t>
      </w:r>
      <w:r>
        <w:tab/>
      </w:r>
      <w:r>
        <w:rPr>
          <w:rFonts w:ascii="Arial" w:hAnsi="Arial" w:eastAsia="Arial" w:cs="Arial"/>
          <w:i/>
          <w:iCs/>
          <w:sz w:val="24"/>
          <w:szCs w:val="24"/>
        </w:rPr>
        <w:t xml:space="preserve">UNIR - Universidad Internacional de La Rioja</w:t>
      </w:r>
      <w:r>
        <w:rPr>
          <w:rFonts w:ascii="Arial" w:hAnsi="Arial" w:eastAsia="Arial" w:cs="Arial"/>
          <w:sz w:val="24"/>
          <w:szCs w:val="24"/>
          <w:lang w:eastAsia="zh-CN"/>
        </w:rPr>
        <w:t xml:space="preserve">. [En línea]. Disponible en: </w:t>
      </w:r>
      <w:hyperlink r:id="rId14" w:tooltip="https://mexico.unir.net/noticias/derecho/derechos-digitales/#:~:text=Leyes%20digitales%20en%20M%C3%A9xico,en%20Posesi%C3%B3n%20de%20Sujetos%20Obligados" w:history="1">
        <w:r>
          <w:rPr>
            <w:rStyle w:val="953"/>
            <w:rFonts w:ascii="Arial" w:hAnsi="Arial" w:eastAsia="Arial" w:cs="Arial"/>
            <w:sz w:val="24"/>
            <w:szCs w:val="24"/>
            <w:lang w:eastAsia="zh-CN"/>
          </w:rPr>
          <w:t xml:space="preserve">https://mexico.unir.net/noticias/derecho/derechos-digitales/</w:t>
        </w:r>
      </w:hyperlink>
      <w:r>
        <w:rPr>
          <w:rFonts w:ascii="Arial" w:hAnsi="Arial" w:eastAsia="Arial" w:cs="Arial"/>
          <w:sz w:val="24"/>
          <w:szCs w:val="24"/>
          <w:lang w:eastAsia="zh-CN"/>
        </w:rPr>
        <w:t xml:space="preserve">. [Consultado: 04-mar-2025].</w:t>
      </w:r>
      <w:r>
        <w:rPr>
          <w:rFonts w:ascii="Arial" w:hAnsi="Arial" w:eastAsia="Arial" w:cs="Arial"/>
          <w:sz w:val="24"/>
          <w:szCs w:val="24"/>
          <w:highlight w:val="none"/>
          <w:lang w:eastAsia="zh-CN"/>
        </w:rPr>
      </w:r>
      <w:r>
        <w:rPr>
          <w:rFonts w:ascii="Arial" w:hAnsi="Arial" w:eastAsia="Arial" w:cs="Arial"/>
          <w:sz w:val="24"/>
          <w:szCs w:val="24"/>
          <w:highlight w:val="none"/>
          <w:lang w:eastAsia="zh-CN"/>
        </w:rPr>
      </w:r>
    </w:p>
    <w:p>
      <w:pPr>
        <w:pBdr/>
        <w:spacing/>
        <w:ind w:hanging="708" w:left="708"/>
        <w:rPr>
          <w:rFonts w:ascii="Arial" w:hAnsi="Arial" w:eastAsia="Arial" w:cs="Arial"/>
          <w:sz w:val="24"/>
          <w:szCs w:val="24"/>
          <w:lang w:eastAsia="zh-CN"/>
        </w:rPr>
      </w:pPr>
      <w:r>
        <w:rPr>
          <w:rFonts w:ascii="Arial" w:hAnsi="Arial" w:eastAsia="Arial" w:cs="Arial"/>
          <w:sz w:val="24"/>
          <w:szCs w:val="24"/>
          <w:highlight w:val="none"/>
          <w:lang w:val="es-ES"/>
        </w:rPr>
        <w:t xml:space="preserve">[2]</w:t>
        <w:tab/>
      </w:r>
      <w:r>
        <w:rPr>
          <w:rFonts w:ascii="Arial" w:hAnsi="Arial" w:eastAsia="Arial" w:cs="Arial"/>
          <w:sz w:val="24"/>
          <w:szCs w:val="24"/>
          <w:highlight w:val="none"/>
          <w:lang w:val="es-ES"/>
        </w:rPr>
        <w:t xml:space="preserve">“Normativa y legislación en PDP – Marco Internacional de Competencias de Protección de Datos Personales para Estudiantes”, </w:t>
      </w:r>
      <w:r>
        <w:rPr>
          <w:rFonts w:ascii="Arial" w:hAnsi="Arial" w:eastAsia="Arial" w:cs="Arial"/>
          <w:i/>
          <w:iCs/>
          <w:sz w:val="24"/>
          <w:szCs w:val="24"/>
          <w:highlight w:val="none"/>
          <w:lang w:val="es-ES"/>
        </w:rPr>
        <w:t xml:space="preserve">INAI</w:t>
      </w:r>
      <w:r>
        <w:rPr>
          <w:rFonts w:ascii="Arial" w:hAnsi="Arial" w:eastAsia="Arial" w:cs="Arial"/>
          <w:sz w:val="24"/>
          <w:szCs w:val="24"/>
          <w:highlight w:val="none"/>
          <w:lang w:val="es-ES"/>
        </w:rPr>
        <w:t xml:space="preserve">. [En línea]. Disponible en: </w:t>
      </w:r>
      <w:hyperlink r:id="rId15" w:tooltip="https://micrositios.inai.org.mx/marcocompetencias/?page_id=370" w:history="1">
        <w:r>
          <w:rPr>
            <w:rStyle w:val="953"/>
            <w:rFonts w:ascii="Arial" w:hAnsi="Arial" w:eastAsia="Arial" w:cs="Arial"/>
            <w:sz w:val="24"/>
            <w:szCs w:val="24"/>
            <w:highlight w:val="none"/>
            <w:lang w:val="es-ES"/>
          </w:rPr>
          <w:t xml:space="preserve">https://micrositios.inai.org.mx/marcocompetencias/?page_id=370</w:t>
        </w:r>
      </w:hyperlink>
      <w:r>
        <w:rPr>
          <w:rFonts w:ascii="Arial" w:hAnsi="Arial" w:eastAsia="Arial" w:cs="Arial"/>
          <w:sz w:val="24"/>
          <w:szCs w:val="24"/>
          <w:highlight w:val="none"/>
          <w:lang w:val="es-ES"/>
        </w:rPr>
        <w:t xml:space="preserve">. [Consultado: 04-mar-2025].</w:t>
      </w:r>
      <w:r>
        <w:rPr>
          <w:rFonts w:ascii="Arial" w:hAnsi="Arial" w:eastAsia="Arial" w:cs="Arial"/>
          <w:sz w:val="24"/>
          <w:szCs w:val="24"/>
          <w:lang w:eastAsia="zh-CN"/>
        </w:rPr>
      </w:r>
      <w:r>
        <w:rPr>
          <w:rFonts w:ascii="Arial" w:hAnsi="Arial" w:eastAsia="Arial" w:cs="Arial"/>
          <w:sz w:val="24"/>
          <w:szCs w:val="24"/>
          <w:lang w:eastAsia="zh-CN"/>
        </w:rPr>
      </w:r>
    </w:p>
    <w:p>
      <w:pPr>
        <w:pBdr/>
        <w:spacing/>
        <w:ind w:hanging="708" w:left="708"/>
        <w:rPr>
          <w:rFonts w:ascii="Arial" w:hAnsi="Arial" w:eastAsia="Arial" w:cs="Arial"/>
          <w:sz w:val="24"/>
          <w:szCs w:val="24"/>
          <w:highlight w:val="none"/>
          <w:lang w:eastAsia="zh-CN"/>
        </w:rPr>
      </w:pPr>
      <w:r>
        <w:rPr>
          <w:rFonts w:ascii="Arial" w:hAnsi="Arial" w:eastAsia="Arial" w:cs="Arial"/>
          <w:sz w:val="24"/>
          <w:szCs w:val="24"/>
          <w:lang w:eastAsia="zh-CN"/>
        </w:rPr>
        <w:t xml:space="preserve">[</w:t>
      </w:r>
      <w:r>
        <w:rPr>
          <w:rFonts w:ascii="Arial" w:hAnsi="Arial" w:eastAsia="Arial" w:cs="Arial"/>
          <w:sz w:val="24"/>
          <w:szCs w:val="24"/>
          <w:lang w:val="es-ES"/>
        </w:rPr>
        <w:t xml:space="preserve">3</w:t>
      </w:r>
      <w:r>
        <w:rPr>
          <w:rFonts w:ascii="Arial" w:hAnsi="Arial" w:eastAsia="Arial" w:cs="Arial"/>
          <w:sz w:val="24"/>
          <w:szCs w:val="24"/>
          <w:lang w:eastAsia="zh-CN"/>
        </w:rPr>
        <w:t xml:space="preserve">]</w:t>
      </w:r>
      <w:r>
        <w:rPr>
          <w:rFonts w:ascii="Arial" w:hAnsi="Arial" w:eastAsia="Arial" w:cs="Arial"/>
          <w:sz w:val="24"/>
          <w:szCs w:val="24"/>
          <w:lang w:eastAsia="zh-CN"/>
        </w:rPr>
        <w:tab/>
      </w:r>
      <w:r>
        <w:rPr>
          <w:rFonts w:ascii="Arial" w:hAnsi="Arial" w:eastAsia="Arial" w:cs="Arial"/>
          <w:sz w:val="24"/>
          <w:szCs w:val="24"/>
          <w:lang w:eastAsia="zh-CN"/>
        </w:rPr>
        <w:t xml:space="preserve">R. Espinoza Hernández, «Análisis de la primera Ley General en Materia de Humanidades, Ciencias, Tecnologías e Innovación en relación con el derecho humano a la ciencia», </w:t>
      </w:r>
      <w:r>
        <w:rPr>
          <w:rFonts w:ascii="Arial" w:hAnsi="Arial" w:eastAsia="Arial" w:cs="Arial"/>
          <w:i/>
          <w:iCs/>
          <w:sz w:val="24"/>
          <w:szCs w:val="24"/>
          <w:lang w:eastAsia="zh-CN"/>
        </w:rPr>
        <w:t xml:space="preserve">RFDM</w:t>
      </w:r>
      <w:r>
        <w:rPr>
          <w:rFonts w:ascii="Arial" w:hAnsi="Arial" w:eastAsia="Arial" w:cs="Arial"/>
          <w:sz w:val="24"/>
          <w:szCs w:val="24"/>
          <w:lang w:eastAsia="zh-CN"/>
        </w:rPr>
        <w:t xml:space="preserve">, vol. 73, n.º 285, pp. 429, mar. 2023.</w:t>
      </w:r>
      <w:r>
        <w:rPr>
          <w:rFonts w:ascii="Arial" w:hAnsi="Arial" w:eastAsia="Arial" w:cs="Arial"/>
          <w:sz w:val="24"/>
          <w:szCs w:val="24"/>
          <w:lang w:eastAsia="zh-CN"/>
        </w:rPr>
        <w:t xml:space="preserve"> Disponible en: </w:t>
      </w:r>
      <w:hyperlink r:id="rId16" w:tooltip="https://www.revistas.unam.mx/index.php/rfdm/article/view/85422" w:history="1">
        <w:r>
          <w:rPr>
            <w:rStyle w:val="953"/>
            <w:rFonts w:ascii="Arial" w:hAnsi="Arial" w:eastAsia="Arial" w:cs="Arial"/>
            <w:sz w:val="24"/>
            <w:szCs w:val="24"/>
            <w:lang w:eastAsia="zh-CN"/>
          </w:rPr>
          <w:t xml:space="preserve">https://www.revistas.unam.mx/index.php/rfdm/article/view/85422</w:t>
        </w:r>
      </w:hyperlink>
      <w:r>
        <w:rPr>
          <w:rFonts w:ascii="Arial" w:hAnsi="Arial" w:eastAsia="Arial" w:cs="Arial"/>
          <w:sz w:val="24"/>
          <w:szCs w:val="24"/>
          <w:lang w:eastAsia="zh-CN"/>
        </w:rPr>
        <w:t xml:space="preserve">. [Consultado: 04-ma</w:t>
      </w:r>
      <w:r>
        <w:rPr>
          <w:rFonts w:ascii="Arial" w:hAnsi="Arial" w:eastAsia="Arial" w:cs="Arial"/>
          <w:sz w:val="24"/>
          <w:szCs w:val="24"/>
          <w:lang w:eastAsia="zh-CN"/>
        </w:rPr>
        <w:t xml:space="preserve">r-2025]</w:t>
      </w:r>
      <w:r>
        <w:rPr>
          <w:rFonts w:ascii="Arial" w:hAnsi="Arial" w:eastAsia="Arial" w:cs="Arial"/>
          <w:sz w:val="24"/>
          <w:szCs w:val="24"/>
          <w:highlight w:val="none"/>
          <w:lang w:eastAsia="zh-CN"/>
        </w:rPr>
      </w:r>
      <w:r>
        <w:rPr>
          <w:rFonts w:ascii="Arial" w:hAnsi="Arial" w:eastAsia="Arial" w:cs="Arial"/>
          <w:sz w:val="24"/>
          <w:szCs w:val="24"/>
          <w:highlight w:val="none"/>
          <w:lang w:eastAsia="zh-CN"/>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[4]</w:t>
        <w:tab/>
      </w:r>
      <w:r>
        <w:rPr>
          <w:rFonts w:ascii="Arial" w:hAnsi="Arial" w:eastAsia="Arial" w:cs="Arial"/>
          <w:sz w:val="24"/>
          <w:szCs w:val="24"/>
          <w:highlight w:val="none"/>
          <w:lang w:val="es-ES"/>
        </w:rPr>
        <w:t xml:space="preserve">“Ley Federal de Telecomunicaciones y Radiodifusión - CONAMER”, </w:t>
      </w:r>
      <w:r>
        <w:rPr>
          <w:rFonts w:ascii="Arial" w:hAnsi="Arial" w:eastAsia="Arial" w:cs="Arial"/>
          <w:i/>
          <w:iCs/>
          <w:sz w:val="24"/>
          <w:szCs w:val="24"/>
          <w:highlight w:val="none"/>
          <w:lang w:val="es-ES"/>
        </w:rPr>
        <w:t xml:space="preserve">Gob.mx</w:t>
      </w:r>
      <w:r>
        <w:rPr>
          <w:rFonts w:ascii="Arial" w:hAnsi="Arial" w:eastAsia="Arial" w:cs="Arial"/>
          <w:sz w:val="24"/>
          <w:szCs w:val="24"/>
          <w:highlight w:val="none"/>
          <w:lang w:val="es-ES"/>
        </w:rPr>
        <w:t xml:space="preserve">. [En línea]. Disponible en: </w:t>
      </w:r>
      <w:hyperlink r:id="rId17" w:tooltip="https://catalogonacional.gob.mx/FichaRegulacionid?regulacionId=5673" w:history="1">
        <w:r>
          <w:rPr>
            <w:rStyle w:val="953"/>
            <w:rFonts w:ascii="Arial" w:hAnsi="Arial" w:eastAsia="Arial" w:cs="Arial"/>
            <w:sz w:val="24"/>
            <w:szCs w:val="24"/>
            <w:highlight w:val="none"/>
            <w:lang w:val="es-ES"/>
          </w:rPr>
          <w:t xml:space="preserve">https://catalogonacional.gob.mx/FichaRegulacionid?regulacionId=5673</w:t>
        </w:r>
      </w:hyperlink>
      <w:r>
        <w:rPr>
          <w:rFonts w:ascii="Arial" w:hAnsi="Arial" w:eastAsia="Arial" w:cs="Arial"/>
          <w:sz w:val="24"/>
          <w:szCs w:val="24"/>
          <w:highlight w:val="none"/>
          <w:lang w:val="es-ES"/>
        </w:rPr>
        <w:t xml:space="preserve">. [Consultado: 04-mar-2025].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[5]</w:t>
        <w:tab/>
      </w:r>
      <w:r>
        <w:rPr>
          <w:rFonts w:ascii="Arial" w:hAnsi="Arial" w:eastAsia="Arial" w:cs="Arial"/>
          <w:sz w:val="24"/>
          <w:szCs w:val="24"/>
          <w:highlight w:val="none"/>
          <w:lang w:val="es-ES"/>
        </w:rPr>
        <w:t xml:space="preserve">M. del C. Argüelles Arellano y C. Ávila Méndez, “Laws governing in Mexico for computer programs, data bases and documentation”, Comput. Sist., vol. 18, núm. 2, 2014.</w:t>
      </w:r>
      <w:r>
        <w:rPr>
          <w:rFonts w:ascii="Arial" w:hAnsi="Arial" w:eastAsia="Arial" w:cs="Arial"/>
          <w:sz w:val="24"/>
          <w:szCs w:val="24"/>
          <w:highlight w:val="none"/>
          <w:lang w:val="es-ES"/>
        </w:rPr>
        <w:t xml:space="preserve"> </w:t>
      </w:r>
      <w:r>
        <w:rPr>
          <w:rFonts w:ascii="Arial" w:hAnsi="Arial" w:eastAsia="Arial" w:cs="Arial"/>
          <w:sz w:val="24"/>
          <w:szCs w:val="24"/>
          <w:lang w:eastAsia="zh-CN"/>
        </w:rPr>
        <w:t xml:space="preserve">Disponible en: </w:t>
      </w:r>
      <w:r>
        <w:rPr>
          <w:rFonts w:ascii="Arial" w:hAnsi="Arial" w:eastAsia="Arial" w:cs="Arial"/>
          <w:sz w:val="24"/>
          <w:szCs w:val="24"/>
          <w:lang w:eastAsia="zh-CN"/>
        </w:rPr>
      </w:r>
      <w:hyperlink r:id="rId18" w:tooltip="https://www.scielo.org.mx/pdf/cys/v18n2/v18n2a15.pdf" w:history="1">
        <w:r>
          <w:rPr>
            <w:rStyle w:val="953"/>
            <w:rFonts w:ascii="Arial" w:hAnsi="Arial" w:eastAsia="Arial" w:cs="Arial"/>
            <w:sz w:val="24"/>
            <w:szCs w:val="24"/>
            <w:lang w:eastAsia="zh-CN"/>
          </w:rPr>
          <w:t xml:space="preserve">https://www.scielo.org.mx/pdf/cys/v18n2/v18n2a15.pdf</w:t>
        </w:r>
        <w:r>
          <w:rPr>
            <w:rStyle w:val="953"/>
            <w:rFonts w:ascii="Arial" w:hAnsi="Arial" w:eastAsia="Arial" w:cs="Arial"/>
            <w:sz w:val="24"/>
            <w:szCs w:val="24"/>
            <w:lang w:eastAsia="zh-CN"/>
          </w:rPr>
        </w:r>
      </w:hyperlink>
      <w:r>
        <w:rPr>
          <w:rFonts w:ascii="Arial" w:hAnsi="Arial" w:eastAsia="Arial" w:cs="Arial"/>
          <w:sz w:val="24"/>
          <w:szCs w:val="24"/>
          <w:lang w:eastAsia="zh-CN"/>
        </w:rPr>
        <w:t xml:space="preserve">. [Consultado: 04-ma</w:t>
      </w:r>
      <w:r>
        <w:rPr>
          <w:rFonts w:ascii="Arial" w:hAnsi="Arial" w:eastAsia="Arial" w:cs="Arial"/>
          <w:sz w:val="24"/>
          <w:szCs w:val="24"/>
          <w:lang w:eastAsia="zh-CN"/>
        </w:rPr>
        <w:t xml:space="preserve">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pPr>
      <w:r>
        <w:rPr>
          <w:rFonts w:ascii="Arial" w:hAnsi="Arial" w:eastAsia="Arial" w:cs="Arial"/>
          <w:sz w:val="24"/>
          <w:szCs w:val="24"/>
          <w:highlight w:val="none"/>
          <w:lang w:val="es-ES"/>
        </w:rPr>
        <w:t xml:space="preserve">[6]</w:t>
        <w:tab/>
      </w:r>
      <w:r>
        <w:rPr>
          <w:rFonts w:ascii="Arial" w:hAnsi="Arial" w:eastAsia="Arial" w:cs="Arial"/>
          <w:sz w:val="24"/>
          <w:szCs w:val="24"/>
          <w:highlight w:val="none"/>
          <w:lang w:val="es-ES"/>
        </w:rPr>
        <w:t xml:space="preserve">“Derecho de la Propiedad Intelectual”, </w:t>
      </w:r>
      <w:r>
        <w:rPr>
          <w:rFonts w:ascii="Arial" w:hAnsi="Arial" w:eastAsia="Arial" w:cs="Arial"/>
          <w:i/>
          <w:iCs/>
          <w:sz w:val="24"/>
          <w:szCs w:val="24"/>
          <w:highlight w:val="none"/>
          <w:lang w:val="es-ES"/>
        </w:rPr>
        <w:t xml:space="preserve">Justia</w:t>
      </w:r>
      <w:r>
        <w:rPr>
          <w:rFonts w:ascii="Arial" w:hAnsi="Arial" w:eastAsia="Arial" w:cs="Arial"/>
          <w:sz w:val="24"/>
          <w:szCs w:val="24"/>
          <w:highlight w:val="none"/>
          <w:lang w:val="es-ES"/>
        </w:rPr>
        <w:t xml:space="preserve">, 31-ene-2019. [En línea]. Disponible en: </w:t>
      </w:r>
      <w:hyperlink r:id="rId19" w:tooltip="https://mexico.justia.com/derecho-de-la-propiedad-intelectual/" w:history="1">
        <w:r>
          <w:rPr>
            <w:rStyle w:val="953"/>
            <w:rFonts w:ascii="Arial" w:hAnsi="Arial" w:eastAsia="Arial" w:cs="Arial"/>
            <w:sz w:val="24"/>
            <w:szCs w:val="24"/>
            <w:highlight w:val="none"/>
            <w:lang w:val="es-ES"/>
          </w:rPr>
          <w:t xml:space="preserve">https://mexico.justia.com/derecho-de-la-propiedad-intelectual/</w:t>
        </w:r>
      </w:hyperlink>
      <w:r>
        <w:rPr>
          <w:rFonts w:ascii="Arial" w:hAnsi="Arial" w:eastAsia="Arial" w:cs="Arial"/>
          <w:sz w:val="24"/>
          <w:szCs w:val="24"/>
          <w:highlight w:val="none"/>
          <w:lang w:val="es-ES"/>
        </w:rPr>
        <w:t xml:space="preserve">. [Consultado: 04-mar-2025].</w:t>
      </w:r>
      <w:r>
        <w:rPr>
          <w:rFonts w:ascii="Arial" w:hAnsi="Arial" w:eastAsia="Arial" w:cs="Arial"/>
          <w:sz w:val="24"/>
          <w:szCs w:val="24"/>
          <w:highlight w:val="none"/>
          <w:lang w:val="es-ES"/>
        </w:rPr>
      </w: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[7]</w:t>
        <w:tab/>
      </w:r>
      <w:r>
        <w:rPr>
          <w:rFonts w:ascii="Arial" w:hAnsi="Arial" w:eastAsia="Arial" w:cs="Arial"/>
          <w:sz w:val="24"/>
          <w:szCs w:val="24"/>
          <w:highlight w:val="none"/>
          <w:lang w:val="es-ES"/>
        </w:rPr>
        <w:t xml:space="preserve">“Ley de Firma Electrónica Avanzada - CONAMER”, </w:t>
      </w:r>
      <w:r>
        <w:rPr>
          <w:rFonts w:ascii="Arial" w:hAnsi="Arial" w:eastAsia="Arial" w:cs="Arial"/>
          <w:i/>
          <w:iCs/>
          <w:sz w:val="24"/>
          <w:szCs w:val="24"/>
          <w:highlight w:val="none"/>
          <w:lang w:val="es-ES"/>
        </w:rPr>
        <w:t xml:space="preserve">Gob.mx</w:t>
      </w:r>
      <w:r>
        <w:rPr>
          <w:rFonts w:ascii="Arial" w:hAnsi="Arial" w:eastAsia="Arial" w:cs="Arial"/>
          <w:sz w:val="24"/>
          <w:szCs w:val="24"/>
          <w:highlight w:val="none"/>
          <w:lang w:val="es-ES"/>
        </w:rPr>
        <w:t xml:space="preserve">. [En línea]. Disponible en: </w:t>
      </w:r>
      <w:hyperlink r:id="rId20" w:tooltip="https://catalogonacional.gob.mx/FichaRegulacionid?regulacionId=5562" w:history="1">
        <w:r>
          <w:rPr>
            <w:rStyle w:val="953"/>
            <w:rFonts w:ascii="Arial" w:hAnsi="Arial" w:eastAsia="Arial" w:cs="Arial"/>
            <w:sz w:val="24"/>
            <w:szCs w:val="24"/>
            <w:highlight w:val="none"/>
            <w:lang w:val="es-ES"/>
          </w:rPr>
          <w:t xml:space="preserve">https://catalogonacional.gob.mx/FichaRegulacionid?regulacionId=5562</w:t>
        </w:r>
      </w:hyperlink>
      <w:r>
        <w:rPr>
          <w:rFonts w:ascii="Arial" w:hAnsi="Arial" w:eastAsia="Arial" w:cs="Arial"/>
          <w:sz w:val="24"/>
          <w:szCs w:val="24"/>
          <w:highlight w:val="none"/>
          <w:lang w:val="es-ES"/>
        </w:rPr>
        <w:t xml:space="preserve">. [Consultado: 04-mar-2025].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[8]</w:t>
        <w:tab/>
      </w:r>
      <w:r>
        <w:rPr>
          <w:rFonts w:ascii="Arial" w:hAnsi="Arial" w:eastAsia="Arial" w:cs="Arial"/>
          <w:sz w:val="24"/>
          <w:szCs w:val="24"/>
          <w:highlight w:val="none"/>
          <w:lang w:val="es-ES"/>
        </w:rPr>
        <w:t xml:space="preserve">F. by Freshbooks, “LFIEL”, </w:t>
      </w:r>
      <w:r>
        <w:rPr>
          <w:rFonts w:ascii="Arial" w:hAnsi="Arial" w:eastAsia="Arial" w:cs="Arial"/>
          <w:i/>
          <w:iCs/>
          <w:sz w:val="24"/>
          <w:szCs w:val="24"/>
          <w:highlight w:val="none"/>
          <w:lang w:val="es-ES"/>
        </w:rPr>
        <w:t xml:space="preserve">Actualidad en información Contable y Fiscal</w:t>
      </w:r>
      <w:r>
        <w:rPr>
          <w:rFonts w:ascii="Arial" w:hAnsi="Arial" w:eastAsia="Arial" w:cs="Arial"/>
          <w:sz w:val="24"/>
          <w:szCs w:val="24"/>
          <w:highlight w:val="none"/>
          <w:lang w:val="es-ES"/>
        </w:rPr>
        <w:t xml:space="preserve">, 11-ago-2022. [En línea]. Disponible en: </w:t>
      </w:r>
      <w:hyperlink r:id="rId21" w:tooltip="https://facturama.mx/blog/que-significa/lfiel-ley-de-firma-electronica/" w:history="1">
        <w:r>
          <w:rPr>
            <w:rStyle w:val="953"/>
            <w:rFonts w:ascii="Arial" w:hAnsi="Arial" w:eastAsia="Arial" w:cs="Arial"/>
            <w:sz w:val="24"/>
            <w:szCs w:val="24"/>
            <w:highlight w:val="none"/>
            <w:lang w:val="es-ES"/>
          </w:rPr>
          <w:t xml:space="preserve">https://facturama.mx/blog/que-significa/lfiel-ley-de-firma-electronica/</w:t>
        </w:r>
      </w:hyperlink>
      <w:r>
        <w:rPr>
          <w:rFonts w:ascii="Arial" w:hAnsi="Arial" w:eastAsia="Arial" w:cs="Arial"/>
          <w:sz w:val="24"/>
          <w:szCs w:val="24"/>
          <w:highlight w:val="none"/>
          <w:lang w:val="es-ES"/>
        </w:rPr>
        <w:t xml:space="preserve">. [Consultado: 04-mar-2025].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[9]</w:t>
        <w:tab/>
      </w:r>
      <w:r>
        <w:rPr>
          <w:rFonts w:ascii="Arial" w:hAnsi="Arial" w:eastAsia="Arial" w:cs="Arial"/>
          <w:sz w:val="24"/>
          <w:szCs w:val="24"/>
          <w:highlight w:val="none"/>
          <w:lang w:val="es-ES"/>
        </w:rPr>
        <w:t xml:space="preserve">D. Badillo, “Principales escándalos de corrupción documentados por la ASF”, </w:t>
      </w:r>
      <w:r>
        <w:rPr>
          <w:rFonts w:ascii="Arial" w:hAnsi="Arial" w:eastAsia="Arial" w:cs="Arial"/>
          <w:i/>
          <w:iCs/>
          <w:sz w:val="24"/>
          <w:szCs w:val="24"/>
          <w:highlight w:val="none"/>
          <w:lang w:val="es-ES"/>
        </w:rPr>
        <w:t xml:space="preserve">El Economista</w:t>
      </w:r>
      <w:r>
        <w:rPr>
          <w:rFonts w:ascii="Arial" w:hAnsi="Arial" w:eastAsia="Arial" w:cs="Arial"/>
          <w:sz w:val="24"/>
          <w:szCs w:val="24"/>
          <w:highlight w:val="none"/>
          <w:lang w:val="es-ES"/>
        </w:rPr>
        <w:t xml:space="preserve">, 28-feb-2021. [En línea]. Disponible en: </w:t>
      </w:r>
      <w:hyperlink r:id="rId22" w:tooltip="https://www.eleconomista.com.mx/politica/Principales-escandalos-de-corrupcion-documentados-por-la-ASF-20210228-0002.html" w:history="1">
        <w:r>
          <w:rPr>
            <w:rStyle w:val="953"/>
            <w:rFonts w:ascii="Arial" w:hAnsi="Arial" w:eastAsia="Arial" w:cs="Arial"/>
            <w:sz w:val="24"/>
            <w:szCs w:val="24"/>
            <w:highlight w:val="none"/>
            <w:lang w:val="es-ES"/>
          </w:rPr>
          <w:t xml:space="preserve">https://www.eleconomista.com.mx/politica/Principales-escandalos-de-corrupcion-documentados-por-la-ASF-20210228-0002.html</w:t>
        </w:r>
      </w:hyperlink>
      <w:r>
        <w:rPr>
          <w:rFonts w:ascii="Arial" w:hAnsi="Arial" w:eastAsia="Arial" w:cs="Arial"/>
          <w:sz w:val="24"/>
          <w:szCs w:val="24"/>
          <w:highlight w:val="none"/>
          <w:lang w:val="es-ES"/>
        </w:rPr>
        <w:t xml:space="preserve">. [Con</w:t>
      </w:r>
      <w:r>
        <w:rPr>
          <w:rFonts w:ascii="Arial" w:hAnsi="Arial" w:eastAsia="Arial" w:cs="Arial"/>
          <w:sz w:val="24"/>
          <w:szCs w:val="24"/>
          <w:highlight w:val="none"/>
          <w:lang w:val="es-ES"/>
        </w:rPr>
        <w:t xml:space="preserve">sultado: 04-mar-2025]. </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[10]</w:t>
        <w:tab/>
      </w:r>
      <w:r>
        <w:rPr>
          <w:rFonts w:ascii="Arial" w:hAnsi="Arial" w:eastAsia="Arial" w:cs="Arial"/>
          <w:sz w:val="24"/>
          <w:szCs w:val="24"/>
          <w:highlight w:val="none"/>
          <w:lang w:val="es-ES"/>
        </w:rPr>
        <w:t xml:space="preserve">A. Político, “‘Sí, es un fraude’: ASF”, </w:t>
      </w:r>
      <w:r>
        <w:rPr>
          <w:rFonts w:ascii="Arial" w:hAnsi="Arial" w:eastAsia="Arial" w:cs="Arial"/>
          <w:i/>
          <w:iCs/>
          <w:sz w:val="24"/>
          <w:szCs w:val="24"/>
          <w:highlight w:val="none"/>
          <w:lang w:val="es-ES"/>
        </w:rPr>
        <w:t xml:space="preserve">Animal Político</w:t>
      </w:r>
      <w:r>
        <w:rPr>
          <w:rFonts w:ascii="Arial" w:hAnsi="Arial" w:eastAsia="Arial" w:cs="Arial"/>
          <w:sz w:val="24"/>
          <w:szCs w:val="24"/>
          <w:highlight w:val="none"/>
          <w:lang w:val="es-ES"/>
        </w:rPr>
        <w:t xml:space="preserve">. [En línea]. Disponible en: </w:t>
      </w:r>
      <w:hyperlink r:id="rId23" w:tooltip="https://panel.animalpolitico.com/estafa-maestra/auditor-si-es-fraude.html" w:history="1">
        <w:r>
          <w:rPr>
            <w:rStyle w:val="953"/>
            <w:rFonts w:ascii="Arial" w:hAnsi="Arial" w:eastAsia="Arial" w:cs="Arial"/>
            <w:sz w:val="24"/>
            <w:szCs w:val="24"/>
            <w:highlight w:val="none"/>
            <w:lang w:val="es-ES"/>
          </w:rPr>
          <w:t xml:space="preserve">https://panel.animalpolitico.com/estafa-maestra/auditor-si-es-fraude.html</w:t>
        </w:r>
      </w:hyperlink>
      <w:r>
        <w:rPr>
          <w:rFonts w:ascii="Arial" w:hAnsi="Arial" w:eastAsia="Arial" w:cs="Arial"/>
          <w:sz w:val="24"/>
          <w:szCs w:val="24"/>
          <w:highlight w:val="none"/>
          <w:lang w:val="es-ES"/>
        </w:rPr>
        <w:t xml:space="preserve">. [Consultado: 04-mar-2025]. </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pPr>
      <w:r>
        <w:rPr>
          <w:rFonts w:ascii="Arial" w:hAnsi="Arial" w:eastAsia="Arial" w:cs="Arial"/>
          <w:sz w:val="24"/>
          <w:szCs w:val="24"/>
          <w:highlight w:val="none"/>
          <w:lang w:val="es-ES"/>
        </w:rPr>
        <w:t xml:space="preserve">[11]</w:t>
        <w:tab/>
      </w:r>
      <w:r>
        <w:rPr>
          <w:rFonts w:ascii="Arial" w:hAnsi="Arial" w:eastAsia="Arial" w:cs="Arial"/>
          <w:sz w:val="24"/>
          <w:szCs w:val="24"/>
          <w:highlight w:val="none"/>
          <w:lang w:val="es-ES"/>
        </w:rPr>
        <w:t xml:space="preserve">M. Delaure, “Prevención y detección de fraudes: cómo fortalecer las funciones de las empresas, los auditores y los reguladores”, </w:t>
      </w:r>
      <w:r>
        <w:rPr>
          <w:rFonts w:ascii="Arial" w:hAnsi="Arial" w:eastAsia="Arial" w:cs="Arial"/>
          <w:i/>
          <w:iCs/>
          <w:sz w:val="24"/>
          <w:szCs w:val="24"/>
          <w:highlight w:val="none"/>
          <w:lang w:val="es-ES"/>
        </w:rPr>
        <w:t xml:space="preserve">EY</w:t>
      </w:r>
      <w:r>
        <w:rPr>
          <w:rFonts w:ascii="Arial" w:hAnsi="Arial" w:eastAsia="Arial" w:cs="Arial"/>
          <w:sz w:val="24"/>
          <w:szCs w:val="24"/>
          <w:highlight w:val="none"/>
          <w:lang w:val="es-ES"/>
        </w:rPr>
        <w:t xml:space="preserve">. [En línea]. Disponible en: </w:t>
      </w:r>
      <w:hyperlink r:id="rId24" w:tooltip="https://www.ey.com/es_mx/insights/assurance/preventing-and-detecting-fraud-how-to-strengthen-the-roles-of-companies-auditors-and-regulators" w:history="1">
        <w:r>
          <w:rPr>
            <w:rStyle w:val="953"/>
            <w:rFonts w:ascii="Arial" w:hAnsi="Arial" w:eastAsia="Arial" w:cs="Arial"/>
            <w:sz w:val="24"/>
            <w:szCs w:val="24"/>
            <w:highlight w:val="none"/>
            <w:lang w:val="es-ES"/>
          </w:rPr>
          <w:t xml:space="preserve">https://www.ey.com/es_mx/insights/assurance/preventing-and-detecting-</w:t>
        </w:r>
        <w:r>
          <w:rPr>
            <w:rStyle w:val="953"/>
            <w:rFonts w:ascii="Arial" w:hAnsi="Arial" w:eastAsia="Arial" w:cs="Arial"/>
            <w:sz w:val="24"/>
            <w:szCs w:val="24"/>
            <w:highlight w:val="none"/>
            <w:lang w:val="es-ES"/>
          </w:rPr>
          <w:t xml:space="preserve">fraud-how-to-strengthen-the-roles-of-companies-auditors-and-regulators</w:t>
        </w:r>
      </w:hyperlink>
      <w:r>
        <w:rPr>
          <w:rFonts w:ascii="Arial" w:hAnsi="Arial" w:eastAsia="Arial" w:cs="Arial"/>
          <w:sz w:val="24"/>
          <w:szCs w:val="24"/>
          <w:highlight w:val="none"/>
          <w:lang w:val="es-ES"/>
        </w:rPr>
        <w:t xml:space="preserve">. [Consultado: 09-mar-2025].</w:t>
      </w:r>
      <w:r>
        <w:rPr>
          <w:rFonts w:ascii="Arial" w:hAnsi="Arial" w:eastAsia="Arial" w:cs="Arial"/>
          <w:sz w:val="24"/>
          <w:szCs w:val="24"/>
          <w:highlight w:val="none"/>
          <w:lang w:val="es-ES"/>
        </w:rPr>
      </w: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[12]</w:t>
        <w:tab/>
      </w:r>
      <w:r>
        <w:rPr>
          <w:rFonts w:ascii="Arial" w:hAnsi="Arial" w:eastAsia="Arial" w:cs="Arial"/>
          <w:sz w:val="24"/>
          <w:szCs w:val="24"/>
          <w:highlight w:val="none"/>
          <w:lang w:val="es-ES"/>
        </w:rPr>
        <w:t xml:space="preserve">“Claves para entender el fraude de Oceanografía a Banamex”, El Financiero, 01-mar-2014. [En línea]. Disponible en: </w:t>
      </w:r>
      <w:hyperlink r:id="rId25" w:tooltip="https://www.elfinanciero.com.mx/economia/claves-para-entender-el-fraude-de-oceanografia-a-banamex/" w:history="1">
        <w:r>
          <w:rPr>
            <w:rStyle w:val="953"/>
            <w:rFonts w:ascii="Arial" w:hAnsi="Arial" w:eastAsia="Arial" w:cs="Arial"/>
            <w:sz w:val="24"/>
            <w:szCs w:val="24"/>
            <w:highlight w:val="none"/>
            <w:lang w:val="es-ES"/>
          </w:rPr>
          <w:t xml:space="preserve">https://www.elfinanciero.com.mx/economia/claves-para-entender-el-fraude-de-oceanografia-a-banamex/</w:t>
        </w:r>
      </w:hyperlink>
      <w:r>
        <w:rPr>
          <w:rFonts w:ascii="Arial" w:hAnsi="Arial" w:eastAsia="Arial" w:cs="Arial"/>
          <w:sz w:val="24"/>
          <w:szCs w:val="24"/>
          <w:highlight w:val="none"/>
          <w:lang w:val="es-ES"/>
        </w:rPr>
        <w:t xml:space="preserve">. [Consultado: 04-mar-2025]. </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[13]</w:t>
        <w:tab/>
      </w:r>
      <w:r>
        <w:rPr>
          <w:rFonts w:ascii="Arial" w:hAnsi="Arial" w:eastAsia="Arial" w:cs="Arial"/>
          <w:sz w:val="24"/>
          <w:szCs w:val="24"/>
          <w:highlight w:val="none"/>
          <w:lang w:val="es-ES"/>
        </w:rPr>
        <w:t xml:space="preserve">P. Navarro, P. Franco, y G. Pérez, “Oceanografía y Banamex: el escándalo que marcó a México y sigue vigente”, La Verdad Noticias, 16-nov-2024. [En línea]. Disponible en: </w:t>
      </w:r>
      <w:hyperlink r:id="rId26" w:tooltip="https://laverdadnoticias.com/economia/oceanografia-y-banamex-el-escandalo-que-marco-a-mexico-y-sigue-vigente-20241116" w:history="1">
        <w:r>
          <w:rPr>
            <w:rStyle w:val="953"/>
            <w:rFonts w:ascii="Arial" w:hAnsi="Arial" w:eastAsia="Arial" w:cs="Arial"/>
            <w:sz w:val="24"/>
            <w:szCs w:val="24"/>
            <w:highlight w:val="none"/>
            <w:lang w:val="es-ES"/>
          </w:rPr>
          <w:t xml:space="preserve">https://laverdadnoticias.com/economia/oceanografia-y-banamex-el-escandalo-que-marco-a-m</w:t>
        </w:r>
        <w:r>
          <w:rPr>
            <w:rStyle w:val="953"/>
            <w:rFonts w:ascii="Arial" w:hAnsi="Arial" w:eastAsia="Arial" w:cs="Arial"/>
            <w:sz w:val="24"/>
            <w:szCs w:val="24"/>
            <w:highlight w:val="none"/>
            <w:lang w:val="es-ES"/>
          </w:rPr>
          <w:t xml:space="preserve">exico-y-sigue-vigente-20241116</w:t>
        </w:r>
      </w:hyperlink>
      <w:r>
        <w:rPr>
          <w:rFonts w:ascii="Arial" w:hAnsi="Arial" w:eastAsia="Arial" w:cs="Arial"/>
          <w:sz w:val="24"/>
          <w:szCs w:val="24"/>
          <w:highlight w:val="none"/>
          <w:lang w:val="es-ES"/>
        </w:rPr>
        <w:t xml:space="preserve">. [Consultado: 04-mar-2025]. </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t xml:space="preserve">[14]</w:t>
        <w:tab/>
      </w:r>
      <w:r>
        <w:rPr>
          <w:rFonts w:ascii="Arial" w:hAnsi="Arial" w:eastAsia="Arial" w:cs="Arial"/>
          <w:sz w:val="24"/>
          <w:szCs w:val="24"/>
          <w:highlight w:val="none"/>
          <w:lang w:val="es-ES"/>
        </w:rPr>
        <w:t xml:space="preserve">“EL FRAUDE Y LA AUDITORÍA INTERNA”, </w:t>
      </w:r>
      <w:r>
        <w:rPr>
          <w:rFonts w:ascii="Arial" w:hAnsi="Arial" w:eastAsia="Arial" w:cs="Arial"/>
          <w:i/>
          <w:iCs/>
          <w:sz w:val="24"/>
          <w:szCs w:val="24"/>
          <w:highlight w:val="none"/>
          <w:lang w:val="es-ES"/>
        </w:rPr>
        <w:t xml:space="preserve">Theiia.org</w:t>
      </w:r>
      <w:r>
        <w:rPr>
          <w:rFonts w:ascii="Arial" w:hAnsi="Arial" w:eastAsia="Arial" w:cs="Arial"/>
          <w:sz w:val="24"/>
          <w:szCs w:val="24"/>
          <w:highlight w:val="none"/>
          <w:lang w:val="es-ES"/>
        </w:rPr>
        <w:t xml:space="preserve">. [En línea]. Disponible en: </w:t>
      </w:r>
      <w:hyperlink r:id="rId27" w:tooltip="https://www.theiia.org/globalassets/documents/resources/fraud-and-internal-audit-assurance-over-fraud-controls-fundamental-to-success-april-2019/fraud-and-internal-audit-spanish.pdf" w:history="1">
        <w:r>
          <w:rPr>
            <w:rStyle w:val="953"/>
            <w:rFonts w:ascii="Arial" w:hAnsi="Arial" w:eastAsia="Arial" w:cs="Arial"/>
            <w:sz w:val="24"/>
            <w:szCs w:val="24"/>
            <w:highlight w:val="none"/>
            <w:lang w:val="es-ES"/>
          </w:rPr>
          <w:t xml:space="preserve">https://www.theiia.org/globalassets/documents/resources/fraud-and-internal-audit-assurance-over-fraud-controls-fundamental-to-success-april-2019/fraud-and-internal-audit-spanish.pdf</w:t>
        </w:r>
      </w:hyperlink>
      <w:r>
        <w:rPr>
          <w:rFonts w:ascii="Arial" w:hAnsi="Arial" w:eastAsia="Arial" w:cs="Arial"/>
          <w:sz w:val="24"/>
          <w:szCs w:val="24"/>
          <w:highlight w:val="none"/>
          <w:lang w:val="es-ES"/>
        </w:rPr>
        <w:t xml:space="preserve">.</w:t>
      </w:r>
      <w:r>
        <w:rPr>
          <w:rFonts w:ascii="Arial" w:hAnsi="Arial" w:eastAsia="Arial" w:cs="Arial"/>
          <w:sz w:val="24"/>
          <w:szCs w:val="24"/>
          <w:highlight w:val="none"/>
          <w:lang w:val="es-ES"/>
        </w:rPr>
        <w:t xml:space="preserve"> [Consultado: 09-mar-2025].</w:t>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hanging="708" w:left="708"/>
        <w:rPr>
          <w:rFonts w:ascii="Arial" w:hAnsi="Arial" w:eastAsia="Arial" w:cs="Arial"/>
          <w:sz w:val="24"/>
          <w:szCs w:val="24"/>
          <w:highlight w:val="none"/>
          <w:lang w:val="es-ES"/>
        </w:rPr>
      </w:pPr>
      <w:r>
        <w:rPr>
          <w:rFonts w:ascii="Arial" w:hAnsi="Arial" w:eastAsia="Arial" w:cs="Arial"/>
          <w:sz w:val="24"/>
          <w:szCs w:val="24"/>
          <w:highlight w:val="none"/>
          <w:lang w:val="es-ES"/>
        </w:rPr>
      </w:r>
      <w:r>
        <w:rPr>
          <w:rFonts w:ascii="Arial" w:hAnsi="Arial" w:eastAsia="Arial" w:cs="Arial"/>
          <w:sz w:val="24"/>
          <w:szCs w:val="24"/>
          <w:highlight w:val="none"/>
          <w:lang w:val="es-ES"/>
        </w:rPr>
      </w:r>
      <w:r>
        <w:rPr>
          <w:rFonts w:ascii="Arial" w:hAnsi="Arial" w:eastAsia="Arial" w:cs="Arial"/>
          <w:sz w:val="24"/>
          <w:szCs w:val="24"/>
          <w:highlight w:val="none"/>
          <w:lang w:val="es-ES"/>
        </w:rPr>
      </w:r>
    </w:p>
    <w:p>
      <w:pPr>
        <w:pBdr/>
        <w:spacing/>
        <w:ind w:firstLine="0" w:left="0"/>
        <w:rPr>
          <w:rFonts w:ascii="Arial" w:hAnsi="Arial" w:eastAsia="Arial" w:cs="Arial"/>
          <w:sz w:val="24"/>
          <w:szCs w:val="24"/>
          <w:lang w:eastAsia="zh-CN"/>
        </w:rPr>
      </w:pPr>
      <w:r>
        <w:rPr>
          <w:rFonts w:ascii="Arial" w:hAnsi="Arial" w:eastAsia="Arial" w:cs="Arial"/>
          <w:sz w:val="24"/>
          <w:szCs w:val="24"/>
          <w:lang w:eastAsia="zh-CN"/>
        </w:rPr>
      </w:r>
      <w:r>
        <w:rPr>
          <w:rFonts w:ascii="Arial" w:hAnsi="Arial" w:eastAsia="Arial" w:cs="Arial"/>
          <w:sz w:val="24"/>
          <w:szCs w:val="24"/>
          <w:lang w:eastAsia="zh-CN"/>
        </w:rPr>
      </w:r>
      <w:r>
        <w:rPr>
          <w:rFonts w:ascii="Arial" w:hAnsi="Arial" w:eastAsia="Arial" w:cs="Arial"/>
          <w:sz w:val="24"/>
          <w:szCs w:val="24"/>
          <w:lang w:eastAsia="zh-CN"/>
        </w:rPr>
      </w:r>
    </w:p>
    <w:p>
      <w:pPr>
        <w:pStyle w:val="955"/>
        <w:pBdr/>
        <w:spacing/>
        <w:ind/>
        <w:rPr>
          <w:rFonts w:ascii="Arial" w:hAnsi="Arial" w:cs="Arial"/>
          <w:sz w:val="24"/>
          <w:szCs w:val="24"/>
          <w:lang w:val="es-MX"/>
        </w:rPr>
      </w:pPr>
      <w:r>
        <w:rPr>
          <w:rFonts w:ascii="Arial" w:hAnsi="Arial" w:cs="Arial"/>
          <w:sz w:val="24"/>
          <w:szCs w:val="24"/>
          <w:lang w:val="es-MX"/>
        </w:rPr>
      </w:r>
      <w:r>
        <w:rPr>
          <w:rFonts w:ascii="Arial" w:hAnsi="Arial" w:cs="Arial"/>
          <w:sz w:val="24"/>
          <w:szCs w:val="24"/>
          <w:lang w:val="es-MX"/>
        </w:rPr>
      </w:r>
      <w:r>
        <w:rPr>
          <w:rFonts w:ascii="Arial" w:hAnsi="Arial" w:cs="Arial"/>
          <w:sz w:val="24"/>
          <w:szCs w:val="24"/>
          <w:lang w:val="es-MX"/>
        </w:rPr>
      </w:r>
    </w:p>
    <w:sectPr>
      <w:headerReference w:type="default" r:id="rId9"/>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SimSun">
    <w:panose1 w:val="02000603000000000000"/>
  </w:font>
  <w:font w:name="Times New Roman">
    <w:panose1 w:val="020206030504050203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rPr/>
    </w:pPr>
    <w:r>
      <mc:AlternateContent>
        <mc:Choice Requires="wpg">
          <w:drawing>
            <wp:inline xmlns:wp="http://schemas.openxmlformats.org/drawingml/2006/wordprocessingDrawing" distT="0" distB="0" distL="0" distR="0">
              <wp:extent cx="5400040" cy="74930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5400040" cy="7493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5.20pt;height:59.00pt;mso-wrap-distance-left:0.00pt;mso-wrap-distance-top:0.00pt;mso-wrap-distance-right:0.00pt;mso-wrap-distance-bottom:0.00pt;z-index:1;" stroked="false">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432" w:left="432"/>
      </w:pPr>
      <w:rPr/>
      <w:start w:val="5"/>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decimal"/>
      <w:pPr>
        <w:pBdr/>
        <w:spacing/>
        <w:ind w:hanging="432" w:left="43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432" w:left="432"/>
      </w:pPr>
      <w:rPr/>
      <w:start w:val="4"/>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432" w:left="432"/>
      </w:pPr>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432" w:left="432"/>
      </w:pPr>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5"/>
  </w:num>
  <w:num w:numId="2">
    <w:abstractNumId w:val="8"/>
  </w:num>
  <w:num w:numId="3">
    <w:abstractNumId w:val="11"/>
  </w:num>
  <w:num w:numId="4">
    <w:abstractNumId w:val="10"/>
  </w:num>
  <w:num w:numId="5">
    <w:abstractNumId w:val="4"/>
  </w:num>
  <w:num w:numId="6">
    <w:abstractNumId w:val="1"/>
  </w:num>
  <w:num w:numId="7">
    <w:abstractNumId w:val="3"/>
  </w:num>
  <w:num w:numId="8">
    <w:abstractNumId w:val="2"/>
  </w:num>
  <w:num w:numId="9">
    <w:abstractNumId w:val="7"/>
  </w:num>
  <w:num w:numId="10">
    <w:abstractNumId w:val="12"/>
  </w:num>
  <w:num w:numId="11">
    <w:abstractNumId w:val="9"/>
  </w:num>
  <w:num w:numId="12">
    <w:abstractNumId w:val="6"/>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4">
    <w:name w:val="Table Grid Light"/>
    <w:basedOn w:val="9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1"/>
    <w:basedOn w:val="9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2"/>
    <w:basedOn w:val="94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3"/>
    <w:basedOn w:val="9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4"/>
    <w:basedOn w:val="9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5"/>
    <w:basedOn w:val="9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w:basedOn w:val="94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1"/>
    <w:basedOn w:val="9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2"/>
    <w:basedOn w:val="9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3"/>
    <w:basedOn w:val="9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4"/>
    <w:basedOn w:val="9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5"/>
    <w:basedOn w:val="9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6"/>
    <w:basedOn w:val="9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w:basedOn w:val="9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1"/>
    <w:basedOn w:val="9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2"/>
    <w:basedOn w:val="9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3"/>
    <w:basedOn w:val="9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4"/>
    <w:basedOn w:val="9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5"/>
    <w:basedOn w:val="9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6"/>
    <w:basedOn w:val="9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w:basedOn w:val="9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1"/>
    <w:basedOn w:val="9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2"/>
    <w:basedOn w:val="9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3"/>
    <w:basedOn w:val="9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4"/>
    <w:basedOn w:val="9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5"/>
    <w:basedOn w:val="9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6"/>
    <w:basedOn w:val="9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w:basedOn w:val="94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1"/>
    <w:basedOn w:val="94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2"/>
    <w:basedOn w:val="94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3"/>
    <w:basedOn w:val="94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4"/>
    <w:basedOn w:val="94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5"/>
    <w:basedOn w:val="94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6"/>
    <w:basedOn w:val="94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Accent 1"/>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2"/>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3"/>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Accent 4"/>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5"/>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6"/>
    <w:basedOn w:val="9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6 Colorful"/>
    <w:basedOn w:val="94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6">
    <w:name w:val="Grid Table 6 Colorful - Accent 1"/>
    <w:basedOn w:val="94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7">
    <w:name w:val="Grid Table 6 Colorful - Accent 2"/>
    <w:basedOn w:val="9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8">
    <w:name w:val="Grid Table 6 Colorful - Accent 3"/>
    <w:basedOn w:val="94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9">
    <w:name w:val="Grid Table 6 Colorful - Accent 4"/>
    <w:basedOn w:val="9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0">
    <w:name w:val="Grid Table 6 Colorful - Accent 5"/>
    <w:basedOn w:val="94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6 Colorful - Accent 6"/>
    <w:basedOn w:val="94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2">
    <w:name w:val="Grid Table 7 Colorful"/>
    <w:basedOn w:val="94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1"/>
    <w:basedOn w:val="94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2"/>
    <w:basedOn w:val="94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3"/>
    <w:basedOn w:val="94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4"/>
    <w:basedOn w:val="94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5"/>
    <w:basedOn w:val="94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6"/>
    <w:basedOn w:val="94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1"/>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2"/>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3"/>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4"/>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5"/>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6"/>
    <w:basedOn w:val="9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w:basedOn w:val="94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1"/>
    <w:basedOn w:val="94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2"/>
    <w:basedOn w:val="94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3"/>
    <w:basedOn w:val="94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4"/>
    <w:basedOn w:val="94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5"/>
    <w:basedOn w:val="94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6"/>
    <w:basedOn w:val="94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w:basedOn w:val="9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1"/>
    <w:basedOn w:val="94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2"/>
    <w:basedOn w:val="9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3"/>
    <w:basedOn w:val="94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4"/>
    <w:basedOn w:val="9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5"/>
    <w:basedOn w:val="94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6"/>
    <w:basedOn w:val="94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w:basedOn w:val="9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1"/>
    <w:basedOn w:val="94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2"/>
    <w:basedOn w:val="94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3"/>
    <w:basedOn w:val="94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4"/>
    <w:basedOn w:val="94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5"/>
    <w:basedOn w:val="94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6"/>
    <w:basedOn w:val="94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5 Dark"/>
    <w:basedOn w:val="94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1"/>
    <w:basedOn w:val="94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2"/>
    <w:basedOn w:val="94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3"/>
    <w:basedOn w:val="94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4"/>
    <w:basedOn w:val="94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5"/>
    <w:basedOn w:val="94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6"/>
    <w:basedOn w:val="94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6 Colorful"/>
    <w:basedOn w:val="94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1"/>
    <w:basedOn w:val="94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2"/>
    <w:basedOn w:val="94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3"/>
    <w:basedOn w:val="94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4"/>
    <w:basedOn w:val="94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5"/>
    <w:basedOn w:val="94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6"/>
    <w:basedOn w:val="94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7 Colorful"/>
    <w:basedOn w:val="94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2">
    <w:name w:val="List Table 7 Colorful - Accent 1"/>
    <w:basedOn w:val="94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63">
    <w:name w:val="List Table 7 Colorful - Accent 2"/>
    <w:basedOn w:val="94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4">
    <w:name w:val="List Table 7 Colorful - Accent 3"/>
    <w:basedOn w:val="94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5">
    <w:name w:val="List Table 7 Colorful - Accent 4"/>
    <w:basedOn w:val="94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6">
    <w:name w:val="List Table 7 Colorful - Accent 5"/>
    <w:basedOn w:val="94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67">
    <w:name w:val="List Table 7 Colorful - Accent 6"/>
    <w:basedOn w:val="94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8">
    <w:name w:val="Lined - Accent"/>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1"/>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2"/>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3"/>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4"/>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5"/>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6"/>
    <w:basedOn w:val="9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w:basedOn w:val="94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1"/>
    <w:basedOn w:val="94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2"/>
    <w:basedOn w:val="94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3"/>
    <w:basedOn w:val="94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4"/>
    <w:basedOn w:val="94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5"/>
    <w:basedOn w:val="94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6"/>
    <w:basedOn w:val="94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w:basedOn w:val="94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1"/>
    <w:basedOn w:val="9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2"/>
    <w:basedOn w:val="9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3"/>
    <w:basedOn w:val="9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4"/>
    <w:basedOn w:val="9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5"/>
    <w:basedOn w:val="9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6"/>
    <w:basedOn w:val="9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9">
    <w:name w:val="Heading 3"/>
    <w:basedOn w:val="940"/>
    <w:next w:val="940"/>
    <w:link w:val="89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0">
    <w:name w:val="Heading 4"/>
    <w:basedOn w:val="940"/>
    <w:next w:val="940"/>
    <w:link w:val="89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1">
    <w:name w:val="Heading 5"/>
    <w:basedOn w:val="940"/>
    <w:next w:val="940"/>
    <w:link w:val="90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2">
    <w:name w:val="Heading 6"/>
    <w:basedOn w:val="940"/>
    <w:next w:val="940"/>
    <w:link w:val="90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3">
    <w:name w:val="Heading 7"/>
    <w:basedOn w:val="940"/>
    <w:next w:val="940"/>
    <w:link w:val="90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4">
    <w:name w:val="Heading 8"/>
    <w:basedOn w:val="940"/>
    <w:next w:val="940"/>
    <w:link w:val="90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5">
    <w:name w:val="Heading 9"/>
    <w:basedOn w:val="940"/>
    <w:next w:val="940"/>
    <w:link w:val="90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6">
    <w:name w:val="Heading 1 Char"/>
    <w:basedOn w:val="943"/>
    <w:link w:val="941"/>
    <w:uiPriority w:val="9"/>
    <w:pPr>
      <w:pBdr/>
      <w:spacing/>
      <w:ind/>
    </w:pPr>
    <w:rPr>
      <w:rFonts w:ascii="Arial" w:hAnsi="Arial" w:eastAsia="Arial" w:cs="Arial"/>
      <w:color w:val="0f4761" w:themeColor="accent1" w:themeShade="BF"/>
      <w:sz w:val="40"/>
      <w:szCs w:val="40"/>
    </w:rPr>
  </w:style>
  <w:style w:type="character" w:styleId="897">
    <w:name w:val="Heading 2 Char"/>
    <w:basedOn w:val="943"/>
    <w:link w:val="942"/>
    <w:uiPriority w:val="9"/>
    <w:pPr>
      <w:pBdr/>
      <w:spacing/>
      <w:ind/>
    </w:pPr>
    <w:rPr>
      <w:rFonts w:ascii="Arial" w:hAnsi="Arial" w:eastAsia="Arial" w:cs="Arial"/>
      <w:color w:val="0f4761" w:themeColor="accent1" w:themeShade="BF"/>
      <w:sz w:val="32"/>
      <w:szCs w:val="32"/>
    </w:rPr>
  </w:style>
  <w:style w:type="character" w:styleId="898">
    <w:name w:val="Heading 3 Char"/>
    <w:basedOn w:val="943"/>
    <w:link w:val="889"/>
    <w:uiPriority w:val="9"/>
    <w:pPr>
      <w:pBdr/>
      <w:spacing/>
      <w:ind/>
    </w:pPr>
    <w:rPr>
      <w:rFonts w:ascii="Arial" w:hAnsi="Arial" w:eastAsia="Arial" w:cs="Arial"/>
      <w:color w:val="0f4761" w:themeColor="accent1" w:themeShade="BF"/>
      <w:sz w:val="28"/>
      <w:szCs w:val="28"/>
    </w:rPr>
  </w:style>
  <w:style w:type="character" w:styleId="899">
    <w:name w:val="Heading 4 Char"/>
    <w:basedOn w:val="943"/>
    <w:link w:val="890"/>
    <w:uiPriority w:val="9"/>
    <w:pPr>
      <w:pBdr/>
      <w:spacing/>
      <w:ind/>
    </w:pPr>
    <w:rPr>
      <w:rFonts w:ascii="Arial" w:hAnsi="Arial" w:eastAsia="Arial" w:cs="Arial"/>
      <w:i/>
      <w:iCs/>
      <w:color w:val="0f4761" w:themeColor="accent1" w:themeShade="BF"/>
    </w:rPr>
  </w:style>
  <w:style w:type="character" w:styleId="900">
    <w:name w:val="Heading 5 Char"/>
    <w:basedOn w:val="943"/>
    <w:link w:val="891"/>
    <w:uiPriority w:val="9"/>
    <w:pPr>
      <w:pBdr/>
      <w:spacing/>
      <w:ind/>
    </w:pPr>
    <w:rPr>
      <w:rFonts w:ascii="Arial" w:hAnsi="Arial" w:eastAsia="Arial" w:cs="Arial"/>
      <w:color w:val="0f4761" w:themeColor="accent1" w:themeShade="BF"/>
    </w:rPr>
  </w:style>
  <w:style w:type="character" w:styleId="901">
    <w:name w:val="Heading 6 Char"/>
    <w:basedOn w:val="943"/>
    <w:link w:val="892"/>
    <w:uiPriority w:val="9"/>
    <w:pPr>
      <w:pBdr/>
      <w:spacing/>
      <w:ind/>
    </w:pPr>
    <w:rPr>
      <w:rFonts w:ascii="Arial" w:hAnsi="Arial" w:eastAsia="Arial" w:cs="Arial"/>
      <w:i/>
      <w:iCs/>
      <w:color w:val="595959" w:themeColor="text1" w:themeTint="A6"/>
    </w:rPr>
  </w:style>
  <w:style w:type="character" w:styleId="902">
    <w:name w:val="Heading 7 Char"/>
    <w:basedOn w:val="943"/>
    <w:link w:val="893"/>
    <w:uiPriority w:val="9"/>
    <w:pPr>
      <w:pBdr/>
      <w:spacing/>
      <w:ind/>
    </w:pPr>
    <w:rPr>
      <w:rFonts w:ascii="Arial" w:hAnsi="Arial" w:eastAsia="Arial" w:cs="Arial"/>
      <w:color w:val="595959" w:themeColor="text1" w:themeTint="A6"/>
    </w:rPr>
  </w:style>
  <w:style w:type="character" w:styleId="903">
    <w:name w:val="Heading 8 Char"/>
    <w:basedOn w:val="943"/>
    <w:link w:val="894"/>
    <w:uiPriority w:val="9"/>
    <w:pPr>
      <w:pBdr/>
      <w:spacing/>
      <w:ind/>
    </w:pPr>
    <w:rPr>
      <w:rFonts w:ascii="Arial" w:hAnsi="Arial" w:eastAsia="Arial" w:cs="Arial"/>
      <w:i/>
      <w:iCs/>
      <w:color w:val="272727" w:themeColor="text1" w:themeTint="D8"/>
    </w:rPr>
  </w:style>
  <w:style w:type="character" w:styleId="904">
    <w:name w:val="Heading 9 Char"/>
    <w:basedOn w:val="943"/>
    <w:link w:val="895"/>
    <w:uiPriority w:val="9"/>
    <w:pPr>
      <w:pBdr/>
      <w:spacing/>
      <w:ind/>
    </w:pPr>
    <w:rPr>
      <w:rFonts w:ascii="Arial" w:hAnsi="Arial" w:eastAsia="Arial" w:cs="Arial"/>
      <w:i/>
      <w:iCs/>
      <w:color w:val="272727" w:themeColor="text1" w:themeTint="D8"/>
    </w:rPr>
  </w:style>
  <w:style w:type="paragraph" w:styleId="905">
    <w:name w:val="Title"/>
    <w:basedOn w:val="940"/>
    <w:next w:val="940"/>
    <w:link w:val="906"/>
    <w:uiPriority w:val="10"/>
    <w:qFormat/>
    <w:pPr>
      <w:pBdr/>
      <w:spacing w:after="80" w:line="240" w:lineRule="auto"/>
      <w:ind/>
      <w:contextualSpacing w:val="true"/>
    </w:pPr>
    <w:rPr>
      <w:rFonts w:ascii="Arial" w:hAnsi="Arial" w:eastAsia="Arial" w:cs="Arial"/>
      <w:spacing w:val="-10"/>
      <w:sz w:val="56"/>
      <w:szCs w:val="56"/>
    </w:rPr>
  </w:style>
  <w:style w:type="character" w:styleId="906">
    <w:name w:val="Title Char"/>
    <w:basedOn w:val="943"/>
    <w:link w:val="905"/>
    <w:uiPriority w:val="10"/>
    <w:pPr>
      <w:pBdr/>
      <w:spacing/>
      <w:ind/>
    </w:pPr>
    <w:rPr>
      <w:rFonts w:ascii="Arial" w:hAnsi="Arial" w:eastAsia="Arial" w:cs="Arial"/>
      <w:spacing w:val="-10"/>
      <w:sz w:val="56"/>
      <w:szCs w:val="56"/>
    </w:rPr>
  </w:style>
  <w:style w:type="paragraph" w:styleId="907">
    <w:name w:val="Subtitle"/>
    <w:basedOn w:val="940"/>
    <w:next w:val="940"/>
    <w:link w:val="908"/>
    <w:uiPriority w:val="11"/>
    <w:qFormat/>
    <w:pPr>
      <w:numPr>
        <w:ilvl w:val="1"/>
      </w:numPr>
      <w:pBdr/>
      <w:spacing/>
      <w:ind/>
    </w:pPr>
    <w:rPr>
      <w:color w:val="595959" w:themeColor="text1" w:themeTint="A6"/>
      <w:spacing w:val="15"/>
      <w:sz w:val="28"/>
      <w:szCs w:val="28"/>
    </w:rPr>
  </w:style>
  <w:style w:type="character" w:styleId="908">
    <w:name w:val="Subtitle Char"/>
    <w:basedOn w:val="943"/>
    <w:link w:val="907"/>
    <w:uiPriority w:val="11"/>
    <w:pPr>
      <w:pBdr/>
      <w:spacing/>
      <w:ind/>
    </w:pPr>
    <w:rPr>
      <w:color w:val="595959" w:themeColor="text1" w:themeTint="A6"/>
      <w:spacing w:val="15"/>
      <w:sz w:val="28"/>
      <w:szCs w:val="28"/>
    </w:rPr>
  </w:style>
  <w:style w:type="paragraph" w:styleId="909">
    <w:name w:val="Quote"/>
    <w:basedOn w:val="940"/>
    <w:next w:val="940"/>
    <w:link w:val="910"/>
    <w:uiPriority w:val="29"/>
    <w:qFormat/>
    <w:pPr>
      <w:pBdr/>
      <w:spacing w:before="160"/>
      <w:ind/>
      <w:jc w:val="center"/>
    </w:pPr>
    <w:rPr>
      <w:i/>
      <w:iCs/>
      <w:color w:val="404040" w:themeColor="text1" w:themeTint="BF"/>
    </w:rPr>
  </w:style>
  <w:style w:type="character" w:styleId="910">
    <w:name w:val="Quote Char"/>
    <w:basedOn w:val="943"/>
    <w:link w:val="909"/>
    <w:uiPriority w:val="29"/>
    <w:pPr>
      <w:pBdr/>
      <w:spacing/>
      <w:ind/>
    </w:pPr>
    <w:rPr>
      <w:i/>
      <w:iCs/>
      <w:color w:val="404040" w:themeColor="text1" w:themeTint="BF"/>
    </w:rPr>
  </w:style>
  <w:style w:type="character" w:styleId="911">
    <w:name w:val="Intense Emphasis"/>
    <w:basedOn w:val="943"/>
    <w:uiPriority w:val="21"/>
    <w:qFormat/>
    <w:pPr>
      <w:pBdr/>
      <w:spacing/>
      <w:ind/>
    </w:pPr>
    <w:rPr>
      <w:i/>
      <w:iCs/>
      <w:color w:val="0f4761" w:themeColor="accent1" w:themeShade="BF"/>
    </w:rPr>
  </w:style>
  <w:style w:type="paragraph" w:styleId="912">
    <w:name w:val="Intense Quote"/>
    <w:basedOn w:val="940"/>
    <w:next w:val="940"/>
    <w:link w:val="91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3">
    <w:name w:val="Intense Quote Char"/>
    <w:basedOn w:val="943"/>
    <w:link w:val="912"/>
    <w:uiPriority w:val="30"/>
    <w:pPr>
      <w:pBdr/>
      <w:spacing/>
      <w:ind/>
    </w:pPr>
    <w:rPr>
      <w:i/>
      <w:iCs/>
      <w:color w:val="0f4761" w:themeColor="accent1" w:themeShade="BF"/>
    </w:rPr>
  </w:style>
  <w:style w:type="character" w:styleId="914">
    <w:name w:val="Intense Reference"/>
    <w:basedOn w:val="943"/>
    <w:uiPriority w:val="32"/>
    <w:qFormat/>
    <w:pPr>
      <w:pBdr/>
      <w:spacing/>
      <w:ind/>
    </w:pPr>
    <w:rPr>
      <w:b/>
      <w:bCs/>
      <w:smallCaps/>
      <w:color w:val="0f4761" w:themeColor="accent1" w:themeShade="BF"/>
      <w:spacing w:val="5"/>
    </w:rPr>
  </w:style>
  <w:style w:type="character" w:styleId="915">
    <w:name w:val="Subtle Emphasis"/>
    <w:basedOn w:val="943"/>
    <w:uiPriority w:val="19"/>
    <w:qFormat/>
    <w:pPr>
      <w:pBdr/>
      <w:spacing/>
      <w:ind/>
    </w:pPr>
    <w:rPr>
      <w:i/>
      <w:iCs/>
      <w:color w:val="404040" w:themeColor="text1" w:themeTint="BF"/>
    </w:rPr>
  </w:style>
  <w:style w:type="character" w:styleId="916">
    <w:name w:val="Emphasis"/>
    <w:basedOn w:val="943"/>
    <w:uiPriority w:val="20"/>
    <w:qFormat/>
    <w:pPr>
      <w:pBdr/>
      <w:spacing/>
      <w:ind/>
    </w:pPr>
    <w:rPr>
      <w:i/>
      <w:iCs/>
    </w:rPr>
  </w:style>
  <w:style w:type="character" w:styleId="917">
    <w:name w:val="Strong"/>
    <w:basedOn w:val="943"/>
    <w:uiPriority w:val="22"/>
    <w:qFormat/>
    <w:pPr>
      <w:pBdr/>
      <w:spacing/>
      <w:ind/>
    </w:pPr>
    <w:rPr>
      <w:b/>
      <w:bCs/>
    </w:rPr>
  </w:style>
  <w:style w:type="character" w:styleId="918">
    <w:name w:val="Subtle Reference"/>
    <w:basedOn w:val="943"/>
    <w:uiPriority w:val="31"/>
    <w:qFormat/>
    <w:pPr>
      <w:pBdr/>
      <w:spacing/>
      <w:ind/>
    </w:pPr>
    <w:rPr>
      <w:smallCaps/>
      <w:color w:val="5a5a5a" w:themeColor="text1" w:themeTint="A5"/>
    </w:rPr>
  </w:style>
  <w:style w:type="character" w:styleId="919">
    <w:name w:val="Book Title"/>
    <w:basedOn w:val="943"/>
    <w:uiPriority w:val="33"/>
    <w:qFormat/>
    <w:pPr>
      <w:pBdr/>
      <w:spacing/>
      <w:ind/>
    </w:pPr>
    <w:rPr>
      <w:b/>
      <w:bCs/>
      <w:i/>
      <w:iCs/>
      <w:spacing w:val="5"/>
    </w:rPr>
  </w:style>
  <w:style w:type="character" w:styleId="920">
    <w:name w:val="Header Char"/>
    <w:basedOn w:val="943"/>
    <w:link w:val="948"/>
    <w:uiPriority w:val="99"/>
    <w:pPr>
      <w:pBdr/>
      <w:spacing/>
      <w:ind/>
    </w:pPr>
  </w:style>
  <w:style w:type="character" w:styleId="921">
    <w:name w:val="Footer Char"/>
    <w:basedOn w:val="943"/>
    <w:link w:val="950"/>
    <w:uiPriority w:val="99"/>
    <w:pPr>
      <w:pBdr/>
      <w:spacing/>
      <w:ind/>
    </w:pPr>
  </w:style>
  <w:style w:type="paragraph" w:styleId="922">
    <w:name w:val="footnote text"/>
    <w:basedOn w:val="940"/>
    <w:link w:val="923"/>
    <w:uiPriority w:val="99"/>
    <w:semiHidden/>
    <w:unhideWhenUsed/>
    <w:pPr>
      <w:pBdr/>
      <w:spacing w:after="0" w:line="240" w:lineRule="auto"/>
      <w:ind/>
    </w:pPr>
    <w:rPr>
      <w:sz w:val="20"/>
      <w:szCs w:val="20"/>
    </w:rPr>
  </w:style>
  <w:style w:type="character" w:styleId="923">
    <w:name w:val="Footnote Text Char"/>
    <w:basedOn w:val="943"/>
    <w:link w:val="922"/>
    <w:uiPriority w:val="99"/>
    <w:semiHidden/>
    <w:pPr>
      <w:pBdr/>
      <w:spacing/>
      <w:ind/>
    </w:pPr>
    <w:rPr>
      <w:sz w:val="20"/>
      <w:szCs w:val="20"/>
    </w:rPr>
  </w:style>
  <w:style w:type="character" w:styleId="924">
    <w:name w:val="footnote reference"/>
    <w:basedOn w:val="943"/>
    <w:uiPriority w:val="99"/>
    <w:semiHidden/>
    <w:unhideWhenUsed/>
    <w:pPr>
      <w:pBdr/>
      <w:spacing/>
      <w:ind/>
    </w:pPr>
    <w:rPr>
      <w:vertAlign w:val="superscript"/>
    </w:rPr>
  </w:style>
  <w:style w:type="paragraph" w:styleId="925">
    <w:name w:val="endnote text"/>
    <w:basedOn w:val="940"/>
    <w:link w:val="926"/>
    <w:uiPriority w:val="99"/>
    <w:semiHidden/>
    <w:unhideWhenUsed/>
    <w:pPr>
      <w:pBdr/>
      <w:spacing w:after="0" w:line="240" w:lineRule="auto"/>
      <w:ind/>
    </w:pPr>
    <w:rPr>
      <w:sz w:val="20"/>
      <w:szCs w:val="20"/>
    </w:rPr>
  </w:style>
  <w:style w:type="character" w:styleId="926">
    <w:name w:val="Endnote Text Char"/>
    <w:basedOn w:val="943"/>
    <w:link w:val="925"/>
    <w:uiPriority w:val="99"/>
    <w:semiHidden/>
    <w:pPr>
      <w:pBdr/>
      <w:spacing/>
      <w:ind/>
    </w:pPr>
    <w:rPr>
      <w:sz w:val="20"/>
      <w:szCs w:val="20"/>
    </w:rPr>
  </w:style>
  <w:style w:type="character" w:styleId="927">
    <w:name w:val="endnote reference"/>
    <w:basedOn w:val="943"/>
    <w:uiPriority w:val="99"/>
    <w:semiHidden/>
    <w:unhideWhenUsed/>
    <w:pPr>
      <w:pBdr/>
      <w:spacing/>
      <w:ind/>
    </w:pPr>
    <w:rPr>
      <w:vertAlign w:val="superscript"/>
    </w:rPr>
  </w:style>
  <w:style w:type="character" w:styleId="928">
    <w:name w:val="FollowedHyperlink"/>
    <w:basedOn w:val="943"/>
    <w:uiPriority w:val="99"/>
    <w:semiHidden/>
    <w:unhideWhenUsed/>
    <w:pPr>
      <w:pBdr/>
      <w:spacing/>
      <w:ind/>
    </w:pPr>
    <w:rPr>
      <w:color w:val="954f72" w:themeColor="followedHyperlink"/>
      <w:u w:val="single"/>
    </w:rPr>
  </w:style>
  <w:style w:type="paragraph" w:styleId="929">
    <w:name w:val="toc 1"/>
    <w:basedOn w:val="940"/>
    <w:next w:val="940"/>
    <w:uiPriority w:val="39"/>
    <w:unhideWhenUsed/>
    <w:pPr>
      <w:pBdr/>
      <w:spacing w:after="100"/>
      <w:ind/>
    </w:pPr>
  </w:style>
  <w:style w:type="paragraph" w:styleId="930">
    <w:name w:val="toc 2"/>
    <w:basedOn w:val="940"/>
    <w:next w:val="940"/>
    <w:uiPriority w:val="39"/>
    <w:unhideWhenUsed/>
    <w:pPr>
      <w:pBdr/>
      <w:spacing w:after="100"/>
      <w:ind w:left="220"/>
    </w:pPr>
  </w:style>
  <w:style w:type="paragraph" w:styleId="931">
    <w:name w:val="toc 3"/>
    <w:basedOn w:val="940"/>
    <w:next w:val="940"/>
    <w:uiPriority w:val="39"/>
    <w:unhideWhenUsed/>
    <w:pPr>
      <w:pBdr/>
      <w:spacing w:after="100"/>
      <w:ind w:left="440"/>
    </w:pPr>
  </w:style>
  <w:style w:type="paragraph" w:styleId="932">
    <w:name w:val="toc 4"/>
    <w:basedOn w:val="940"/>
    <w:next w:val="940"/>
    <w:uiPriority w:val="39"/>
    <w:unhideWhenUsed/>
    <w:pPr>
      <w:pBdr/>
      <w:spacing w:after="100"/>
      <w:ind w:left="660"/>
    </w:pPr>
  </w:style>
  <w:style w:type="paragraph" w:styleId="933">
    <w:name w:val="toc 5"/>
    <w:basedOn w:val="940"/>
    <w:next w:val="940"/>
    <w:uiPriority w:val="39"/>
    <w:unhideWhenUsed/>
    <w:pPr>
      <w:pBdr/>
      <w:spacing w:after="100"/>
      <w:ind w:left="880"/>
    </w:pPr>
  </w:style>
  <w:style w:type="paragraph" w:styleId="934">
    <w:name w:val="toc 6"/>
    <w:basedOn w:val="940"/>
    <w:next w:val="940"/>
    <w:uiPriority w:val="39"/>
    <w:unhideWhenUsed/>
    <w:pPr>
      <w:pBdr/>
      <w:spacing w:after="100"/>
      <w:ind w:left="1100"/>
    </w:pPr>
  </w:style>
  <w:style w:type="paragraph" w:styleId="935">
    <w:name w:val="toc 7"/>
    <w:basedOn w:val="940"/>
    <w:next w:val="940"/>
    <w:uiPriority w:val="39"/>
    <w:unhideWhenUsed/>
    <w:pPr>
      <w:pBdr/>
      <w:spacing w:after="100"/>
      <w:ind w:left="1320"/>
    </w:pPr>
  </w:style>
  <w:style w:type="paragraph" w:styleId="936">
    <w:name w:val="toc 8"/>
    <w:basedOn w:val="940"/>
    <w:next w:val="940"/>
    <w:uiPriority w:val="39"/>
    <w:unhideWhenUsed/>
    <w:pPr>
      <w:pBdr/>
      <w:spacing w:after="100"/>
      <w:ind w:left="1540"/>
    </w:pPr>
  </w:style>
  <w:style w:type="paragraph" w:styleId="937">
    <w:name w:val="toc 9"/>
    <w:basedOn w:val="940"/>
    <w:next w:val="940"/>
    <w:uiPriority w:val="39"/>
    <w:unhideWhenUsed/>
    <w:pPr>
      <w:pBdr/>
      <w:spacing w:after="100"/>
      <w:ind w:left="1760"/>
    </w:pPr>
  </w:style>
  <w:style w:type="paragraph" w:styleId="938">
    <w:name w:val="TOC Heading"/>
    <w:uiPriority w:val="39"/>
    <w:unhideWhenUsed/>
    <w:pPr>
      <w:pBdr/>
      <w:spacing/>
      <w:ind/>
    </w:pPr>
  </w:style>
  <w:style w:type="paragraph" w:styleId="939">
    <w:name w:val="table of figures"/>
    <w:basedOn w:val="940"/>
    <w:next w:val="940"/>
    <w:uiPriority w:val="99"/>
    <w:unhideWhenUsed/>
    <w:pPr>
      <w:pBdr/>
      <w:spacing w:after="0" w:afterAutospacing="0"/>
      <w:ind/>
    </w:pPr>
  </w:style>
  <w:style w:type="paragraph" w:styleId="940" w:default="1">
    <w:name w:val="Normal"/>
    <w:qFormat/>
    <w:pPr>
      <w:pBdr/>
      <w:spacing/>
      <w:ind/>
    </w:pPr>
    <w:rPr>
      <w:lang w:val="es-MX"/>
    </w:rPr>
  </w:style>
  <w:style w:type="paragraph" w:styleId="941">
    <w:name w:val="Heading 1"/>
    <w:basedOn w:val="940"/>
    <w:next w:val="940"/>
    <w:link w:val="952"/>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42">
    <w:name w:val="Heading 2"/>
    <w:basedOn w:val="940"/>
    <w:next w:val="940"/>
    <w:link w:val="957"/>
    <w:uiPriority w:val="9"/>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character" w:styleId="943" w:default="1">
    <w:name w:val="Default Paragraph Font"/>
    <w:uiPriority w:val="1"/>
    <w:semiHidden/>
    <w:unhideWhenUsed/>
    <w:pPr>
      <w:pBdr/>
      <w:spacing/>
      <w:ind/>
    </w:pPr>
  </w:style>
  <w:style w:type="table" w:styleId="94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5" w:default="1">
    <w:name w:val="No List"/>
    <w:uiPriority w:val="99"/>
    <w:semiHidden/>
    <w:unhideWhenUsed/>
    <w:pPr>
      <w:pBdr/>
      <w:spacing/>
      <w:ind/>
    </w:pPr>
  </w:style>
  <w:style w:type="paragraph" w:styleId="946">
    <w:name w:val="No Spacing"/>
    <w:link w:val="947"/>
    <w:uiPriority w:val="1"/>
    <w:qFormat/>
    <w:pPr>
      <w:pBdr/>
      <w:spacing w:after="0" w:line="240" w:lineRule="auto"/>
      <w:ind/>
    </w:pPr>
    <w:rPr>
      <w:rFonts w:eastAsiaTheme="minorEastAsia"/>
      <w:lang w:val="es-MX" w:eastAsia="es-MX"/>
    </w:rPr>
  </w:style>
  <w:style w:type="character" w:styleId="947" w:customStyle="1">
    <w:name w:val="Sin espaciado Car"/>
    <w:basedOn w:val="943"/>
    <w:link w:val="946"/>
    <w:uiPriority w:val="1"/>
    <w:pPr>
      <w:pBdr/>
      <w:spacing/>
      <w:ind/>
    </w:pPr>
    <w:rPr>
      <w:rFonts w:eastAsiaTheme="minorEastAsia"/>
      <w:lang w:val="es-MX" w:eastAsia="es-MX"/>
    </w:rPr>
  </w:style>
  <w:style w:type="paragraph" w:styleId="948">
    <w:name w:val="Header"/>
    <w:basedOn w:val="940"/>
    <w:link w:val="949"/>
    <w:uiPriority w:val="99"/>
    <w:unhideWhenUsed/>
    <w:pPr>
      <w:pBdr/>
      <w:tabs>
        <w:tab w:val="center" w:leader="none" w:pos="4252"/>
        <w:tab w:val="right" w:leader="none" w:pos="8504"/>
      </w:tabs>
      <w:spacing w:after="0" w:line="240" w:lineRule="auto"/>
      <w:ind/>
    </w:pPr>
  </w:style>
  <w:style w:type="character" w:styleId="949" w:customStyle="1">
    <w:name w:val="Encabezado Car"/>
    <w:basedOn w:val="943"/>
    <w:link w:val="948"/>
    <w:uiPriority w:val="99"/>
    <w:pPr>
      <w:pBdr/>
      <w:spacing/>
      <w:ind/>
    </w:pPr>
    <w:rPr>
      <w:lang w:val="es-MX"/>
    </w:rPr>
  </w:style>
  <w:style w:type="paragraph" w:styleId="950">
    <w:name w:val="Footer"/>
    <w:basedOn w:val="940"/>
    <w:link w:val="951"/>
    <w:uiPriority w:val="99"/>
    <w:unhideWhenUsed/>
    <w:pPr>
      <w:pBdr/>
      <w:tabs>
        <w:tab w:val="center" w:leader="none" w:pos="4252"/>
        <w:tab w:val="right" w:leader="none" w:pos="8504"/>
      </w:tabs>
      <w:spacing w:after="0" w:line="240" w:lineRule="auto"/>
      <w:ind/>
    </w:pPr>
  </w:style>
  <w:style w:type="character" w:styleId="951" w:customStyle="1">
    <w:name w:val="Pie de página Car"/>
    <w:basedOn w:val="943"/>
    <w:link w:val="950"/>
    <w:uiPriority w:val="99"/>
    <w:pPr>
      <w:pBdr/>
      <w:spacing/>
      <w:ind/>
    </w:pPr>
    <w:rPr>
      <w:lang w:val="es-MX"/>
    </w:rPr>
  </w:style>
  <w:style w:type="character" w:styleId="952" w:customStyle="1">
    <w:name w:val="Título 1 Car"/>
    <w:basedOn w:val="943"/>
    <w:link w:val="941"/>
    <w:uiPriority w:val="9"/>
    <w:pPr>
      <w:pBdr/>
      <w:spacing/>
      <w:ind/>
    </w:pPr>
    <w:rPr>
      <w:rFonts w:asciiTheme="majorHAnsi" w:hAnsiTheme="majorHAnsi" w:eastAsiaTheme="majorEastAsia" w:cstheme="majorBidi"/>
      <w:color w:val="2f5496" w:themeColor="accent1" w:themeShade="BF"/>
      <w:sz w:val="32"/>
      <w:szCs w:val="32"/>
      <w:lang w:val="es-MX"/>
    </w:rPr>
  </w:style>
  <w:style w:type="character" w:styleId="953">
    <w:name w:val="Hyperlink"/>
    <w:basedOn w:val="943"/>
    <w:uiPriority w:val="99"/>
    <w:unhideWhenUsed/>
    <w:pPr>
      <w:pBdr/>
      <w:spacing/>
      <w:ind/>
    </w:pPr>
    <w:rPr>
      <w:color w:val="0563c1" w:themeColor="hyperlink"/>
      <w:u w:val="single"/>
    </w:rPr>
  </w:style>
  <w:style w:type="character" w:styleId="954">
    <w:name w:val="Unresolved Mention"/>
    <w:basedOn w:val="943"/>
    <w:uiPriority w:val="99"/>
    <w:semiHidden/>
    <w:unhideWhenUsed/>
    <w:pPr>
      <w:pBdr/>
      <w:spacing/>
      <w:ind/>
    </w:pPr>
    <w:rPr>
      <w:color w:val="605e5c"/>
      <w:shd w:val="clear" w:color="auto" w:fill="e1dfdd"/>
    </w:rPr>
  </w:style>
  <w:style w:type="paragraph" w:styleId="955" w:customStyle="1">
    <w:name w:val="IEEE Reference Item"/>
    <w:basedOn w:val="940"/>
    <w:uiPriority w:val="1"/>
    <w:pPr>
      <w:pBdr/>
      <w:spacing/>
      <w:ind w:hanging="432" w:left="432"/>
      <w:jc w:val="both"/>
    </w:pPr>
    <w:rPr>
      <w:rFonts w:ascii="Times New Roman" w:hAnsi="Times New Roman" w:eastAsia="SimSun" w:cs="Times New Roman"/>
      <w:sz w:val="16"/>
      <w:szCs w:val="16"/>
      <w:lang w:val="en-US" w:eastAsia="zh-CN"/>
    </w:rPr>
  </w:style>
  <w:style w:type="paragraph" w:styleId="956">
    <w:name w:val="Caption"/>
    <w:basedOn w:val="940"/>
    <w:next w:val="940"/>
    <w:uiPriority w:val="35"/>
    <w:unhideWhenUsed/>
    <w:qFormat/>
    <w:pPr>
      <w:pBdr/>
      <w:spacing w:after="200" w:line="240" w:lineRule="auto"/>
      <w:ind/>
    </w:pPr>
    <w:rPr>
      <w:i/>
      <w:iCs/>
      <w:color w:val="44546a" w:themeColor="text2"/>
      <w:sz w:val="18"/>
      <w:szCs w:val="18"/>
    </w:rPr>
  </w:style>
  <w:style w:type="character" w:styleId="957" w:customStyle="1">
    <w:name w:val="Título 2 Car"/>
    <w:basedOn w:val="943"/>
    <w:link w:val="942"/>
    <w:uiPriority w:val="9"/>
    <w:pPr>
      <w:pBdr/>
      <w:spacing/>
      <w:ind/>
    </w:pPr>
    <w:rPr>
      <w:rFonts w:asciiTheme="majorHAnsi" w:hAnsiTheme="majorHAnsi" w:eastAsiaTheme="majorEastAsia" w:cstheme="majorBidi"/>
      <w:color w:val="2f5496" w:themeColor="accent1" w:themeShade="BF"/>
      <w:sz w:val="32"/>
      <w:szCs w:val="32"/>
      <w:lang w:val="es-MX"/>
    </w:rPr>
  </w:style>
  <w:style w:type="paragraph" w:styleId="958">
    <w:name w:val="List Paragraph"/>
    <w:basedOn w:val="940"/>
    <w:uiPriority w:val="34"/>
    <w:qFormat/>
    <w:pPr>
      <w:pBdr/>
      <w:spacing/>
      <w:ind w:left="720"/>
      <w:contextualSpacing w:val="true"/>
    </w:pPr>
  </w:style>
  <w:style w:type="table" w:styleId="959">
    <w:name w:val="Table Grid"/>
    <w:basedOn w:val="944"/>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hyperlink" Target="https://mexico.unir.net/noticias/derecho/derechos-digitales/" TargetMode="External"/><Relationship Id="rId15" Type="http://schemas.openxmlformats.org/officeDocument/2006/relationships/hyperlink" Target="https://micrositios.inai.org.mx/marcocompetencias/?page_id=370" TargetMode="External"/><Relationship Id="rId16" Type="http://schemas.openxmlformats.org/officeDocument/2006/relationships/hyperlink" Target="https://www.revistas.unam.mx/index.php/rfdm/article/view/85422" TargetMode="External"/><Relationship Id="rId17" Type="http://schemas.openxmlformats.org/officeDocument/2006/relationships/hyperlink" Target="https://catalogonacional.gob.mx/FichaRegulacionid?regulacionId=5673" TargetMode="External"/><Relationship Id="rId18" Type="http://schemas.openxmlformats.org/officeDocument/2006/relationships/hyperlink" Target="https://www.scielo.org.mx/pdf/cys/v18n2/v18n2a15.pdf" TargetMode="External"/><Relationship Id="rId19" Type="http://schemas.openxmlformats.org/officeDocument/2006/relationships/hyperlink" Target="https://mexico.justia.com/derecho-de-la-propiedad-intelectual/" TargetMode="External"/><Relationship Id="rId20" Type="http://schemas.openxmlformats.org/officeDocument/2006/relationships/hyperlink" Target="https://catalogonacional.gob.mx/FichaRegulacionid?regulacionId=5562" TargetMode="External"/><Relationship Id="rId21" Type="http://schemas.openxmlformats.org/officeDocument/2006/relationships/hyperlink" Target="https://facturama.mx/blog/que-significa/lfiel-ley-de-firma-electronica/" TargetMode="External"/><Relationship Id="rId22" Type="http://schemas.openxmlformats.org/officeDocument/2006/relationships/hyperlink" Target="https://www.eleconomista.com.mx/politica/Principales-escandalos-de-corrupcion-documentados-por-la-ASF-20210228-0002.html" TargetMode="External"/><Relationship Id="rId23" Type="http://schemas.openxmlformats.org/officeDocument/2006/relationships/hyperlink" Target="https://panel.animalpolitico.com/estafa-maestra/auditor-si-es-fraude.html" TargetMode="External"/><Relationship Id="rId24" Type="http://schemas.openxmlformats.org/officeDocument/2006/relationships/hyperlink" Target="https://www.ey.com/es_mx/insights/assurance/preventing-and-detecting-fraud-how-to-strengthen-the-roles-of-companies-auditors-and-regulators" TargetMode="External"/><Relationship Id="rId25" Type="http://schemas.openxmlformats.org/officeDocument/2006/relationships/hyperlink" Target="https://www.elfinanciero.com.mx/economia/claves-para-entender-el-fraude-de-oceanografia-a-banamex/" TargetMode="External"/><Relationship Id="rId26" Type="http://schemas.openxmlformats.org/officeDocument/2006/relationships/hyperlink" Target="https://laverdadnoticias.com/economia/oceanografia-y-banamex-el-escandalo-que-marco-a-mexico-y-sigue-vigente-20241116" TargetMode="External"/><Relationship Id="rId27" Type="http://schemas.openxmlformats.org/officeDocument/2006/relationships/hyperlink" Target="https://www.theiia.org/globalassets/documents/resources/fraud-and-internal-audit-assurance-over-fraud-controls-fundamental-to-success-april-2019/fraud-and-internal-audit-spanish.pdf"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Docente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ONLYOFFICE/8.3.1.25</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Juan Carlos Sánchez Gaytán</dc:creator>
  <cp:keywords/>
  <dc:description/>
  <cp:revision>6</cp:revision>
  <dcterms:created xsi:type="dcterms:W3CDTF">2025-03-04T05:59:00Z</dcterms:created>
  <dcterms:modified xsi:type="dcterms:W3CDTF">2025-03-10T16:33:49Z</dcterms:modified>
</cp:coreProperties>
</file>