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Astro-Seek Dashboard Design Brainstorm</w:t>
      </w:r>
    </w:p>
    <w:p>
      <w:pPr>
        <w:pStyle w:val="Heading2"/>
        <w:pStyle w:val="MdHeading2"/>
      </w:pPr>
      <w:r>
        <w:t xml:space="preserve">Response 1: Celestial Minimalism</w:t>
      </w:r>
    </w:p>
    <w:p>
      <w:pPr>
        <w:pStyle w:val="MdParagraph"/>
      </w:pPr>
      <w:r>
        <w:rPr>
          <w:rStyle w:val="MdStrong"/>
          <w:b/>
          <w:bCs/>
        </w:rPr>
        <w:t xml:space="preserve">Design Movement:</w:t>
      </w:r>
      <w:r>
        <w:t xml:space="preserve"> Contemporary Astronomical Visualization</w:t>
      </w:r>
      <w:r>
        <w:rPr>
          <w:rStyle w:val="MdBr"/>
        </w:rPr>
        <w:br/>
        <w:t xml:space="preserve"/>
      </w:r>
      <w:r>
        <w:rPr>
          <w:rStyle w:val="MdStrong"/>
          <w:b/>
          <w:bCs/>
        </w:rPr>
        <w:t xml:space="preserve">Probability:</w:t>
      </w:r>
      <w:r>
        <w:t xml:space="preserve"> 0.08</w:t>
      </w:r>
    </w:p>
    <w:p>
      <w:pPr>
        <w:pStyle w:val="MdSpace"/>
        <w:spacing w:before="0" w:after="60"/>
      </w:pPr>
    </w:p>
    <w:p>
      <w:pPr>
        <w:pStyle w:val="MdParagraph"/>
      </w:pPr>
      <w:r>
        <w:rPr>
          <w:rStyle w:val="MdStrong"/>
          <w:b/>
          <w:bCs/>
        </w:rPr>
        <w:t xml:space="preserve">Core Principles:</w:t>
      </w:r>
    </w:p>
    <w:p>
      <w:pPr>
        <w:pStyle w:val="MdListItem"/>
        <w:numPr>
          <w:ilvl w:val="0"/>
          <w:numId w:val="2"/>
        </w:numPr>
      </w:pPr>
      <w:r>
        <w:t xml:space="preserve">Deep space aesthetics with constellation-inspired layouts</w:t>
      </w:r>
    </w:p>
    <w:p>
      <w:pPr>
        <w:pStyle w:val="MdListItem"/>
        <w:numPr>
          <w:ilvl w:val="0"/>
          <w:numId w:val="2"/>
        </w:numPr>
      </w:pPr>
      <w:r>
        <w:t xml:space="preserve">Hierarchical information architecture with celestial typography</w:t>
      </w:r>
    </w:p>
    <w:p>
      <w:pPr>
        <w:pStyle w:val="MdListItem"/>
        <w:numPr>
          <w:ilvl w:val="0"/>
          <w:numId w:val="2"/>
        </w:numPr>
      </w:pPr>
      <w:r>
        <w:t xml:space="preserve">Emphasis on data clarity through cosmic visual metaphors</w:t>
      </w:r>
    </w:p>
    <w:p>
      <w:pPr>
        <w:pStyle w:val="MdListItem"/>
        <w:numPr>
          <w:ilvl w:val="0"/>
          <w:numId w:val="2"/>
        </w:numPr>
      </w:pPr>
      <w:r>
        <w:t xml:space="preserve">Subtle animations mimicking orbital mechanics</w:t>
      </w:r>
    </w:p>
    <w:p>
      <w:pPr>
        <w:pStyle w:val="MdSpace"/>
        <w:spacing w:before="0" w:after="60"/>
      </w:pPr>
    </w:p>
    <w:p>
      <w:pPr>
        <w:pStyle w:val="MdParagraph"/>
      </w:pPr>
      <w:r>
        <w:rPr>
          <w:rStyle w:val="MdStrong"/>
          <w:b/>
          <w:bCs/>
        </w:rPr>
        <w:t xml:space="preserve">Color Philosophy:</w:t>
      </w:r>
    </w:p>
    <w:p>
      <w:pPr>
        <w:pStyle w:val="MdListItem"/>
        <w:numPr>
          <w:ilvl w:val="0"/>
          <w:numId w:val="2"/>
        </w:numPr>
      </w:pPr>
      <w:r>
        <w:t xml:space="preserve">Primary palette: Deep indigo (#1a1f3a), cosmic purple (#2d1b4e), stellar gold (#d4af37)</w:t>
      </w:r>
    </w:p>
    <w:p>
      <w:pPr>
        <w:pStyle w:val="MdListItem"/>
        <w:numPr>
          <w:ilvl w:val="0"/>
          <w:numId w:val="2"/>
        </w:numPr>
      </w:pPr>
      <w:r>
        <w:t xml:space="preserve">Rationale: Creates an immersive nocturnal environment that reflects astrological traditions while maintaining modern readability</w:t>
      </w:r>
    </w:p>
    <w:p>
      <w:pPr>
        <w:pStyle w:val="MdListItem"/>
        <w:numPr>
          <w:ilvl w:val="0"/>
          <w:numId w:val="2"/>
        </w:numPr>
      </w:pPr>
      <w:r>
        <w:t xml:space="preserve">Accent: Soft cyan (#00d9ff) for interactive elements and aspect highlights</w:t>
      </w:r>
    </w:p>
    <w:p>
      <w:pPr>
        <w:pStyle w:val="MdSpace"/>
        <w:spacing w:before="0" w:after="60"/>
      </w:pPr>
    </w:p>
    <w:p>
      <w:pPr>
        <w:pStyle w:val="MdParagraph"/>
      </w:pPr>
      <w:r>
        <w:rPr>
          <w:rStyle w:val="MdStrong"/>
          <w:b/>
          <w:bCs/>
        </w:rPr>
        <w:t xml:space="preserve">Layout Paradigm:</w:t>
      </w:r>
    </w:p>
    <w:p>
      <w:pPr>
        <w:pStyle w:val="MdListItem"/>
        <w:numPr>
          <w:ilvl w:val="0"/>
          <w:numId w:val="2"/>
        </w:numPr>
      </w:pPr>
      <w:r>
        <w:t xml:space="preserve">Radial/circular layouts for calendar views with constellation backgrounds</w:t>
      </w:r>
    </w:p>
    <w:p>
      <w:pPr>
        <w:pStyle w:val="MdListItem"/>
        <w:numPr>
          <w:ilvl w:val="0"/>
          <w:numId w:val="2"/>
        </w:numPr>
      </w:pPr>
      <w:r>
        <w:t xml:space="preserve">Asymmetric card arrangements representing planetary positions</w:t>
      </w:r>
    </w:p>
    <w:p>
      <w:pPr>
        <w:pStyle w:val="MdListItem"/>
        <w:numPr>
          <w:ilvl w:val="0"/>
          <w:numId w:val="2"/>
        </w:numPr>
      </w:pPr>
      <w:r>
        <w:t xml:space="preserve">Timeline visualization with orbital curves instead of straight lines</w:t>
      </w:r>
    </w:p>
    <w:p>
      <w:pPr>
        <w:pStyle w:val="MdSpace"/>
        <w:spacing w:before="0" w:after="60"/>
      </w:pPr>
    </w:p>
    <w:p>
      <w:pPr>
        <w:pStyle w:val="MdParagraph"/>
      </w:pPr>
      <w:r>
        <w:rPr>
          <w:rStyle w:val="MdStrong"/>
          <w:b/>
          <w:bCs/>
        </w:rPr>
        <w:t xml:space="preserve">Signature Elements:</w:t>
      </w:r>
    </w:p>
    <w:p>
      <w:pPr>
        <w:pStyle w:val="MdListItem"/>
        <w:numPr>
          <w:ilvl w:val="0"/>
          <w:numId w:val="2"/>
        </w:numPr>
      </w:pPr>
      <w:r>
        <w:t xml:space="preserve">Animated constellation patterns as background textures</w:t>
      </w:r>
    </w:p>
    <w:p>
      <w:pPr>
        <w:pStyle w:val="MdListItem"/>
        <w:numPr>
          <w:ilvl w:val="0"/>
          <w:numId w:val="2"/>
        </w:numPr>
      </w:pPr>
      <w:r>
        <w:t xml:space="preserve">Glowing orb indicators for celestial bodies</w:t>
      </w:r>
    </w:p>
    <w:p>
      <w:pPr>
        <w:pStyle w:val="MdListItem"/>
        <w:numPr>
          <w:ilvl w:val="0"/>
          <w:numId w:val="2"/>
        </w:numPr>
      </w:pPr>
      <w:r>
        <w:t xml:space="preserve">Aspect connection lines with gradient strokes</w:t>
      </w:r>
    </w:p>
    <w:p>
      <w:pPr>
        <w:pStyle w:val="MdSpace"/>
        <w:spacing w:before="0" w:after="60"/>
      </w:pPr>
    </w:p>
    <w:p>
      <w:pPr>
        <w:pStyle w:val="MdParagraph"/>
      </w:pPr>
      <w:r>
        <w:rPr>
          <w:rStyle w:val="MdStrong"/>
          <w:b/>
          <w:bCs/>
        </w:rPr>
        <w:t xml:space="preserve">Interaction Philosophy:</w:t>
      </w:r>
    </w:p>
    <w:p>
      <w:pPr>
        <w:pStyle w:val="MdListItem"/>
        <w:numPr>
          <w:ilvl w:val="0"/>
          <w:numId w:val="2"/>
        </w:numPr>
      </w:pPr>
      <w:r>
        <w:t xml:space="preserve">Hover reveals detailed aspect information with smooth reveal animations</w:t>
      </w:r>
    </w:p>
    <w:p>
      <w:pPr>
        <w:pStyle w:val="MdListItem"/>
        <w:numPr>
          <w:ilvl w:val="0"/>
          <w:numId w:val="2"/>
        </w:numPr>
      </w:pPr>
      <w:r>
        <w:t xml:space="preserve">Click to explore deeper synastry relationships</w:t>
      </w:r>
    </w:p>
    <w:p>
      <w:pPr>
        <w:pStyle w:val="MdListItem"/>
        <w:numPr>
          <w:ilvl w:val="0"/>
          <w:numId w:val="2"/>
        </w:numPr>
      </w:pPr>
      <w:r>
        <w:t xml:space="preserve">Smooth transitions between calendar views and detailed interpretations</w:t>
      </w:r>
    </w:p>
    <w:p>
      <w:pPr>
        <w:pStyle w:val="MdSpace"/>
        <w:spacing w:before="0" w:after="60"/>
      </w:pPr>
    </w:p>
    <w:p>
      <w:pPr>
        <w:pStyle w:val="MdParagraph"/>
      </w:pPr>
      <w:r>
        <w:rPr>
          <w:rStyle w:val="MdStrong"/>
          <w:b/>
          <w:bCs/>
        </w:rPr>
        <w:t xml:space="preserve">Animation:</w:t>
      </w:r>
    </w:p>
    <w:p>
      <w:pPr>
        <w:pStyle w:val="MdListItem"/>
        <w:numPr>
          <w:ilvl w:val="0"/>
          <w:numId w:val="2"/>
        </w:numPr>
      </w:pPr>
      <w:r>
        <w:t xml:space="preserve">Subtle orbital rotations on background elements (3-5 second cycles)</w:t>
      </w:r>
    </w:p>
    <w:p>
      <w:pPr>
        <w:pStyle w:val="MdListItem"/>
        <w:numPr>
          <w:ilvl w:val="0"/>
          <w:numId w:val="2"/>
        </w:numPr>
      </w:pPr>
      <w:r>
        <w:t xml:space="preserve">Glow pulse effects on active celestial bodies (2 second rhythm)</w:t>
      </w:r>
    </w:p>
    <w:p>
      <w:pPr>
        <w:pStyle w:val="MdListItem"/>
        <w:numPr>
          <w:ilvl w:val="0"/>
          <w:numId w:val="2"/>
        </w:numPr>
      </w:pPr>
      <w:r>
        <w:t xml:space="preserve">Smooth fade-in for cards on scroll (300ms ease-out)</w:t>
      </w:r>
    </w:p>
    <w:p>
      <w:pPr>
        <w:pStyle w:val="MdListItem"/>
        <w:numPr>
          <w:ilvl w:val="0"/>
          <w:numId w:val="2"/>
        </w:numPr>
      </w:pPr>
      <w:r>
        <w:t xml:space="preserve">Constellation lines animate in on page load (staggered 50ms intervals)</w:t>
      </w:r>
    </w:p>
    <w:p>
      <w:pPr>
        <w:pStyle w:val="MdSpace"/>
        <w:spacing w:before="0" w:after="60"/>
      </w:pPr>
    </w:p>
    <w:p>
      <w:pPr>
        <w:pStyle w:val="MdParagraph"/>
      </w:pPr>
      <w:r>
        <w:rPr>
          <w:rStyle w:val="MdStrong"/>
          <w:b/>
          <w:bCs/>
        </w:rPr>
        <w:t xml:space="preserve">Typography System:</w:t>
      </w:r>
    </w:p>
    <w:p>
      <w:pPr>
        <w:pStyle w:val="MdListItem"/>
        <w:numPr>
          <w:ilvl w:val="0"/>
          <w:numId w:val="2"/>
        </w:numPr>
      </w:pPr>
      <w:r>
        <w:t xml:space="preserve">Display: Playfair Display for headers (elegant, serif, astrological authority)</w:t>
      </w:r>
    </w:p>
    <w:p>
      <w:pPr>
        <w:pStyle w:val="MdListItem"/>
        <w:numPr>
          <w:ilvl w:val="0"/>
          <w:numId w:val="2"/>
        </w:numPr>
      </w:pPr>
      <w:r>
        <w:t xml:space="preserve">Body: Inter for content (clean, modern readability)</w:t>
      </w:r>
    </w:p>
    <w:p>
      <w:pPr>
        <w:pStyle w:val="MdListItem"/>
        <w:numPr>
          <w:ilvl w:val="0"/>
          <w:numId w:val="2"/>
        </w:numPr>
      </w:pPr>
      <w:r>
        <w:t xml:space="preserve">Accent: Courier Prime for technical aspect data (monospace, scientific feel)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Response 2: Modernist Data Visualization</w:t>
      </w:r>
    </w:p>
    <w:p>
      <w:pPr>
        <w:pStyle w:val="MdParagraph"/>
      </w:pPr>
      <w:r>
        <w:rPr>
          <w:rStyle w:val="MdStrong"/>
          <w:b/>
          <w:bCs/>
        </w:rPr>
        <w:t xml:space="preserve">Design Movement:</w:t>
      </w:r>
      <w:r>
        <w:t xml:space="preserve"> Swiss Design meets Data Science</w:t>
      </w:r>
      <w:r>
        <w:rPr>
          <w:rStyle w:val="MdBr"/>
        </w:rPr>
        <w:br/>
        <w:t xml:space="preserve"/>
      </w:r>
      <w:r>
        <w:rPr>
          <w:rStyle w:val="MdStrong"/>
          <w:b/>
          <w:bCs/>
        </w:rPr>
        <w:t xml:space="preserve">Probability:</w:t>
      </w:r>
      <w:r>
        <w:t xml:space="preserve"> 0.07</w:t>
      </w:r>
    </w:p>
    <w:p>
      <w:pPr>
        <w:pStyle w:val="MdSpace"/>
        <w:spacing w:before="0" w:after="60"/>
      </w:pPr>
    </w:p>
    <w:p>
      <w:pPr>
        <w:pStyle w:val="MdParagraph"/>
      </w:pPr>
      <w:r>
        <w:rPr>
          <w:rStyle w:val="MdStrong"/>
          <w:b/>
          <w:bCs/>
        </w:rPr>
        <w:t xml:space="preserve">Core Principles:</w:t>
      </w:r>
    </w:p>
    <w:p>
      <w:pPr>
        <w:pStyle w:val="MdListItem"/>
        <w:numPr>
          <w:ilvl w:val="0"/>
          <w:numId w:val="2"/>
        </w:numPr>
      </w:pPr>
      <w:r>
        <w:t xml:space="preserve">Grid-based structure with strict typographic hierarchy</w:t>
      </w:r>
    </w:p>
    <w:p>
      <w:pPr>
        <w:pStyle w:val="MdListItem"/>
        <w:numPr>
          <w:ilvl w:val="0"/>
          <w:numId w:val="2"/>
        </w:numPr>
      </w:pPr>
      <w:r>
        <w:t xml:space="preserve">Information density balanced with breathing room</w:t>
      </w:r>
    </w:p>
    <w:p>
      <w:pPr>
        <w:pStyle w:val="MdListItem"/>
        <w:numPr>
          <w:ilvl w:val="0"/>
          <w:numId w:val="2"/>
        </w:numPr>
      </w:pPr>
      <w:r>
        <w:t xml:space="preserve">Functional beauty through precise data presentation</w:t>
      </w:r>
    </w:p>
    <w:p>
      <w:pPr>
        <w:pStyle w:val="MdListItem"/>
        <w:numPr>
          <w:ilvl w:val="0"/>
          <w:numId w:val="2"/>
        </w:numPr>
      </w:pPr>
      <w:r>
        <w:t xml:space="preserve">Neutral palette with strategic color coding for aspects</w:t>
      </w:r>
    </w:p>
    <w:p>
      <w:pPr>
        <w:pStyle w:val="MdSpace"/>
        <w:spacing w:before="0" w:after="60"/>
      </w:pPr>
    </w:p>
    <w:p>
      <w:pPr>
        <w:pStyle w:val="MdParagraph"/>
      </w:pPr>
      <w:r>
        <w:rPr>
          <w:rStyle w:val="MdStrong"/>
          <w:b/>
          <w:bCs/>
        </w:rPr>
        <w:t xml:space="preserve">Color Philosophy:</w:t>
      </w:r>
    </w:p>
    <w:p>
      <w:pPr>
        <w:pStyle w:val="MdListItem"/>
        <w:numPr>
          <w:ilvl w:val="0"/>
          <w:numId w:val="2"/>
        </w:numPr>
      </w:pPr>
      <w:r>
        <w:t xml:space="preserve">Primary: Charcoal (#2c3e50) and off-white (#f5f7fa)</w:t>
      </w:r>
    </w:p>
    <w:p>
      <w:pPr>
        <w:pStyle w:val="MdListItem"/>
        <w:numPr>
          <w:ilvl w:val="0"/>
          <w:numId w:val="2"/>
        </w:numPr>
      </w:pPr>
      <w:r>
        <w:t xml:space="preserve">Accent colors by aspect type: Harmonious (emerald #27ae60), Challenging (coral #e74c3c), Neutral (slate #95a5a6)</w:t>
      </w:r>
    </w:p>
    <w:p>
      <w:pPr>
        <w:pStyle w:val="MdListItem"/>
        <w:numPr>
          <w:ilvl w:val="0"/>
          <w:numId w:val="2"/>
        </w:numPr>
      </w:pPr>
      <w:r>
        <w:t xml:space="preserve">Rationale: Allows quick visual scanning of aspect quality without reading text</w:t>
      </w:r>
    </w:p>
    <w:p>
      <w:pPr>
        <w:pStyle w:val="MdSpace"/>
        <w:spacing w:before="0" w:after="60"/>
      </w:pPr>
    </w:p>
    <w:p>
      <w:pPr>
        <w:pStyle w:val="MdParagraph"/>
      </w:pPr>
      <w:r>
        <w:rPr>
          <w:rStyle w:val="MdStrong"/>
          <w:b/>
          <w:bCs/>
        </w:rPr>
        <w:t xml:space="preserve">Layout Paradigm:</w:t>
      </w:r>
    </w:p>
    <w:p>
      <w:pPr>
        <w:pStyle w:val="MdListItem"/>
        <w:numPr>
          <w:ilvl w:val="0"/>
          <w:numId w:val="2"/>
        </w:numPr>
      </w:pPr>
      <w:r>
        <w:t xml:space="preserve">Modular grid system with 12-column layout</w:t>
      </w:r>
    </w:p>
    <w:p>
      <w:pPr>
        <w:pStyle w:val="MdListItem"/>
        <w:numPr>
          <w:ilvl w:val="0"/>
          <w:numId w:val="2"/>
        </w:numPr>
      </w:pPr>
      <w:r>
        <w:t xml:space="preserve">Stacked card sections for calendar, aspects, and framework taxonomy</w:t>
      </w:r>
    </w:p>
    <w:p>
      <w:pPr>
        <w:pStyle w:val="MdListItem"/>
        <w:numPr>
          <w:ilvl w:val="0"/>
          <w:numId w:val="2"/>
        </w:numPr>
      </w:pPr>
      <w:r>
        <w:t xml:space="preserve">Comparison tables for synastry relationships</w:t>
      </w:r>
    </w:p>
    <w:p>
      <w:pPr>
        <w:pStyle w:val="MdSpace"/>
        <w:spacing w:before="0" w:after="60"/>
      </w:pPr>
    </w:p>
    <w:p>
      <w:pPr>
        <w:pStyle w:val="MdParagraph"/>
      </w:pPr>
      <w:r>
        <w:rPr>
          <w:rStyle w:val="MdStrong"/>
          <w:b/>
          <w:bCs/>
        </w:rPr>
        <w:t xml:space="preserve">Signature Elements:</w:t>
      </w:r>
    </w:p>
    <w:p>
      <w:pPr>
        <w:pStyle w:val="MdListItem"/>
        <w:numPr>
          <w:ilvl w:val="0"/>
          <w:numId w:val="2"/>
        </w:numPr>
      </w:pPr>
      <w:r>
        <w:t xml:space="preserve">Minimalist planet icons using geometric shapes</w:t>
      </w:r>
    </w:p>
    <w:p>
      <w:pPr>
        <w:pStyle w:val="MdListItem"/>
        <w:numPr>
          <w:ilvl w:val="0"/>
          <w:numId w:val="2"/>
        </w:numPr>
      </w:pPr>
      <w:r>
        <w:t xml:space="preserve">Color-coded aspect badges</w:t>
      </w:r>
    </w:p>
    <w:p>
      <w:pPr>
        <w:pStyle w:val="MdListItem"/>
        <w:numPr>
          <w:ilvl w:val="0"/>
          <w:numId w:val="2"/>
        </w:numPr>
      </w:pPr>
      <w:r>
        <w:t xml:space="preserve">Data visualization charts for harmonic distributions</w:t>
      </w:r>
    </w:p>
    <w:p>
      <w:pPr>
        <w:pStyle w:val="MdSpace"/>
        <w:spacing w:before="0" w:after="60"/>
      </w:pPr>
    </w:p>
    <w:p>
      <w:pPr>
        <w:pStyle w:val="MdParagraph"/>
      </w:pPr>
      <w:r>
        <w:rPr>
          <w:rStyle w:val="MdStrong"/>
          <w:b/>
          <w:bCs/>
        </w:rPr>
        <w:t xml:space="preserve">Interaction Philosophy:</w:t>
      </w:r>
    </w:p>
    <w:p>
      <w:pPr>
        <w:pStyle w:val="MdListItem"/>
        <w:numPr>
          <w:ilvl w:val="0"/>
          <w:numId w:val="2"/>
        </w:numPr>
      </w:pPr>
      <w:r>
        <w:t xml:space="preserve">Tabbed interface for switching between calendar/taxonomy/framework views</w:t>
      </w:r>
    </w:p>
    <w:p>
      <w:pPr>
        <w:pStyle w:val="MdListItem"/>
        <w:numPr>
          <w:ilvl w:val="0"/>
          <w:numId w:val="2"/>
        </w:numPr>
      </w:pPr>
      <w:r>
        <w:t xml:space="preserve">Expandable sections for detailed interpretations</w:t>
      </w:r>
    </w:p>
    <w:p>
      <w:pPr>
        <w:pStyle w:val="MdListItem"/>
        <w:numPr>
          <w:ilvl w:val="0"/>
          <w:numId w:val="2"/>
        </w:numPr>
      </w:pPr>
      <w:r>
        <w:t xml:space="preserve">Filter controls for aspect type and date range</w:t>
      </w:r>
    </w:p>
    <w:p>
      <w:pPr>
        <w:pStyle w:val="MdSpace"/>
        <w:spacing w:before="0" w:after="60"/>
      </w:pPr>
    </w:p>
    <w:p>
      <w:pPr>
        <w:pStyle w:val="MdParagraph"/>
      </w:pPr>
      <w:r>
        <w:rPr>
          <w:rStyle w:val="MdStrong"/>
          <w:b/>
          <w:bCs/>
        </w:rPr>
        <w:t xml:space="preserve">Animation:</w:t>
      </w:r>
    </w:p>
    <w:p>
      <w:pPr>
        <w:pStyle w:val="MdListItem"/>
        <w:numPr>
          <w:ilvl w:val="0"/>
          <w:numId w:val="2"/>
        </w:numPr>
      </w:pPr>
      <w:r>
        <w:t xml:space="preserve">Slide-in transitions for new data (200ms ease-out)</w:t>
      </w:r>
    </w:p>
    <w:p>
      <w:pPr>
        <w:pStyle w:val="MdListItem"/>
        <w:numPr>
          <w:ilvl w:val="0"/>
          <w:numId w:val="2"/>
        </w:numPr>
      </w:pPr>
      <w:r>
        <w:t xml:space="preserve">Expand/collapse animations for details (250ms ease-in-out)</w:t>
      </w:r>
    </w:p>
    <w:p>
      <w:pPr>
        <w:pStyle w:val="MdListItem"/>
        <w:numPr>
          <w:ilvl w:val="0"/>
          <w:numId w:val="2"/>
        </w:numPr>
      </w:pPr>
      <w:r>
        <w:t xml:space="preserve">Subtle color transitions on hover (150ms)</w:t>
      </w:r>
    </w:p>
    <w:p>
      <w:pPr>
        <w:pStyle w:val="MdSpace"/>
        <w:spacing w:before="0" w:after="60"/>
      </w:pPr>
    </w:p>
    <w:p>
      <w:pPr>
        <w:pStyle w:val="MdParagraph"/>
      </w:pPr>
      <w:r>
        <w:rPr>
          <w:rStyle w:val="MdStrong"/>
          <w:b/>
          <w:bCs/>
        </w:rPr>
        <w:t xml:space="preserve">Typography System:</w:t>
      </w:r>
    </w:p>
    <w:p>
      <w:pPr>
        <w:pStyle w:val="MdListItem"/>
        <w:numPr>
          <w:ilvl w:val="0"/>
          <w:numId w:val="2"/>
        </w:numPr>
      </w:pPr>
      <w:r>
        <w:t xml:space="preserve">Display: IBM Plex Sans Bold for headers (geometric, professional)</w:t>
      </w:r>
    </w:p>
    <w:p>
      <w:pPr>
        <w:pStyle w:val="MdListItem"/>
        <w:numPr>
          <w:ilvl w:val="0"/>
          <w:numId w:val="2"/>
        </w:numPr>
      </w:pPr>
      <w:r>
        <w:t xml:space="preserve">Body: IBM Plex Sans Regular for content (excellent readability)</w:t>
      </w:r>
    </w:p>
    <w:p>
      <w:pPr>
        <w:pStyle w:val="MdListItem"/>
        <w:numPr>
          <w:ilvl w:val="0"/>
          <w:numId w:val="2"/>
        </w:numPr>
      </w:pPr>
      <w:r>
        <w:t xml:space="preserve">Data: IBM Plex Mono for technical values (consistent spacing)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Response 3: Mystical Art Deco Fusion</w:t>
      </w:r>
    </w:p>
    <w:p>
      <w:pPr>
        <w:pStyle w:val="MdParagraph"/>
      </w:pPr>
      <w:r>
        <w:rPr>
          <w:rStyle w:val="MdStrong"/>
          <w:b/>
          <w:bCs/>
        </w:rPr>
        <w:t xml:space="preserve">Design Movement:</w:t>
      </w:r>
      <w:r>
        <w:t xml:space="preserve"> Art Deco meets Contemporary Occultism</w:t>
      </w:r>
      <w:r>
        <w:rPr>
          <w:rStyle w:val="MdBr"/>
        </w:rPr>
        <w:br/>
        <w:t xml:space="preserve"/>
      </w:r>
      <w:r>
        <w:rPr>
          <w:rStyle w:val="MdStrong"/>
          <w:b/>
          <w:bCs/>
        </w:rPr>
        <w:t xml:space="preserve">Probability:</w:t>
      </w:r>
      <w:r>
        <w:t xml:space="preserve"> 0.06</w:t>
      </w:r>
    </w:p>
    <w:p>
      <w:pPr>
        <w:pStyle w:val="MdSpace"/>
        <w:spacing w:before="0" w:after="60"/>
      </w:pPr>
    </w:p>
    <w:p>
      <w:pPr>
        <w:pStyle w:val="MdParagraph"/>
      </w:pPr>
      <w:r>
        <w:rPr>
          <w:rStyle w:val="MdStrong"/>
          <w:b/>
          <w:bCs/>
        </w:rPr>
        <w:t xml:space="preserve">Core Principles:</w:t>
      </w:r>
    </w:p>
    <w:p>
      <w:pPr>
        <w:pStyle w:val="MdListItem"/>
        <w:numPr>
          <w:ilvl w:val="0"/>
          <w:numId w:val="2"/>
        </w:numPr>
      </w:pPr>
      <w:r>
        <w:t xml:space="preserve">Ornamental geometry with art deco symmetry</w:t>
      </w:r>
    </w:p>
    <w:p>
      <w:pPr>
        <w:pStyle w:val="MdListItem"/>
        <w:numPr>
          <w:ilvl w:val="0"/>
          <w:numId w:val="2"/>
        </w:numPr>
      </w:pPr>
      <w:r>
        <w:t xml:space="preserve">Rich textures and metallic accents</w:t>
      </w:r>
    </w:p>
    <w:p>
      <w:pPr>
        <w:pStyle w:val="MdListItem"/>
        <w:numPr>
          <w:ilvl w:val="0"/>
          <w:numId w:val="2"/>
        </w:numPr>
      </w:pPr>
      <w:r>
        <w:t xml:space="preserve">Mystical symbolism integrated into visual language</w:t>
      </w:r>
    </w:p>
    <w:p>
      <w:pPr>
        <w:pStyle w:val="MdListItem"/>
        <w:numPr>
          <w:ilvl w:val="0"/>
          <w:numId w:val="2"/>
        </w:numPr>
      </w:pPr>
      <w:r>
        <w:t xml:space="preserve">Dramatic contrast between dark backgrounds and luminous elements</w:t>
      </w:r>
    </w:p>
    <w:p>
      <w:pPr>
        <w:pStyle w:val="MdSpace"/>
        <w:spacing w:before="0" w:after="60"/>
      </w:pPr>
    </w:p>
    <w:p>
      <w:pPr>
        <w:pStyle w:val="MdParagraph"/>
      </w:pPr>
      <w:r>
        <w:rPr>
          <w:rStyle w:val="MdStrong"/>
          <w:b/>
          <w:bCs/>
        </w:rPr>
        <w:t xml:space="preserve">Color Philosophy:</w:t>
      </w:r>
    </w:p>
    <w:p>
      <w:pPr>
        <w:pStyle w:val="MdListItem"/>
        <w:numPr>
          <w:ilvl w:val="0"/>
          <w:numId w:val="2"/>
        </w:numPr>
      </w:pPr>
      <w:r>
        <w:t xml:space="preserve">Primary: Deep burgundy (#4a1a2e), rich black (#0f0f0f)</w:t>
      </w:r>
    </w:p>
    <w:p>
      <w:pPr>
        <w:pStyle w:val="MdListItem"/>
        <w:numPr>
          <w:ilvl w:val="0"/>
          <w:numId w:val="2"/>
        </w:numPr>
      </w:pPr>
      <w:r>
        <w:t xml:space="preserve">Accents: Rose gold (#b76e79), sapphire (#0f3460), pearl white (#eae2b7)</w:t>
      </w:r>
    </w:p>
    <w:p>
      <w:pPr>
        <w:pStyle w:val="MdListItem"/>
        <w:numPr>
          <w:ilvl w:val="0"/>
          <w:numId w:val="2"/>
        </w:numPr>
      </w:pPr>
      <w:r>
        <w:t xml:space="preserve">Rationale: Evokes vintage occult aesthetic while maintaining luxury and sophistication</w:t>
      </w:r>
    </w:p>
    <w:p>
      <w:pPr>
        <w:pStyle w:val="MdSpace"/>
        <w:spacing w:before="0" w:after="60"/>
      </w:pPr>
    </w:p>
    <w:p>
      <w:pPr>
        <w:pStyle w:val="MdParagraph"/>
      </w:pPr>
      <w:r>
        <w:rPr>
          <w:rStyle w:val="MdStrong"/>
          <w:b/>
          <w:bCs/>
        </w:rPr>
        <w:t xml:space="preserve">Layout Paradigm:</w:t>
      </w:r>
    </w:p>
    <w:p>
      <w:pPr>
        <w:pStyle w:val="MdListItem"/>
        <w:numPr>
          <w:ilvl w:val="0"/>
          <w:numId w:val="2"/>
        </w:numPr>
      </w:pPr>
      <w:r>
        <w:t xml:space="preserve">Symmetrical art deco patterns as visual dividers</w:t>
      </w:r>
    </w:p>
    <w:p>
      <w:pPr>
        <w:pStyle w:val="MdListItem"/>
        <w:numPr>
          <w:ilvl w:val="0"/>
          <w:numId w:val="2"/>
        </w:numPr>
      </w:pPr>
      <w:r>
        <w:t xml:space="preserve">Central focal points with radiating information</w:t>
      </w:r>
    </w:p>
    <w:p>
      <w:pPr>
        <w:pStyle w:val="MdListItem"/>
        <w:numPr>
          <w:ilvl w:val="0"/>
          <w:numId w:val="2"/>
        </w:numPr>
      </w:pPr>
      <w:r>
        <w:t xml:space="preserve">Ornamental borders around key sections</w:t>
      </w:r>
    </w:p>
    <w:p>
      <w:pPr>
        <w:pStyle w:val="MdSpace"/>
        <w:spacing w:before="0" w:after="60"/>
      </w:pPr>
    </w:p>
    <w:p>
      <w:pPr>
        <w:pStyle w:val="MdParagraph"/>
      </w:pPr>
      <w:r>
        <w:rPr>
          <w:rStyle w:val="MdStrong"/>
          <w:b/>
          <w:bCs/>
        </w:rPr>
        <w:t xml:space="preserve">Signature Elements:</w:t>
      </w:r>
    </w:p>
    <w:p>
      <w:pPr>
        <w:pStyle w:val="MdListItem"/>
        <w:numPr>
          <w:ilvl w:val="0"/>
          <w:numId w:val="2"/>
        </w:numPr>
      </w:pPr>
      <w:r>
        <w:t xml:space="preserve">Art deco geometric borders and frames</w:t>
      </w:r>
    </w:p>
    <w:p>
      <w:pPr>
        <w:pStyle w:val="MdListItem"/>
        <w:numPr>
          <w:ilvl w:val="0"/>
          <w:numId w:val="2"/>
        </w:numPr>
      </w:pPr>
      <w:r>
        <w:t xml:space="preserve">Metallic line dividers with gradient effects</w:t>
      </w:r>
    </w:p>
    <w:p>
      <w:pPr>
        <w:pStyle w:val="MdListItem"/>
        <w:numPr>
          <w:ilvl w:val="0"/>
          <w:numId w:val="2"/>
        </w:numPr>
      </w:pPr>
      <w:r>
        <w:t xml:space="preserve">Zodiac symbol illustrations as section headers</w:t>
      </w:r>
    </w:p>
    <w:p>
      <w:pPr>
        <w:pStyle w:val="MdListItem"/>
        <w:numPr>
          <w:ilvl w:val="0"/>
          <w:numId w:val="2"/>
        </w:numPr>
      </w:pPr>
      <w:r>
        <w:t xml:space="preserve">Tarot-inspired card layouts for aspect interpretations</w:t>
      </w:r>
    </w:p>
    <w:p>
      <w:pPr>
        <w:pStyle w:val="MdSpace"/>
        <w:spacing w:before="0" w:after="60"/>
      </w:pPr>
    </w:p>
    <w:p>
      <w:pPr>
        <w:pStyle w:val="MdParagraph"/>
      </w:pPr>
      <w:r>
        <w:rPr>
          <w:rStyle w:val="MdStrong"/>
          <w:b/>
          <w:bCs/>
        </w:rPr>
        <w:t xml:space="preserve">Interaction Philosophy:</w:t>
      </w:r>
    </w:p>
    <w:p>
      <w:pPr>
        <w:pStyle w:val="MdListItem"/>
        <w:numPr>
          <w:ilvl w:val="0"/>
          <w:numId w:val="2"/>
        </w:numPr>
      </w:pPr>
      <w:r>
        <w:t xml:space="preserve">Elaborate hover states with ornamental reveals</w:t>
      </w:r>
    </w:p>
    <w:p>
      <w:pPr>
        <w:pStyle w:val="MdListItem"/>
        <w:numPr>
          <w:ilvl w:val="0"/>
          <w:numId w:val="2"/>
        </w:numPr>
      </w:pPr>
      <w:r>
        <w:t xml:space="preserve">Smooth transitions between mystical and analytical views</w:t>
      </w:r>
    </w:p>
    <w:p>
      <w:pPr>
        <w:pStyle w:val="MdListItem"/>
        <w:numPr>
          <w:ilvl w:val="0"/>
          <w:numId w:val="2"/>
        </w:numPr>
      </w:pPr>
      <w:r>
        <w:t xml:space="preserve">Ceremonial reveal animations for important data</w:t>
      </w:r>
    </w:p>
    <w:p>
      <w:pPr>
        <w:pStyle w:val="MdSpace"/>
        <w:spacing w:before="0" w:after="60"/>
      </w:pPr>
    </w:p>
    <w:p>
      <w:pPr>
        <w:pStyle w:val="MdParagraph"/>
      </w:pPr>
      <w:r>
        <w:rPr>
          <w:rStyle w:val="MdStrong"/>
          <w:b/>
          <w:bCs/>
        </w:rPr>
        <w:t xml:space="preserve">Animation:</w:t>
      </w:r>
    </w:p>
    <w:p>
      <w:pPr>
        <w:pStyle w:val="MdListItem"/>
        <w:numPr>
          <w:ilvl w:val="0"/>
          <w:numId w:val="2"/>
        </w:numPr>
      </w:pPr>
      <w:r>
        <w:t xml:space="preserve">Ornamental elements fade in with staggered timing (60ms intervals)</w:t>
      </w:r>
    </w:p>
    <w:p>
      <w:pPr>
        <w:pStyle w:val="MdListItem"/>
        <w:numPr>
          <w:ilvl w:val="0"/>
          <w:numId w:val="2"/>
        </w:numPr>
      </w:pPr>
      <w:r>
        <w:t xml:space="preserve">Metallic shimmer effects on hover (400ms cycle)</w:t>
      </w:r>
    </w:p>
    <w:p>
      <w:pPr>
        <w:pStyle w:val="MdListItem"/>
        <w:numPr>
          <w:ilvl w:val="0"/>
          <w:numId w:val="2"/>
        </w:numPr>
      </w:pPr>
      <w:r>
        <w:t xml:space="preserve">Smooth rotation of zodiac symbols (8 second cycles)</w:t>
      </w:r>
    </w:p>
    <w:p>
      <w:pPr>
        <w:pStyle w:val="MdListItem"/>
        <w:numPr>
          <w:ilvl w:val="0"/>
          <w:numId w:val="2"/>
        </w:numPr>
      </w:pPr>
      <w:r>
        <w:t xml:space="preserve">Reveal animations with ease-out bounce (300ms)</w:t>
      </w:r>
    </w:p>
    <w:p>
      <w:pPr>
        <w:pStyle w:val="MdSpace"/>
        <w:spacing w:before="0" w:after="60"/>
      </w:pPr>
    </w:p>
    <w:p>
      <w:pPr>
        <w:pStyle w:val="MdParagraph"/>
      </w:pPr>
      <w:r>
        <w:rPr>
          <w:rStyle w:val="MdStrong"/>
          <w:b/>
          <w:bCs/>
        </w:rPr>
        <w:t xml:space="preserve">Typography System:</w:t>
      </w:r>
    </w:p>
    <w:p>
      <w:pPr>
        <w:pStyle w:val="MdListItem"/>
        <w:numPr>
          <w:ilvl w:val="0"/>
          <w:numId w:val="2"/>
        </w:numPr>
      </w:pPr>
      <w:r>
        <w:t xml:space="preserve">Display: Cinzel for headers (elegant serif, art deco heritage)</w:t>
      </w:r>
    </w:p>
    <w:p>
      <w:pPr>
        <w:pStyle w:val="MdListItem"/>
        <w:numPr>
          <w:ilvl w:val="0"/>
          <w:numId w:val="2"/>
        </w:numPr>
      </w:pPr>
      <w:r>
        <w:t xml:space="preserve">Body: Lora for content (sophisticated serif, readable)</w:t>
      </w:r>
    </w:p>
    <w:p>
      <w:pPr>
        <w:pStyle w:val="MdListItem"/>
        <w:numPr>
          <w:ilvl w:val="0"/>
          <w:numId w:val="2"/>
        </w:numPr>
      </w:pPr>
      <w:r>
        <w:t xml:space="preserve">Accent: Cormorant Garamond for special emphasis (dramatic, ornamental)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Selected Design: Celestial Minimalism</w:t>
      </w:r>
    </w:p>
    <w:p>
      <w:pPr>
        <w:pStyle w:val="MdParagraph"/>
      </w:pPr>
      <w:r>
        <w:t xml:space="preserve">I'm choosing </w:t>
      </w:r>
      <w:r>
        <w:rPr>
          <w:rStyle w:val="MdStrong"/>
          <w:b/>
          <w:bCs/>
        </w:rPr>
        <w:t xml:space="preserve">Celestial Minimalism</w:t>
      </w:r>
      <w:r>
        <w:t xml:space="preserve"> for this project. This approach balances the mystical nature of astrology with modern data visualization, creating an interface that feels both authoritative and enchanting. The deep space aesthetic naturally complements astrological content, while the minimalist principles ensure the moon aspects calendar and synastry framework remain accessible and scannable.</w:t>
      </w:r>
    </w:p>
    <w:p>
      <w:pPr>
        <w:pStyle w:val="MdSpace"/>
        <w:spacing w:before="0" w:after="60"/>
      </w:pPr>
    </w:p>
    <w:p>
      <w:pPr>
        <w:pStyle w:val="MdParagraph"/>
      </w:pPr>
      <w:r>
        <w:t xml:space="preserve">The constellation-inspired layouts and orbital mechanics animations will make the dashboard feel alive without overwhelming users. The color palette (indigo, purple, gold, cyan) creates a premium, immersive experience that respects the subject matter while maintaining professional credibility.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2026-05-19T04:01:33.371Z</dcterms:created>
  <dcterms:modified xsi:type="dcterms:W3CDTF">2026-05-19T04:01:33.371Z</dcterms:modified>
</cp:coreProperties>
</file>

<file path=docProps/custom.xml><?xml version="1.0" encoding="utf-8"?>
<Properties xmlns="http://schemas.openxmlformats.org/officeDocument/2006/custom-properties" xmlns:vt="http://schemas.openxmlformats.org/officeDocument/2006/docPropsVTypes"/>
</file>