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Montserrat" w:cs="Montserrat" w:eastAsia="Montserrat" w:hAnsi="Montserrat"/>
          <w:b/>
          <w:bCs/>
          <w:color w:val="1F5E3B"/>
          <w:sz w:val="30"/>
          <w:szCs w:val="30"/>
        </w:rPr>
        <w:t xml:space="preserve">AGRIVALUE ADVISORY CONSULT</w:t>
      </w:r>
    </w:p>
    <w:p>
      <w:pPr>
        <w:spacing w:after="120"/>
      </w:pPr>
      <w:r>
        <w:rPr>
          <w:rFonts w:ascii="Montserrat" w:cs="Montserrat" w:eastAsia="Montserrat" w:hAnsi="Montserrat"/>
          <w:b/>
          <w:bCs/>
          <w:color w:val="C89B3C"/>
          <w:sz w:val="16"/>
          <w:szCs w:val="16"/>
        </w:rPr>
        <w:t xml:space="preserve">AGRIBUSINESS  |  OPERATIONS  |  STRATEGY  |  SYSTEMS</w:t>
      </w:r>
    </w:p>
    <w:p>
      <w:pPr>
        <w:pBdr>
          <w:bottom w:val="single" w:color="C89B3C" w:sz="8" w:space="1"/>
        </w:pBdr>
        <w:spacing w:after="200"/>
      </w:pPr>
    </w:p>
    <w:p>
      <w:pPr>
        <w:spacing w:after="80" w:before="600"/>
      </w:pPr>
      <w:r>
        <w:rPr>
          <w:rFonts w:ascii="Montserrat" w:cs="Montserrat" w:eastAsia="Montserrat" w:hAnsi="Montserrat"/>
          <w:b/>
          <w:bCs/>
          <w:color w:val="C89B3C"/>
          <w:sz w:val="18"/>
          <w:szCs w:val="18"/>
        </w:rPr>
        <w:t xml:space="preserve">THE AGRI-PERFORMANCE DIAGNOSTIC™</w:t>
      </w:r>
    </w:p>
    <w:p>
      <w:pPr>
        <w:spacing w:after="120"/>
      </w:pPr>
      <w:r>
        <w:rPr>
          <w:rFonts w:ascii="Montserrat" w:cs="Montserrat" w:eastAsia="Montserrat" w:hAnsi="Montserrat"/>
          <w:b/>
          <w:bCs/>
          <w:color w:val="1F5E3B"/>
          <w:sz w:val="52"/>
          <w:szCs w:val="52"/>
        </w:rPr>
        <w:t xml:space="preserve">Systems Diagnostic Report</w:t>
      </w:r>
    </w:p>
    <w:p>
      <w:pPr>
        <w:spacing w:after="80"/>
      </w:pPr>
      <w:r>
        <w:rPr>
          <w:rFonts w:ascii="Open Sans" w:cs="Open Sans" w:eastAsia="Open Sans" w:hAnsi="Open Sans"/>
          <w:color w:val="222222"/>
          <w:sz w:val="28"/>
          <w:szCs w:val="28"/>
        </w:rPr>
        <w:t xml:space="preserve">Oil Palm Producer and Processor, Eastern Region, Ghana</w:t>
      </w:r>
    </w:p>
    <w:p>
      <w:pPr>
        <w:spacing w:after="360"/>
      </w:pPr>
      <w:r>
        <w:rPr>
          <w:rFonts w:ascii="Open Sans" w:cs="Open Sans" w:eastAsia="Open Sans" w:hAnsi="Open Sans"/>
          <w:i/>
          <w:iCs/>
          <w:color w:val="6B7280"/>
          <w:sz w:val="22"/>
          <w:szCs w:val="22"/>
        </w:rPr>
        <w:t xml:space="preserve">Anonymised reference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000"/>
        <w:gridCol w:w="1700"/>
        <w:gridCol w:w="1726"/>
      </w:tblGrid>
      <w:tr>
        <w:trPr>
          <w:tblHeader/>
        </w:trPr>
        <w:tc>
          <w:tcPr>
            <w:tcW w:type="dxa" w:w="1900"/>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r>
              <w:rPr>
                <w:rFonts w:ascii="Montserrat" w:cs="Montserrat" w:eastAsia="Montserrat" w:hAnsi="Montserrat"/>
                <w:b/>
                <w:bCs/>
                <w:color w:val="FFFFFF"/>
                <w:sz w:val="17"/>
                <w:szCs w:val="17"/>
              </w:rPr>
              <w:t xml:space="preserve">Client</w:t>
            </w:r>
          </w:p>
        </w:tc>
        <w:tc>
          <w:tcPr>
            <w:tcW w:type="dxa" w:w="1700"/>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r>
              <w:rPr>
                <w:rFonts w:ascii="Montserrat" w:cs="Montserrat" w:eastAsia="Montserrat" w:hAnsi="Montserrat"/>
                <w:b/>
                <w:bCs/>
                <w:color w:val="FFFFFF"/>
                <w:sz w:val="17"/>
                <w:szCs w:val="17"/>
              </w:rPr>
              <w:t xml:space="preserve">Sector</w:t>
            </w:r>
          </w:p>
        </w:tc>
        <w:tc>
          <w:tcPr>
            <w:tcW w:type="dxa" w:w="2000"/>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r>
              <w:rPr>
                <w:rFonts w:ascii="Montserrat" w:cs="Montserrat" w:eastAsia="Montserrat" w:hAnsi="Montserrat"/>
                <w:b/>
                <w:bCs/>
                <w:color w:val="FFFFFF"/>
                <w:sz w:val="17"/>
                <w:szCs w:val="17"/>
              </w:rPr>
              <w:t xml:space="preserve">Engagement</w:t>
            </w:r>
          </w:p>
        </w:tc>
        <w:tc>
          <w:tcPr>
            <w:tcW w:type="dxa" w:w="1700"/>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r>
              <w:rPr>
                <w:rFonts w:ascii="Montserrat" w:cs="Montserrat" w:eastAsia="Montserrat" w:hAnsi="Montserrat"/>
                <w:b/>
                <w:bCs/>
                <w:color w:val="FFFFFF"/>
                <w:sz w:val="17"/>
                <w:szCs w:val="17"/>
              </w:rPr>
              <w:t xml:space="preserve">Phase</w:t>
            </w:r>
          </w:p>
        </w:tc>
        <w:tc>
          <w:tcPr>
            <w:tcW w:type="dxa" w:w="1726"/>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r>
              <w:rPr>
                <w:rFonts w:ascii="Montserrat" w:cs="Montserrat" w:eastAsia="Montserrat" w:hAnsi="Montserrat"/>
                <w:b/>
                <w:bCs/>
                <w:color w:val="FFFFFF"/>
                <w:sz w:val="17"/>
                <w:szCs w:val="17"/>
              </w:rPr>
              <w:t xml:space="preserve">Report date</w:t>
            </w:r>
          </w:p>
        </w:tc>
      </w:tr>
      <w:tr>
        <w:trPr>
          <w:tblHeader w:val="false"/>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Oil palm processor (name withheld)</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Oil palm: production, processing and trading</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Rapid Agri-Systems Snapshot (pilot)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Phase 1: document-based review</w:t>
            </w:r>
          </w:p>
        </w:tc>
        <w:tc>
          <w:tcPr>
            <w:tcW w:type="dxa" w:w="1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August 2026</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89B3C" w:sz="24"/>
              <w:bottom w:val="none" w:color="FFFFFF" w:sz="0"/>
              <w:right w:val="none" w:color="FFFFFF" w:sz="0"/>
            </w:tcBorders>
            <w:shd w:fill="F7F5EF" w:color="auto" w:val="clear"/>
            <w:tcMar>
              <w:top w:type="dxa" w:w="120"/>
              <w:left w:type="dxa" w:w="180"/>
              <w:bottom w:type="dxa" w:w="120"/>
              <w:right w:type="dxa" w:w="180"/>
            </w:tcMar>
          </w:tcPr>
          <w:p>
            <w:pPr>
              <w:spacing w:after="60"/>
            </w:pPr>
            <w:r>
              <w:rPr>
                <w:rFonts w:ascii="Montserrat" w:cs="Montserrat" w:eastAsia="Montserrat" w:hAnsi="Montserrat"/>
                <w:b/>
                <w:bCs/>
                <w:color w:val="C89B3C"/>
                <w:sz w:val="16"/>
                <w:szCs w:val="16"/>
              </w:rPr>
              <w:t xml:space="preserve">ABOUT THIS VERSION</w:t>
            </w:r>
          </w:p>
          <w:p>
            <w:pPr>
              <w:spacing w:after="60" w:line="290"/>
            </w:pPr>
            <w:r>
              <w:rPr>
                <w:rFonts w:ascii="Open Sans" w:cs="Open Sans" w:eastAsia="Open Sans" w:hAnsi="Open Sans"/>
                <w:color w:val="222222"/>
                <w:sz w:val="21"/>
                <w:szCs w:val="21"/>
              </w:rPr>
              <w:t xml:space="preserve">This is an anonymised version of a diagnostic report delivered to a client in August 2026. The client’s name, the founder’s name, the exact location, brand names and all financial figures have been removed. The findings, method and recommendations are otherwise as delivered. The original report remains confidential to the client and AgriValue Advisory Consult.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5E3B" w:sz="24"/>
              <w:bottom w:val="none" w:color="FFFFFF" w:sz="0"/>
              <w:right w:val="none" w:color="FFFFFF" w:sz="0"/>
            </w:tcBorders>
            <w:shd w:fill="F7F5EF" w:color="auto" w:val="clear"/>
            <w:tcMar>
              <w:top w:type="dxa" w:w="120"/>
              <w:left w:type="dxa" w:w="180"/>
              <w:bottom w:type="dxa" w:w="120"/>
              <w:right w:type="dxa" w:w="180"/>
            </w:tcMar>
          </w:tcPr>
          <w:p>
            <w:pPr>
              <w:spacing w:after="60"/>
            </w:pPr>
            <w:r>
              <w:rPr>
                <w:rFonts w:ascii="Montserrat" w:cs="Montserrat" w:eastAsia="Montserrat" w:hAnsi="Montserrat"/>
                <w:b/>
                <w:bCs/>
                <w:color w:val="1F5E3B"/>
                <w:sz w:val="16"/>
                <w:szCs w:val="16"/>
              </w:rPr>
              <w:t xml:space="preserve">BASIS OF THIS REPORT</w:t>
            </w:r>
          </w:p>
          <w:p>
            <w:pPr>
              <w:spacing w:after="60" w:line="290"/>
            </w:pPr>
            <w:r>
              <w:rPr>
                <w:rFonts w:ascii="Open Sans" w:cs="Open Sans" w:eastAsia="Open Sans" w:hAnsi="Open Sans"/>
                <w:color w:val="222222"/>
                <w:sz w:val="21"/>
                <w:szCs w:val="21"/>
              </w:rPr>
              <w:t xml:space="preserve">This diagnostic was prepared from two sources. First, a single structured interview with the founder, conducted using AVAC’s internal Stakeholder Interview Guide. No other staff member was interviewed. Second, documents supplied by the client: the company registration and business activities profile, and the business plan.</w:t>
            </w:r>
          </w:p>
          <w:p>
            <w:pPr>
              <w:spacing w:after="60" w:line="290"/>
            </w:pPr>
            <w:r>
              <w:rPr>
                <w:rFonts w:ascii="Open Sans" w:cs="Open Sans" w:eastAsia="Open Sans" w:hAnsi="Open Sans"/>
                <w:color w:val="222222"/>
                <w:sz w:val="21"/>
                <w:szCs w:val="21"/>
              </w:rPr>
              <w:t xml:space="preserve">The engagement was delivered at no fee as a pilot. By agreement, the scope was the structured interview plus document review only: no site visit, mill inspection or transaction-level record review. Where AVAC has estimated a value, it is labelled indicative and must be confirmed against actual operating records in Phase 2.</w:t>
            </w:r>
          </w:p>
        </w:tc>
      </w:tr>
    </w:tbl>
    <w:p>
      <w:r>
        <w:br w:type="page"/>
      </w:r>
    </w:p>
    <w:p>
      <w:pPr>
        <w:pStyle w:val="Heading1"/>
        <w:spacing w:after="160" w:before="360"/>
      </w:pPr>
      <w:r>
        <w:rPr>
          <w:rFonts w:ascii="Montserrat" w:cs="Montserrat" w:eastAsia="Montserrat" w:hAnsi="Montserrat"/>
          <w:b/>
          <w:bCs/>
          <w:color w:val="1F5E3B"/>
          <w:sz w:val="30"/>
          <w:szCs w:val="30"/>
        </w:rPr>
        <w:t xml:space="preserve">1. Executive Summary</w:t>
      </w:r>
    </w:p>
    <w:p>
      <w:pPr>
        <w:spacing w:after="140" w:line="300"/>
      </w:pPr>
      <w:r>
        <w:rPr>
          <w:rFonts w:ascii="Open Sans" w:cs="Open Sans" w:eastAsia="Open Sans" w:hAnsi="Open Sans"/>
          <w:color w:val="222222"/>
          <w:sz w:val="21"/>
          <w:szCs w:val="21"/>
        </w:rPr>
        <w:t xml:space="preserve">The client is a registered Ghanaian agribusiness with a credible market position: a defined product range (crude palm oil, refined palm oil, palm kernel oil and palm kernel cake), a target buyer base of institutions and wholesalers, completed business registration, and membership of a national agribusiness chamber. The commercial foundation is real.</w:t>
      </w:r>
    </w:p>
    <w:p>
      <w:pPr>
        <w:spacing w:after="140" w:line="300"/>
      </w:pPr>
      <w:r>
        <w:rPr>
          <w:rFonts w:ascii="Open Sans" w:cs="Open Sans" w:eastAsia="Open Sans" w:hAnsi="Open Sans"/>
          <w:color w:val="222222"/>
          <w:sz w:val="21"/>
          <w:szCs w:val="21"/>
        </w:rPr>
        <w:t xml:space="preserve">The constraint is not market access. It is that the business is being run without a management system capable of telling the owner what a tonne of fruit costs to process, what a drum of oil costs to produce, or whether any given sale makes money. The business plan itself demonstrates this: on the company’s own numbers, the planned operation loses money in two of its first three cycles, and the planned annual throughput is more than one hundred times the planned raw material budget.</w:t>
      </w:r>
    </w:p>
    <w:p>
      <w:pPr>
        <w:spacing w:after="140" w:line="300"/>
      </w:pPr>
      <w:r>
        <w:rPr>
          <w:rFonts w:ascii="Open Sans" w:cs="Open Sans" w:eastAsia="Open Sans" w:hAnsi="Open Sans"/>
          <w:color w:val="222222"/>
          <w:sz w:val="21"/>
          <w:szCs w:val="21"/>
        </w:rPr>
        <w:t xml:space="preserve">These are not accounting errors to be corrected in a document. They are the visible symptom of an absent costing and production-record system. Until that system exists, every pricing decision, every outgrower negotiation and every funding application rests on numbers nobody can defend.</w:t>
      </w:r>
    </w:p>
    <w:p>
      <w:pPr>
        <w:pStyle w:val="Heading2"/>
        <w:spacing w:after="100" w:before="240"/>
      </w:pPr>
      <w:r>
        <w:rPr>
          <w:rFonts w:ascii="Montserrat" w:cs="Montserrat" w:eastAsia="Montserrat" w:hAnsi="Montserrat"/>
          <w:b/>
          <w:bCs/>
          <w:color w:val="1F5E3B"/>
          <w:sz w:val="23"/>
          <w:szCs w:val="23"/>
        </w:rPr>
        <w:t xml:space="preserve">The three findings that matter most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1100"/>
        <w:gridCol w:w="4126"/>
      </w:tblGrid>
      <w:tr>
        <w:trPr>
          <w:tblHeader/>
        </w:trPr>
        <w:tc>
          <w:tcPr>
            <w:tcW w:type="dxa" w:w="500"/>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r>
              <w:rPr>
                <w:rFonts w:ascii="Montserrat" w:cs="Montserrat" w:eastAsia="Montserrat" w:hAnsi="Montserrat"/>
                <w:b/>
                <w:bCs/>
                <w:color w:val="FFFFFF"/>
                <w:sz w:val="17"/>
                <w:szCs w:val="17"/>
              </w:rPr>
              <w:t xml:space="preserve">#</w:t>
            </w:r>
          </w:p>
        </w:tc>
        <w:tc>
          <w:tcPr>
            <w:tcW w:type="dxa" w:w="3300"/>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r>
              <w:rPr>
                <w:rFonts w:ascii="Montserrat" w:cs="Montserrat" w:eastAsia="Montserrat" w:hAnsi="Montserrat"/>
                <w:b/>
                <w:bCs/>
                <w:color w:val="FFFFFF"/>
                <w:sz w:val="17"/>
                <w:szCs w:val="17"/>
              </w:rPr>
              <w:t xml:space="preserve">Finding</w:t>
            </w:r>
          </w:p>
        </w:tc>
        <w:tc>
          <w:tcPr>
            <w:tcW w:type="dxa" w:w="1100"/>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r>
              <w:rPr>
                <w:rFonts w:ascii="Montserrat" w:cs="Montserrat" w:eastAsia="Montserrat" w:hAnsi="Montserrat"/>
                <w:b/>
                <w:bCs/>
                <w:color w:val="FFFFFF"/>
                <w:sz w:val="17"/>
                <w:szCs w:val="17"/>
              </w:rPr>
              <w:t xml:space="preserve">Severity</w:t>
            </w:r>
          </w:p>
        </w:tc>
        <w:tc>
          <w:tcPr>
            <w:tcW w:type="dxa" w:w="4126"/>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r>
              <w:rPr>
                <w:rFonts w:ascii="Montserrat" w:cs="Montserrat" w:eastAsia="Montserrat" w:hAnsi="Montserrat"/>
                <w:b/>
                <w:bCs/>
                <w:color w:val="FFFFFF"/>
                <w:sz w:val="17"/>
                <w:szCs w:val="17"/>
              </w:rPr>
              <w:t xml:space="preserve">Consequence if unaddressed</w:t>
            </w:r>
          </w:p>
        </w:tc>
      </w:tr>
      <w:tr>
        <w:trPr>
          <w:tblHeader w:val="false"/>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1</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Planned revenue does not cover planned variable cost in Cycles 1 and 2</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Critical</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Operating losses in both cycles before any recovery of the fixed investment</w:t>
            </w:r>
          </w:p>
        </w:tc>
      </w:tr>
      <w:tr>
        <w:trPr>
          <w:tblHeader w:val="false"/>
        </w:trPr>
        <w:tc>
          <w:tcPr>
            <w:tcW w:type="dxa" w:w="500"/>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2</w:t>
            </w:r>
          </w:p>
        </w:tc>
        <w:tc>
          <w:tcPr>
            <w:tcW w:type="dxa" w:w="3300"/>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Stated throughput is more than 100 times the budgeted raw material</w:t>
            </w:r>
          </w:p>
        </w:tc>
        <w:tc>
          <w:tcPr>
            <w:tcW w:type="dxa" w:w="1100"/>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Critical</w:t>
            </w:r>
          </w:p>
        </w:tc>
        <w:tc>
          <w:tcPr>
            <w:tcW w:type="dxa" w:w="4126"/>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The plan cannot be executed as written; funders will identify this immediately</w:t>
            </w:r>
          </w:p>
        </w:tc>
      </w:tr>
      <w:tr>
        <w:trPr>
          <w:tblHeader w:val="false"/>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3</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No unit cost, no extraction rate and no production record system</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Critical</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Pricing, procurement and investment decisions are made without a cost base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3261E" w:sz="24"/>
              <w:bottom w:val="none" w:color="FFFFFF" w:sz="0"/>
              <w:right w:val="none" w:color="FFFFFF" w:sz="0"/>
            </w:tcBorders>
            <w:shd w:fill="F7F5EF" w:color="auto" w:val="clear"/>
            <w:tcMar>
              <w:top w:type="dxa" w:w="120"/>
              <w:left w:type="dxa" w:w="180"/>
              <w:bottom w:type="dxa" w:w="120"/>
              <w:right w:type="dxa" w:w="180"/>
            </w:tcMar>
          </w:tcPr>
          <w:p>
            <w:pPr>
              <w:spacing w:after="60"/>
            </w:pPr>
            <w:r>
              <w:rPr>
                <w:rFonts w:ascii="Montserrat" w:cs="Montserrat" w:eastAsia="Montserrat" w:hAnsi="Montserrat"/>
                <w:b/>
                <w:bCs/>
                <w:color w:val="B3261E"/>
                <w:sz w:val="16"/>
                <w:szCs w:val="16"/>
              </w:rPr>
              <w:t xml:space="preserve">THE SINGLE SENTENCE A FUNDER WILL USE TO DECLINE</w:t>
            </w:r>
          </w:p>
          <w:p>
            <w:pPr>
              <w:spacing w:after="60" w:line="290"/>
            </w:pPr>
            <w:r>
              <w:rPr>
                <w:rFonts w:ascii="Open Sans" w:cs="Open Sans" w:eastAsia="Open Sans" w:hAnsi="Open Sans"/>
                <w:color w:val="222222"/>
                <w:sz w:val="21"/>
                <w:szCs w:val="21"/>
              </w:rPr>
              <w:t xml:space="preserve">“Your plan shows a variable cost higher than revenue in the first cycle, and you have not told us what it costs you to produce one drum of oil.” This is fixable in under four weeks. It is not fixable after the application has been submitted.</w:t>
            </w:r>
          </w:p>
        </w:tc>
      </w:tr>
    </w:tbl>
    <w:p>
      <w:pPr>
        <w:pStyle w:val="Heading2"/>
        <w:spacing w:after="100" w:before="240"/>
      </w:pPr>
      <w:r>
        <w:rPr>
          <w:rFonts w:ascii="Montserrat" w:cs="Montserrat" w:eastAsia="Montserrat" w:hAnsi="Montserrat"/>
          <w:b/>
          <w:bCs/>
          <w:color w:val="1F5E3B"/>
          <w:sz w:val="23"/>
          <w:szCs w:val="23"/>
        </w:rPr>
        <w:t xml:space="preserve">Indicative value at stake</w:t>
      </w:r>
    </w:p>
    <w:p>
      <w:pPr>
        <w:spacing w:after="140" w:line="300"/>
      </w:pPr>
      <w:r>
        <w:rPr>
          <w:rFonts w:ascii="Open Sans" w:cs="Open Sans" w:eastAsia="Open Sans" w:hAnsi="Open Sans"/>
          <w:color w:val="222222"/>
          <w:sz w:val="21"/>
          <w:szCs w:val="21"/>
        </w:rPr>
        <w:t xml:space="preserve">Correcting pricing to a cost-plus-margin basis, metering and controlling energy consumption, and tracking oil extraction rate to reduce processing loss together move Cycle 1 from a planned loss to an indicative positive position. The values are AVAC estimates modelled from the client’s own cost lines. They are withheld from this version and must be confirmed against actual records in Phase 2.</w:t>
      </w:r>
    </w:p>
    <w:p>
      <w:pPr>
        <w:pStyle w:val="Heading1"/>
        <w:spacing w:after="160" w:before="360"/>
      </w:pPr>
      <w:r>
        <w:rPr>
          <w:rFonts w:ascii="Montserrat" w:cs="Montserrat" w:eastAsia="Montserrat" w:hAnsi="Montserrat"/>
          <w:b/>
          <w:bCs/>
          <w:color w:val="1F5E3B"/>
          <w:sz w:val="30"/>
          <w:szCs w:val="30"/>
        </w:rPr>
        <w:t xml:space="preserve">2. Business Profile as Documented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r>
              <w:rPr>
                <w:rFonts w:ascii="Montserrat" w:cs="Montserrat" w:eastAsia="Montserrat" w:hAnsi="Montserrat"/>
                <w:b/>
                <w:bCs/>
                <w:color w:val="FFFFFF"/>
                <w:sz w:val="17"/>
                <w:szCs w:val="17"/>
              </w:rPr>
              <w:t xml:space="preserve">Attribute</w:t>
            </w:r>
          </w:p>
        </w:tc>
        <w:tc>
          <w:tcPr>
            <w:tcW w:type="dxa" w:w="6426"/>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r>
              <w:rPr>
                <w:rFonts w:ascii="Montserrat" w:cs="Montserrat" w:eastAsia="Montserrat" w:hAnsi="Montserrat"/>
                <w:b/>
                <w:bCs/>
                <w:color w:val="FFFFFF"/>
                <w:sz w:val="17"/>
                <w:szCs w:val="17"/>
              </w:rPr>
              <w:t xml:space="preserve">As stated in client documents</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Legal form</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Private limited company</w:t>
            </w:r>
          </w:p>
        </w:tc>
      </w:tr>
      <w:tr>
        <w:trPr>
          <w:tblHeader w:val="false"/>
        </w:trPr>
        <w:tc>
          <w:tcPr>
            <w:tcW w:type="dxa" w:w="2600"/>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Founder / Director</w:t>
            </w:r>
          </w:p>
        </w:tc>
        <w:tc>
          <w:tcPr>
            <w:tcW w:type="dxa" w:w="6426"/>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Name withheld</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Registered sectors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Farming; agribusiness and agro-processing; agro-chemical dealing; general merchant; import and export</w:t>
            </w:r>
          </w:p>
        </w:tc>
      </w:tr>
      <w:tr>
        <w:trPr>
          <w:tblHeader w:val="false"/>
        </w:trPr>
        <w:tc>
          <w:tcPr>
            <w:tcW w:type="dxa" w:w="2600"/>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Location</w:t>
            </w:r>
          </w:p>
        </w:tc>
        <w:tc>
          <w:tcPr>
            <w:tcW w:type="dxa" w:w="6426"/>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Eastern Region, Ghana</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Products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Crude palm oil, refined palm oil, palm kernel oil, palm kernel cake, palm nutshell</w:t>
            </w:r>
          </w:p>
        </w:tc>
      </w:tr>
      <w:tr>
        <w:trPr>
          <w:tblHeader w:val="false"/>
        </w:trPr>
        <w:tc>
          <w:tcPr>
            <w:tcW w:type="dxa" w:w="2600"/>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Business model</w:t>
            </w:r>
          </w:p>
        </w:tc>
        <w:tc>
          <w:tcPr>
            <w:tcW w:type="dxa" w:w="6426"/>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Zero-waste oil palm: buy fresh fruit bunches (FFB) from outgrowers to feed the mill, while establishing an own plantation</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Own plantation</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Planned; first harvest expected 36 months after planting</w:t>
            </w:r>
          </w:p>
        </w:tc>
      </w:tr>
      <w:tr>
        <w:trPr>
          <w:tblHeader w:val="false"/>
        </w:trPr>
        <w:tc>
          <w:tcPr>
            <w:tcW w:type="dxa" w:w="2600"/>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Target market</w:t>
            </w:r>
          </w:p>
        </w:tc>
        <w:tc>
          <w:tcPr>
            <w:tcW w:type="dxa" w:w="6426"/>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Factories, bulk buyers, boarding schools, hospitals, prisons, wholesalers, retailers</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Industry standing</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Member of a national agribusiness chamber</w:t>
            </w:r>
          </w:p>
        </w:tc>
      </w:tr>
      <w:tr>
        <w:trPr>
          <w:tblHeader w:val="false"/>
        </w:trPr>
        <w:tc>
          <w:tcPr>
            <w:tcW w:type="dxa" w:w="2600"/>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Completed milestones</w:t>
            </w:r>
          </w:p>
        </w:tc>
        <w:tc>
          <w:tcPr>
            <w:tcW w:type="dxa" w:w="6426"/>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Business registration; mobile money</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Milestones in progress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Online payment; insurance registration; employee handbook; website; awareness creation; bank accounts; business licence and permit</w:t>
            </w:r>
          </w:p>
        </w:tc>
      </w:tr>
    </w:tbl>
    <w:p>
      <w:pPr>
        <w:pStyle w:val="Heading2"/>
        <w:spacing w:after="100" w:before="240"/>
      </w:pPr>
      <w:r>
        <w:rPr>
          <w:rFonts w:ascii="Montserrat" w:cs="Montserrat" w:eastAsia="Montserrat" w:hAnsi="Montserrat"/>
          <w:b/>
          <w:bCs/>
          <w:color w:val="1F5E3B"/>
          <w:sz w:val="23"/>
          <w:szCs w:val="23"/>
        </w:rPr>
        <w:t xml:space="preserve">What is working</w:t>
      </w:r>
    </w:p>
    <w:p>
      <w:pPr>
        <w:pStyle w:val="ListParagraph"/>
        <w:numPr>
          <w:ilvl w:val="0"/>
          <w:numId w:val="2"/>
        </w:numPr>
        <w:spacing w:after="80" w:line="290"/>
      </w:pPr>
      <w:r>
        <w:rPr>
          <w:rFonts w:ascii="Open Sans" w:cs="Open Sans" w:eastAsia="Open Sans" w:hAnsi="Open Sans"/>
          <w:b/>
          <w:bCs/>
          <w:color w:val="1F5E3B"/>
          <w:sz w:val="21"/>
          <w:szCs w:val="21"/>
        </w:rPr>
        <w:t xml:space="preserve">Legal standing. </w:t>
      </w:r>
      <w:r>
        <w:rPr>
          <w:rFonts w:ascii="Open Sans" w:cs="Open Sans" w:eastAsia="Open Sans" w:hAnsi="Open Sans"/>
          <w:color w:val="222222"/>
          <w:sz w:val="21"/>
          <w:szCs w:val="21"/>
        </w:rPr>
        <w:t xml:space="preserve">The company is registered, with licensing and banking recorded as in progress. The legal foundation is largely in place.</w:t>
      </w:r>
    </w:p>
    <w:p>
      <w:pPr>
        <w:pStyle w:val="ListParagraph"/>
        <w:numPr>
          <w:ilvl w:val="0"/>
          <w:numId w:val="2"/>
        </w:numPr>
        <w:spacing w:after="80" w:line="290"/>
      </w:pPr>
      <w:r>
        <w:rPr>
          <w:rFonts w:ascii="Open Sans" w:cs="Open Sans" w:eastAsia="Open Sans" w:hAnsi="Open Sans"/>
          <w:b/>
          <w:bCs/>
          <w:color w:val="1F5E3B"/>
          <w:sz w:val="21"/>
          <w:szCs w:val="21"/>
        </w:rPr>
        <w:t xml:space="preserve">Buyer profile. </w:t>
      </w:r>
      <w:r>
        <w:rPr>
          <w:rFonts w:ascii="Open Sans" w:cs="Open Sans" w:eastAsia="Open Sans" w:hAnsi="Open Sans"/>
          <w:color w:val="222222"/>
          <w:sz w:val="21"/>
          <w:szCs w:val="21"/>
        </w:rPr>
        <w:t xml:space="preserve">Institutional buyers (schools, hospitals, prisons) and wholesalers are demand segments with predictable, contractable volume. Most small processors never reach them.</w:t>
      </w:r>
    </w:p>
    <w:p>
      <w:pPr>
        <w:pStyle w:val="ListParagraph"/>
        <w:numPr>
          <w:ilvl w:val="0"/>
          <w:numId w:val="2"/>
        </w:numPr>
        <w:spacing w:after="80" w:line="290"/>
      </w:pPr>
      <w:r>
        <w:rPr>
          <w:rFonts w:ascii="Open Sans" w:cs="Open Sans" w:eastAsia="Open Sans" w:hAnsi="Open Sans"/>
          <w:b/>
          <w:bCs/>
          <w:color w:val="1F5E3B"/>
          <w:sz w:val="21"/>
          <w:szCs w:val="21"/>
        </w:rPr>
        <w:t xml:space="preserve">Zero-waste concept. </w:t>
      </w:r>
      <w:r>
        <w:rPr>
          <w:rFonts w:ascii="Open Sans" w:cs="Open Sans" w:eastAsia="Open Sans" w:hAnsi="Open Sans"/>
          <w:color w:val="222222"/>
          <w:sz w:val="21"/>
          <w:szCs w:val="21"/>
        </w:rPr>
        <w:t xml:space="preserve">Crude oil, kernel oil, kernel cake and nutshell from one fruit stream is the correct margin strategy in oil palm. The intent is sound.</w:t>
      </w:r>
    </w:p>
    <w:p>
      <w:pPr>
        <w:pStyle w:val="ListParagraph"/>
        <w:numPr>
          <w:ilvl w:val="0"/>
          <w:numId w:val="2"/>
        </w:numPr>
        <w:spacing w:after="80" w:line="290"/>
      </w:pPr>
      <w:r>
        <w:rPr>
          <w:rFonts w:ascii="Open Sans" w:cs="Open Sans" w:eastAsia="Open Sans" w:hAnsi="Open Sans"/>
          <w:b/>
          <w:bCs/>
          <w:color w:val="1F5E3B"/>
          <w:sz w:val="21"/>
          <w:szCs w:val="21"/>
        </w:rPr>
        <w:t xml:space="preserve">Industry standing. </w:t>
      </w:r>
      <w:r>
        <w:rPr>
          <w:rFonts w:ascii="Open Sans" w:cs="Open Sans" w:eastAsia="Open Sans" w:hAnsi="Open Sans"/>
          <w:color w:val="222222"/>
          <w:sz w:val="21"/>
          <w:szCs w:val="21"/>
        </w:rPr>
        <w:t xml:space="preserve">Chamber membership is a credibility asset that most peers do not hold.</w:t>
      </w:r>
    </w:p>
    <w:p>
      <w:pPr>
        <w:pStyle w:val="Heading2"/>
        <w:spacing w:after="100" w:before="240"/>
      </w:pPr>
      <w:r>
        <w:rPr>
          <w:rFonts w:ascii="Montserrat" w:cs="Montserrat" w:eastAsia="Montserrat" w:hAnsi="Montserrat"/>
          <w:b/>
          <w:bCs/>
          <w:color w:val="1F5E3B"/>
          <w:sz w:val="23"/>
          <w:szCs w:val="23"/>
        </w:rPr>
        <w:t xml:space="preserve">Systems maturity assessment</w:t>
      </w:r>
    </w:p>
    <w:p>
      <w:pPr>
        <w:spacing w:after="140" w:line="300"/>
      </w:pPr>
      <w:r>
        <w:rPr>
          <w:rFonts w:ascii="Open Sans" w:cs="Open Sans" w:eastAsia="Open Sans" w:hAnsi="Open Sans"/>
          <w:color w:val="222222"/>
          <w:sz w:val="21"/>
          <w:szCs w:val="21"/>
        </w:rPr>
        <w:t xml:space="preserve">AVAC scored six management domains on a five-point scale, from 1 (system absent) to 5 (system managed and reviewed). Scores are based on documentary evidence only and will be revised after site verification. The target for each domain is Level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5826"/>
      </w:tblGrid>
      <w:tr>
        <w:trPr>
          <w:tblHeader/>
        </w:trPr>
        <w:tc>
          <w:tcPr>
            <w:tcW w:type="dxa" w:w="2300"/>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r>
              <w:rPr>
                <w:rFonts w:ascii="Montserrat" w:cs="Montserrat" w:eastAsia="Montserrat" w:hAnsi="Montserrat"/>
                <w:b/>
                <w:bCs/>
                <w:color w:val="FFFFFF"/>
                <w:sz w:val="17"/>
                <w:szCs w:val="17"/>
              </w:rPr>
              <w:t xml:space="preserve">Domain</w:t>
            </w:r>
          </w:p>
        </w:tc>
        <w:tc>
          <w:tcPr>
            <w:tcW w:type="dxa" w:w="900"/>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r>
              <w:rPr>
                <w:rFonts w:ascii="Montserrat" w:cs="Montserrat" w:eastAsia="Montserrat" w:hAnsi="Montserrat"/>
                <w:b/>
                <w:bCs/>
                <w:color w:val="FFFFFF"/>
                <w:sz w:val="17"/>
                <w:szCs w:val="17"/>
              </w:rPr>
              <w:t xml:space="preserve">Score</w:t>
            </w:r>
          </w:p>
        </w:tc>
        <w:tc>
          <w:tcPr>
            <w:tcW w:type="dxa" w:w="5826"/>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r>
              <w:rPr>
                <w:rFonts w:ascii="Montserrat" w:cs="Montserrat" w:eastAsia="Montserrat" w:hAnsi="Montserrat"/>
                <w:b/>
                <w:bCs/>
                <w:color w:val="FFFFFF"/>
                <w:sz w:val="17"/>
                <w:szCs w:val="17"/>
              </w:rPr>
              <w:t xml:space="preserve">Basis for the score</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Cost tracking</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1 / 5</w:t>
            </w:r>
          </w:p>
        </w:tc>
        <w:tc>
          <w:tcPr>
            <w:tcW w:type="dxa" w:w="5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No unit cost, cost per tonne or cost per drum appears anywhere in the documents</w:t>
            </w:r>
          </w:p>
        </w:tc>
      </w:tr>
      <w:tr>
        <w:trPr>
          <w:tblHeader w:val="false"/>
        </w:trPr>
        <w:tc>
          <w:tcPr>
            <w:tcW w:type="dxa" w:w="2300"/>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Production records</w:t>
            </w:r>
          </w:p>
        </w:tc>
        <w:tc>
          <w:tcPr>
            <w:tcW w:type="dxa" w:w="900"/>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1 / 5</w:t>
            </w:r>
          </w:p>
        </w:tc>
        <w:tc>
          <w:tcPr>
            <w:tcW w:type="dxa" w:w="5826"/>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No FFB log, no oil output log, no extraction rate; throughput is stated but not evidenced</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Governance and roles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2 / 5</w:t>
            </w:r>
          </w:p>
        </w:tc>
        <w:tc>
          <w:tcPr>
            <w:tcW w:type="dxa" w:w="5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Roles are described as a future management summary, not as current appointments with named holders</w:t>
            </w:r>
          </w:p>
        </w:tc>
      </w:tr>
      <w:tr>
        <w:trPr>
          <w:tblHeader w:val="false"/>
        </w:trPr>
        <w:tc>
          <w:tcPr>
            <w:tcW w:type="dxa" w:w="2300"/>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Market and contracts</w:t>
            </w:r>
          </w:p>
        </w:tc>
        <w:tc>
          <w:tcPr>
            <w:tcW w:type="dxa" w:w="900"/>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2 / 5</w:t>
            </w:r>
          </w:p>
        </w:tc>
        <w:tc>
          <w:tcPr>
            <w:tcW w:type="dxa" w:w="5826"/>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Buyer segments are named; no offtake agreements or outgrower supply agreements are evidenced</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Compliance and quality</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2 / 5</w:t>
            </w:r>
          </w:p>
        </w:tc>
        <w:tc>
          <w:tcPr>
            <w:tcW w:type="dxa" w:w="5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The certifications section of the company profile is blank; food safety registration is a stated goal, not a documented status</w:t>
            </w:r>
          </w:p>
        </w:tc>
      </w:tr>
      <w:tr>
        <w:trPr>
          <w:tblHeader w:val="false"/>
        </w:trPr>
        <w:tc>
          <w:tcPr>
            <w:tcW w:type="dxa" w:w="2300"/>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Funding readiness</w:t>
            </w:r>
          </w:p>
        </w:tc>
        <w:tc>
          <w:tcPr>
            <w:tcW w:type="dxa" w:w="900"/>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2 / 5</w:t>
            </w:r>
          </w:p>
        </w:tc>
        <w:tc>
          <w:tcPr>
            <w:tcW w:type="dxa" w:w="5826"/>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A business plan exists, but its internal inconsistencies would fail a funder’s first review</w:t>
            </w:r>
          </w:p>
        </w:tc>
      </w:tr>
    </w:tbl>
    <w:p>
      <w:r>
        <w:br w:type="page"/>
      </w:r>
    </w:p>
    <w:p>
      <w:pPr>
        <w:pStyle w:val="Heading1"/>
        <w:spacing w:after="160" w:before="360"/>
      </w:pPr>
      <w:r>
        <w:rPr>
          <w:rFonts w:ascii="Montserrat" w:cs="Montserrat" w:eastAsia="Montserrat" w:hAnsi="Montserrat"/>
          <w:b/>
          <w:bCs/>
          <w:color w:val="1F5E3B"/>
          <w:sz w:val="30"/>
          <w:szCs w:val="30"/>
        </w:rPr>
        <w:t xml:space="preserve">3. Detailed Findings</w:t>
      </w:r>
    </w:p>
    <w:p>
      <w:pPr>
        <w:spacing w:after="140" w:line="300"/>
      </w:pPr>
      <w:r>
        <w:rPr>
          <w:rFonts w:ascii="Open Sans" w:cs="Open Sans" w:eastAsia="Open Sans" w:hAnsi="Open Sans"/>
          <w:i/>
          <w:iCs/>
          <w:color w:val="6B7280"/>
          <w:sz w:val="21"/>
          <w:szCs w:val="21"/>
        </w:rPr>
        <w:t xml:space="preserve">Findings are ranked by consequence. Findings 1 to 15 come from the client’s documents; Findings 16 to 21 come from the structured interview. Financial values are withheld in this version.</w:t>
      </w:r>
    </w:p>
    <w:p>
      <w:pPr>
        <w:pStyle w:val="Heading2"/>
        <w:spacing w:after="100" w:before="240"/>
      </w:pPr>
      <w:r>
        <w:rPr>
          <w:rFonts w:ascii="Montserrat" w:cs="Montserrat" w:eastAsia="Montserrat" w:hAnsi="Montserrat"/>
          <w:b/>
          <w:bCs/>
          <w:color w:val="1F5E3B"/>
          <w:sz w:val="23"/>
          <w:szCs w:val="23"/>
        </w:rPr>
        <w:t xml:space="preserve">Finding 1: The plan is loss-making in two of its first three cycles</w:t>
      </w:r>
    </w:p>
    <w:p>
      <w:pPr>
        <w:spacing w:after="140" w:line="300"/>
      </w:pPr>
      <w:r>
        <w:rPr>
          <w:rFonts w:ascii="Open Sans" w:cs="Open Sans" w:eastAsia="Open Sans" w:hAnsi="Open Sans"/>
          <w:color w:val="222222"/>
          <w:sz w:val="21"/>
          <w:szCs w:val="21"/>
        </w:rPr>
        <w:t xml:space="preserve">The business plan sets planned variable cost and planned revenue for three cycles. In Cycles 1 and 2, revenue is below variable cost. Cycle 3 shows a marginal profit. The fixed investment is never recovered within the three cycles shown, so the business is cumulatively behind at the end of Cycle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3261E" w:sz="24"/>
              <w:bottom w:val="none" w:color="FFFFFF" w:sz="0"/>
              <w:right w:val="none" w:color="FFFFFF" w:sz="0"/>
            </w:tcBorders>
            <w:shd w:fill="F7F5EF" w:color="auto" w:val="clear"/>
            <w:tcMar>
              <w:top w:type="dxa" w:w="120"/>
              <w:left w:type="dxa" w:w="180"/>
              <w:bottom w:type="dxa" w:w="120"/>
              <w:right w:type="dxa" w:w="180"/>
            </w:tcMar>
          </w:tcPr>
          <w:p>
            <w:pPr>
              <w:spacing w:after="60"/>
            </w:pPr>
            <w:r>
              <w:rPr>
                <w:rFonts w:ascii="Montserrat" w:cs="Montserrat" w:eastAsia="Montserrat" w:hAnsi="Montserrat"/>
                <w:b/>
                <w:bCs/>
                <w:color w:val="B3261E"/>
                <w:sz w:val="16"/>
                <w:szCs w:val="16"/>
              </w:rPr>
              <w:t xml:space="preserve">ROOT CAUSE</w:t>
            </w:r>
          </w:p>
          <w:p>
            <w:pPr>
              <w:spacing w:after="60" w:line="290"/>
            </w:pPr>
            <w:r>
              <w:rPr>
                <w:rFonts w:ascii="Open Sans" w:cs="Open Sans" w:eastAsia="Open Sans" w:hAnsi="Open Sans"/>
                <w:color w:val="222222"/>
                <w:sz w:val="21"/>
                <w:szCs w:val="21"/>
              </w:rPr>
              <w:t xml:space="preserve">Price was set before cost was known. The plan holds the unit price flat across all three cycles while variable cost rises by more than a third. This is the signature of a business that has never calculated a cost per unit.</w:t>
            </w:r>
          </w:p>
        </w:tc>
      </w:tr>
    </w:tbl>
    <w:p>
      <w:pPr>
        <w:spacing w:after="120"/>
      </w:pPr>
    </w:p>
    <w:p>
      <w:pPr>
        <w:pStyle w:val="Heading2"/>
        <w:spacing w:after="100" w:before="240"/>
      </w:pPr>
      <w:r>
        <w:rPr>
          <w:rFonts w:ascii="Montserrat" w:cs="Montserrat" w:eastAsia="Montserrat" w:hAnsi="Montserrat"/>
          <w:b/>
          <w:bCs/>
          <w:color w:val="1F5E3B"/>
          <w:sz w:val="23"/>
          <w:szCs w:val="23"/>
        </w:rPr>
        <w:t xml:space="preserve">Finding 2: Throughput and raw material budget differ by more than 100 times</w:t>
      </w:r>
    </w:p>
    <w:p>
      <w:pPr>
        <w:spacing w:after="140" w:line="300"/>
      </w:pPr>
      <w:r>
        <w:rPr>
          <w:rFonts w:ascii="Open Sans" w:cs="Open Sans" w:eastAsia="Open Sans" w:hAnsi="Open Sans"/>
          <w:color w:val="222222"/>
          <w:sz w:val="21"/>
          <w:szCs w:val="21"/>
        </w:rPr>
        <w:t xml:space="preserve">The executive summary and operations section state an annual FFB throughput. The working capital table budgets a monthly FFB quantity that, annualised, is more than one hundred times smaller. Only one of these figures can be correct. If the throughput claim is true, the raw material budget and the total capital requirement are far too low. If the budget is true, the plan describes a micro-operation and the throughput claim must be removed before any funder sees it.</w:t>
      </w:r>
    </w:p>
    <w:p>
      <w:pPr>
        <w:spacing w:after="140" w:line="300"/>
      </w:pPr>
      <w:r>
        <w:rPr>
          <w:rFonts w:ascii="Open Sans" w:cs="Open Sans" w:eastAsia="Open Sans" w:hAnsi="Open Sans"/>
          <w:color w:val="222222"/>
          <w:sz w:val="21"/>
          <w:szCs w:val="21"/>
        </w:rPr>
        <w:t xml:space="preserve">A secondary problem sits inside the same line: the implied price per tonne of fruit is high relative to prevailing farm-gate prices in Ghana. Either the line includes costs other than fruit, or the quantity is mislabelled. Either way, the most important input cost in the business is not reliably stated.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3261E" w:sz="24"/>
              <w:bottom w:val="none" w:color="FFFFFF" w:sz="0"/>
              <w:right w:val="none" w:color="FFFFFF" w:sz="0"/>
            </w:tcBorders>
            <w:shd w:fill="F7F5EF" w:color="auto" w:val="clear"/>
            <w:tcMar>
              <w:top w:type="dxa" w:w="120"/>
              <w:left w:type="dxa" w:w="180"/>
              <w:bottom w:type="dxa" w:w="120"/>
              <w:right w:type="dxa" w:w="180"/>
            </w:tcMar>
          </w:tcPr>
          <w:p>
            <w:pPr>
              <w:spacing w:after="60"/>
            </w:pPr>
            <w:r>
              <w:rPr>
                <w:rFonts w:ascii="Montserrat" w:cs="Montserrat" w:eastAsia="Montserrat" w:hAnsi="Montserrat"/>
                <w:b/>
                <w:bCs/>
                <w:color w:val="B3261E"/>
                <w:sz w:val="16"/>
                <w:szCs w:val="16"/>
              </w:rPr>
              <w:t xml:space="preserve">CONSEQUENCE</w:t>
            </w:r>
          </w:p>
          <w:p>
            <w:pPr>
              <w:spacing w:after="60" w:line="290"/>
            </w:pPr>
            <w:r>
              <w:rPr>
                <w:rFonts w:ascii="Open Sans" w:cs="Open Sans" w:eastAsia="Open Sans" w:hAnsi="Open Sans"/>
                <w:color w:val="222222"/>
                <w:sz w:val="21"/>
                <w:szCs w:val="21"/>
              </w:rPr>
              <w:t xml:space="preserve">A funder or bank reviewer will find this within five minutes. It will be read as carelessness or overstatement, and it will end the application regardless of the underlying quality of the business.</w:t>
            </w:r>
          </w:p>
        </w:tc>
      </w:tr>
    </w:tbl>
    <w:p>
      <w:pPr>
        <w:spacing w:after="120"/>
      </w:pPr>
    </w:p>
    <w:p>
      <w:pPr>
        <w:pStyle w:val="Heading2"/>
        <w:spacing w:after="100" w:before="240"/>
      </w:pPr>
      <w:r>
        <w:rPr>
          <w:rFonts w:ascii="Montserrat" w:cs="Montserrat" w:eastAsia="Montserrat" w:hAnsi="Montserrat"/>
          <w:b/>
          <w:bCs/>
          <w:color w:val="1F5E3B"/>
          <w:sz w:val="23"/>
          <w:szCs w:val="23"/>
        </w:rPr>
        <w:t xml:space="preserve">Finding 3: Energy is the largest single cost and is not being managed</w:t>
      </w:r>
    </w:p>
    <w:p>
      <w:pPr>
        <w:spacing w:after="140" w:line="300"/>
      </w:pPr>
      <w:r>
        <w:rPr>
          <w:rFonts w:ascii="Open Sans" w:cs="Open Sans" w:eastAsia="Open Sans" w:hAnsi="Open Sans"/>
          <w:color w:val="222222"/>
          <w:sz w:val="21"/>
          <w:szCs w:val="21"/>
        </w:rPr>
        <w:t xml:space="preserve">Electricity is the largest single line of planned variable cost: larger than raw material and nearly double labour. For a processing operation of the scale implied by the raw material budget, this is disproportionate.</w:t>
      </w:r>
    </w:p>
    <w:p>
      <w:pPr>
        <w:spacing w:after="140" w:line="300"/>
      </w:pPr>
      <w:r>
        <w:rPr>
          <w:rFonts w:ascii="Open Sans" w:cs="Open Sans" w:eastAsia="Open Sans" w:hAnsi="Open Sans"/>
          <w:color w:val="222222"/>
          <w:sz w:val="21"/>
          <w:szCs w:val="21"/>
        </w:rPr>
        <w:t xml:space="preserve">Three explanations are possible and must be separated on site: the figure is misstated, the tariff band is wrong for the load, or the mill is genuinely energy-inefficient. Each has a different and inexpensive remedy. None can be addressed without a meter reading and a tariff schedule.</w:t>
      </w:r>
    </w:p>
    <w:p>
      <w:pPr>
        <w:pStyle w:val="Heading2"/>
        <w:spacing w:after="100" w:before="240"/>
      </w:pPr>
      <w:r>
        <w:rPr>
          <w:rFonts w:ascii="Montserrat" w:cs="Montserrat" w:eastAsia="Montserrat" w:hAnsi="Montserrat"/>
          <w:b/>
          <w:bCs/>
          <w:color w:val="1F5E3B"/>
          <w:sz w:val="23"/>
          <w:szCs w:val="23"/>
        </w:rPr>
        <w:t xml:space="preserve">Finding 4: No extraction rate is tracked</w:t>
      </w:r>
    </w:p>
    <w:p>
      <w:pPr>
        <w:spacing w:after="140" w:line="300"/>
      </w:pPr>
      <w:r>
        <w:rPr>
          <w:rFonts w:ascii="Open Sans" w:cs="Open Sans" w:eastAsia="Open Sans" w:hAnsi="Open Sans"/>
          <w:color w:val="222222"/>
          <w:sz w:val="21"/>
          <w:szCs w:val="21"/>
        </w:rPr>
        <w:t xml:space="preserve">Oil extraction rate (OER), the percentage of oil recovered from fresh fruit, is the single most important efficiency measure in palm oil processing. It does not appear anywhere in the documents. Without it, the business cannot tell whether a poor month was caused by fruit quality, mill performance or theft.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89B3C" w:sz="24"/>
              <w:bottom w:val="none" w:color="FFFFFF" w:sz="0"/>
              <w:right w:val="none" w:color="FFFFFF" w:sz="0"/>
            </w:tcBorders>
            <w:shd w:fill="F7F5EF" w:color="auto" w:val="clear"/>
            <w:tcMar>
              <w:top w:type="dxa" w:w="120"/>
              <w:left w:type="dxa" w:w="180"/>
              <w:bottom w:type="dxa" w:w="120"/>
              <w:right w:type="dxa" w:w="180"/>
            </w:tcMar>
          </w:tcPr>
          <w:p>
            <w:pPr>
              <w:spacing w:after="60"/>
            </w:pPr>
            <w:r>
              <w:rPr>
                <w:rFonts w:ascii="Montserrat" w:cs="Montserrat" w:eastAsia="Montserrat" w:hAnsi="Montserrat"/>
                <w:b/>
                <w:bCs/>
                <w:color w:val="C89B3C"/>
                <w:sz w:val="16"/>
                <w:szCs w:val="16"/>
              </w:rPr>
              <w:t xml:space="preserve">WHY THIS MATTERS COMMERCIALLY</w:t>
            </w:r>
          </w:p>
          <w:p>
            <w:pPr>
              <w:spacing w:after="60" w:line="290"/>
            </w:pPr>
            <w:r>
              <w:rPr>
                <w:rFonts w:ascii="Open Sans" w:cs="Open Sans" w:eastAsia="Open Sans" w:hAnsi="Open Sans"/>
                <w:color w:val="222222"/>
                <w:sz w:val="21"/>
                <w:szCs w:val="21"/>
              </w:rPr>
              <w:t xml:space="preserve">A movement of two percentage points in OER at the stated throughput is a material volume of oil. Today it would pass entirely unnoticed.</w:t>
            </w:r>
          </w:p>
        </w:tc>
      </w:tr>
    </w:tbl>
    <w:p>
      <w:pPr>
        <w:spacing w:after="120"/>
      </w:pPr>
    </w:p>
    <w:p>
      <w:pPr>
        <w:pStyle w:val="Heading2"/>
        <w:spacing w:after="100" w:before="240"/>
      </w:pPr>
      <w:r>
        <w:rPr>
          <w:rFonts w:ascii="Montserrat" w:cs="Montserrat" w:eastAsia="Montserrat" w:hAnsi="Montserrat"/>
          <w:b/>
          <w:bCs/>
          <w:color w:val="1F5E3B"/>
          <w:sz w:val="23"/>
          <w:szCs w:val="23"/>
        </w:rPr>
        <w:t xml:space="preserve">Finding 5: Three years of full dependence on outgrowers, with no supply agreements</w:t>
      </w:r>
    </w:p>
    <w:p>
      <w:pPr>
        <w:spacing w:after="140" w:line="300"/>
      </w:pPr>
      <w:r>
        <w:rPr>
          <w:rFonts w:ascii="Open Sans" w:cs="Open Sans" w:eastAsia="Open Sans" w:hAnsi="Open Sans"/>
          <w:color w:val="222222"/>
          <w:sz w:val="21"/>
          <w:szCs w:val="21"/>
        </w:rPr>
        <w:t xml:space="preserve">The planned plantation yields nothing for 36 months. For that entire period the mill runs on purchased fruit. The documents name no outgrower, specify no agreed price and evidence no supply agreement. The business is fully exposed to seasonal price movement and competing buyers, with no contractual protection and no budgeted price band.</w:t>
      </w:r>
    </w:p>
    <w:p>
      <w:pPr>
        <w:pStyle w:val="Heading2"/>
        <w:spacing w:after="100" w:before="240"/>
      </w:pPr>
      <w:r>
        <w:rPr>
          <w:rFonts w:ascii="Montserrat" w:cs="Montserrat" w:eastAsia="Montserrat" w:hAnsi="Montserrat"/>
          <w:b/>
          <w:bCs/>
          <w:color w:val="1F5E3B"/>
          <w:sz w:val="23"/>
          <w:szCs w:val="23"/>
        </w:rPr>
        <w:t xml:space="preserve">Finding 6: Governance is described in the future tense</w:t>
      </w:r>
    </w:p>
    <w:p>
      <w:pPr>
        <w:spacing w:after="140" w:line="300"/>
      </w:pPr>
      <w:r>
        <w:rPr>
          <w:rFonts w:ascii="Open Sans" w:cs="Open Sans" w:eastAsia="Open Sans" w:hAnsi="Open Sans"/>
          <w:color w:val="222222"/>
          <w:sz w:val="21"/>
          <w:szCs w:val="21"/>
        </w:rPr>
        <w:t xml:space="preserve">The management section is headed “Future management summary” and lists six roles: CEO, Secretary, Accountant, Marketer, Production Officer and Supervisor. No position holder is named. In practice the founder is performing all six functions. No independent person is responsible for recording cash, stock or output, which is exactly the condition under which the human risks the plan itself identifies become most likely.</w:t>
      </w:r>
    </w:p>
    <w:p>
      <w:pPr>
        <w:pStyle w:val="Heading2"/>
        <w:spacing w:after="100" w:before="240"/>
      </w:pPr>
      <w:r>
        <w:rPr>
          <w:rFonts w:ascii="Montserrat" w:cs="Montserrat" w:eastAsia="Montserrat" w:hAnsi="Montserrat"/>
          <w:b/>
          <w:bCs/>
          <w:color w:val="1F5E3B"/>
          <w:sz w:val="23"/>
          <w:szCs w:val="23"/>
        </w:rPr>
        <w:t xml:space="preserve">Finding 7: Compliance status is asserted, not evidenced</w:t>
      </w:r>
    </w:p>
    <w:p>
      <w:pPr>
        <w:spacing w:after="140" w:line="300"/>
      </w:pPr>
      <w:r>
        <w:rPr>
          <w:rFonts w:ascii="Open Sans" w:cs="Open Sans" w:eastAsia="Open Sans" w:hAnsi="Open Sans"/>
          <w:color w:val="222222"/>
          <w:sz w:val="21"/>
          <w:szCs w:val="21"/>
        </w:rPr>
        <w:t xml:space="preserve">The certifications section of the company profile is blank. Food safety registration appears as an ambition. For sales to boarding schools, hospitals and prisons, the named target market, documented food safety registration is not optional. This is a direct blocker on the highest-value buyer segment.</w:t>
      </w:r>
    </w:p>
    <w:p>
      <w:pPr>
        <w:pStyle w:val="Heading2"/>
        <w:spacing w:after="100" w:before="240"/>
      </w:pPr>
      <w:r>
        <w:rPr>
          <w:rFonts w:ascii="Montserrat" w:cs="Montserrat" w:eastAsia="Montserrat" w:hAnsi="Montserrat"/>
          <w:b/>
          <w:bCs/>
          <w:color w:val="1F5E3B"/>
          <w:sz w:val="23"/>
          <w:szCs w:val="23"/>
        </w:rPr>
        <w:t xml:space="preserve">Finding 8: Document control</w:t>
      </w:r>
    </w:p>
    <w:p>
      <w:pPr>
        <w:spacing w:after="140" w:line="300"/>
      </w:pPr>
      <w:r>
        <w:rPr>
          <w:rFonts w:ascii="Open Sans" w:cs="Open Sans" w:eastAsia="Open Sans" w:hAnsi="Open Sans"/>
          <w:color w:val="222222"/>
          <w:sz w:val="21"/>
          <w:szCs w:val="21"/>
        </w:rPr>
        <w:t xml:space="preserve">Two identical copies of the business plan are in circulation, and the processing plant cost is written in two different formats in two tables. Minor in isolation; read alongside Findings 1 and 2, it compounds the impression that the numbers have not been checked.</w:t>
      </w:r>
    </w:p>
    <w:p>
      <w:pPr>
        <w:pStyle w:val="Heading2"/>
        <w:spacing w:after="100" w:before="240"/>
      </w:pPr>
      <w:r>
        <w:rPr>
          <w:rFonts w:ascii="Montserrat" w:cs="Montserrat" w:eastAsia="Montserrat" w:hAnsi="Montserrat"/>
          <w:b/>
          <w:bCs/>
          <w:color w:val="1F5E3B"/>
          <w:sz w:val="23"/>
          <w:szCs w:val="23"/>
        </w:rPr>
        <w:t xml:space="preserve">Finding 9: The company profile and the business plan describe two different companies</w:t>
      </w:r>
    </w:p>
    <w:p>
      <w:pPr>
        <w:spacing w:after="140" w:line="300"/>
      </w:pPr>
      <w:r>
        <w:rPr>
          <w:rFonts w:ascii="Open Sans" w:cs="Open Sans" w:eastAsia="Open Sans" w:hAnsi="Open Sans"/>
          <w:color w:val="222222"/>
          <w:sz w:val="21"/>
          <w:szCs w:val="21"/>
        </w:rPr>
        <w:t xml:space="preserve">The company profile states that the business owns and operates oil palm plantations, operates mills and refineries, and has a strong supplier and logistics network. The business plan states that the plantation will be established, that the processing plant will be installed, that first harvest is 36 months away, and that start-up capital is still required.</w:t>
      </w:r>
    </w:p>
    <w:p>
      <w:pPr>
        <w:spacing w:after="140" w:line="300"/>
      </w:pPr>
      <w:r>
        <w:rPr>
          <w:rFonts w:ascii="Open Sans" w:cs="Open Sans" w:eastAsia="Open Sans" w:hAnsi="Open Sans"/>
          <w:color w:val="222222"/>
          <w:sz w:val="21"/>
          <w:szCs w:val="21"/>
        </w:rPr>
        <w:t xml:space="preserve">These cannot both be true. One document describes an operating integrated producer; the other describes a start-up seeking capital. A funder reading both will treat the gap as overstatement.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3261E" w:sz="24"/>
              <w:bottom w:val="none" w:color="FFFFFF" w:sz="0"/>
              <w:right w:val="none" w:color="FFFFFF" w:sz="0"/>
            </w:tcBorders>
            <w:shd w:fill="F7F5EF" w:color="auto" w:val="clear"/>
            <w:tcMar>
              <w:top w:type="dxa" w:w="120"/>
              <w:left w:type="dxa" w:w="180"/>
              <w:bottom w:type="dxa" w:w="120"/>
              <w:right w:type="dxa" w:w="180"/>
            </w:tcMar>
          </w:tcPr>
          <w:p>
            <w:pPr>
              <w:spacing w:after="60"/>
            </w:pPr>
            <w:r>
              <w:rPr>
                <w:rFonts w:ascii="Montserrat" w:cs="Montserrat" w:eastAsia="Montserrat" w:hAnsi="Montserrat"/>
                <w:b/>
                <w:bCs/>
                <w:color w:val="B3261E"/>
                <w:sz w:val="16"/>
                <w:szCs w:val="16"/>
              </w:rPr>
              <w:t xml:space="preserve">IMMEDIATE ACTION</w:t>
            </w:r>
          </w:p>
          <w:p>
            <w:pPr>
              <w:spacing w:after="60" w:line="290"/>
            </w:pPr>
            <w:r>
              <w:rPr>
                <w:rFonts w:ascii="Open Sans" w:cs="Open Sans" w:eastAsia="Open Sans" w:hAnsi="Open Sans"/>
                <w:color w:val="222222"/>
                <w:sz w:val="21"/>
                <w:szCs w:val="21"/>
              </w:rPr>
              <w:t xml:space="preserve">Align the two documents to one honest description of current operating status before either is sent to a bank, grant assessor or institutional buyer.</w:t>
            </w:r>
          </w:p>
        </w:tc>
      </w:tr>
    </w:tbl>
    <w:p>
      <w:pPr>
        <w:spacing w:after="120"/>
      </w:pPr>
    </w:p>
    <w:p>
      <w:pPr>
        <w:pStyle w:val="Heading2"/>
        <w:spacing w:after="100" w:before="240"/>
      </w:pPr>
      <w:r>
        <w:rPr>
          <w:rFonts w:ascii="Montserrat" w:cs="Montserrat" w:eastAsia="Montserrat" w:hAnsi="Montserrat"/>
          <w:b/>
          <w:bCs/>
          <w:color w:val="1F5E3B"/>
          <w:sz w:val="23"/>
          <w:szCs w:val="23"/>
        </w:rPr>
        <w:t xml:space="preserve">Finding 10: The model’s critical dependency is identified as a weakness and left unmitigated</w:t>
      </w:r>
    </w:p>
    <w:p>
      <w:pPr>
        <w:spacing w:after="140" w:line="300"/>
      </w:pPr>
      <w:r>
        <w:rPr>
          <w:rFonts w:ascii="Open Sans" w:cs="Open Sans" w:eastAsia="Open Sans" w:hAnsi="Open Sans"/>
          <w:color w:val="222222"/>
          <w:sz w:val="21"/>
          <w:szCs w:val="21"/>
        </w:rPr>
        <w:t xml:space="preserve">The SWOT analysis lists the availability and affordability of raw materials as a weakness. The entire model depends on buying fruit from outgrowers for at least 36 months. The company has correctly identified its single greatest threat and offered no mitigation: no supply agreements, no agreed price band, no alternative sourcing and no buffer stock.</w:t>
      </w:r>
    </w:p>
    <w:p>
      <w:pPr>
        <w:spacing w:after="140" w:line="300"/>
      </w:pPr>
      <w:r>
        <w:rPr>
          <w:rFonts w:ascii="Open Sans" w:cs="Open Sans" w:eastAsia="Open Sans" w:hAnsi="Open Sans"/>
          <w:color w:val="222222"/>
          <w:sz w:val="21"/>
          <w:szCs w:val="21"/>
        </w:rPr>
        <w:t xml:space="preserve">The SWOT also lists a good marketing system as a strength, while the website, online payment and awareness creation are recorded as still in progress. A strength that does not yet exist is not a strength.</w:t>
      </w:r>
    </w:p>
    <w:p>
      <w:pPr>
        <w:pStyle w:val="Heading2"/>
        <w:spacing w:after="100" w:before="240"/>
      </w:pPr>
      <w:r>
        <w:rPr>
          <w:rFonts w:ascii="Montserrat" w:cs="Montserrat" w:eastAsia="Montserrat" w:hAnsi="Montserrat"/>
          <w:b/>
          <w:bCs/>
          <w:color w:val="1F5E3B"/>
          <w:sz w:val="23"/>
          <w:szCs w:val="23"/>
        </w:rPr>
        <w:t xml:space="preserve">Finding 11: The zero-waste positioning generates no revenue in the company’s own model</w:t>
      </w:r>
    </w:p>
    <w:p>
      <w:pPr>
        <w:spacing w:after="140" w:line="300"/>
      </w:pPr>
      <w:r>
        <w:rPr>
          <w:rFonts w:ascii="Open Sans" w:cs="Open Sans" w:eastAsia="Open Sans" w:hAnsi="Open Sans"/>
          <w:color w:val="222222"/>
          <w:sz w:val="21"/>
          <w:szCs w:val="21"/>
        </w:rPr>
        <w:t xml:space="preserve">The plan positions the business as a zero-waste operation producing crude oil, refined oil, kernel oil, kernel cake and nutshell. The revenue model contains a single line for one product. No revenue is attributed to the by-products.</w:t>
      </w:r>
    </w:p>
    <w:p>
      <w:pPr>
        <w:spacing w:after="140" w:line="300"/>
      </w:pPr>
      <w:r>
        <w:rPr>
          <w:rFonts w:ascii="Open Sans" w:cs="Open Sans" w:eastAsia="Open Sans" w:hAnsi="Open Sans"/>
          <w:color w:val="222222"/>
          <w:sz w:val="21"/>
          <w:szCs w:val="21"/>
        </w:rPr>
        <w:t xml:space="preserve">Either the by-product revenue exists and is missing from the model, in which case the plan understates the business, or it does not exist, in which case the zero-waste claim is marketing rather than operations. Both need resolving.</w:t>
      </w:r>
    </w:p>
    <w:p>
      <w:pPr>
        <w:pStyle w:val="Heading2"/>
        <w:spacing w:after="100" w:before="240"/>
      </w:pPr>
      <w:r>
        <w:rPr>
          <w:rFonts w:ascii="Montserrat" w:cs="Montserrat" w:eastAsia="Montserrat" w:hAnsi="Montserrat"/>
          <w:b/>
          <w:bCs/>
          <w:color w:val="1F5E3B"/>
          <w:sz w:val="23"/>
          <w:szCs w:val="23"/>
        </w:rPr>
        <w:t xml:space="preserve">Finding 12: The revenue model has no defined unit and no defined period</w:t>
      </w:r>
    </w:p>
    <w:p>
      <w:pPr>
        <w:spacing w:after="140" w:line="300"/>
      </w:pPr>
      <w:r>
        <w:rPr>
          <w:rFonts w:ascii="Open Sans" w:cs="Open Sans" w:eastAsia="Open Sans" w:hAnsi="Open Sans"/>
          <w:color w:val="222222"/>
          <w:sz w:val="21"/>
          <w:szCs w:val="21"/>
        </w:rPr>
        <w:t xml:space="preserve">Revenue is stated as a quantity of “pieces” at a flat price. A piece may be a drum, a gallon, a bottle or a carton; the documents do not say. A “cycle” is never given a duration, so the three cycles cannot be converted into an annual figure or compared with the throughput claim. Without a unit and a period, the revenue model cannot be tested by anyone, including the company itself.</w:t>
      </w:r>
    </w:p>
    <w:p>
      <w:pPr>
        <w:pStyle w:val="Heading2"/>
        <w:spacing w:after="100" w:before="240"/>
      </w:pPr>
      <w:r>
        <w:rPr>
          <w:rFonts w:ascii="Montserrat" w:cs="Montserrat" w:eastAsia="Montserrat" w:hAnsi="Montserrat"/>
          <w:b/>
          <w:bCs/>
          <w:color w:val="1F5E3B"/>
          <w:sz w:val="23"/>
          <w:szCs w:val="23"/>
        </w:rPr>
        <w:t xml:space="preserve">Finding 13: A large share of fixed capital is unexplained</w:t>
      </w:r>
    </w:p>
    <w:p>
      <w:pPr>
        <w:spacing w:after="140" w:line="300"/>
      </w:pPr>
      <w:r>
        <w:rPr>
          <w:rFonts w:ascii="Open Sans" w:cs="Open Sans" w:eastAsia="Open Sans" w:hAnsi="Open Sans"/>
          <w:color w:val="222222"/>
          <w:sz w:val="21"/>
          <w:szCs w:val="21"/>
        </w:rPr>
        <w:t xml:space="preserve">More than a third of the fixed capital is allocated to a borehole and reverse osmosis water treatment. Nothing in the plan explains why an oil palm mill requires it. Either there is an unstated water or beverage activity, the process needs water treatment for a reason that should be documented, or the allocation is misplaced.</w:t>
      </w:r>
    </w:p>
    <w:p>
      <w:pPr>
        <w:spacing w:after="140" w:line="300"/>
      </w:pPr>
      <w:r>
        <w:rPr>
          <w:rFonts w:ascii="Open Sans" w:cs="Open Sans" w:eastAsia="Open Sans" w:hAnsi="Open Sans"/>
          <w:color w:val="222222"/>
          <w:sz w:val="21"/>
          <w:szCs w:val="21"/>
        </w:rPr>
        <w:t xml:space="preserve">The financials also contain no depreciation on fixed assets, no interest or repayment schedule and no tax line, despite the PEST analysis naming a change in tax rate as a live economic risk.</w:t>
      </w:r>
    </w:p>
    <w:p>
      <w:pPr>
        <w:pStyle w:val="Heading2"/>
        <w:spacing w:after="100" w:before="240"/>
      </w:pPr>
      <w:r>
        <w:rPr>
          <w:rFonts w:ascii="Montserrat" w:cs="Montserrat" w:eastAsia="Montserrat" w:hAnsi="Montserrat"/>
          <w:b/>
          <w:bCs/>
          <w:color w:val="1F5E3B"/>
          <w:sz w:val="23"/>
          <w:szCs w:val="23"/>
        </w:rPr>
        <w:t xml:space="preserve">Finding 14: The chemical-free claim conflicts with the company’s own risk assessment</w:t>
      </w:r>
    </w:p>
    <w:p>
      <w:pPr>
        <w:spacing w:after="140" w:line="300"/>
      </w:pPr>
      <w:r>
        <w:rPr>
          <w:rFonts w:ascii="Open Sans" w:cs="Open Sans" w:eastAsia="Open Sans" w:hAnsi="Open Sans"/>
          <w:color w:val="222222"/>
          <w:sz w:val="21"/>
          <w:szCs w:val="21"/>
        </w:rPr>
        <w:t xml:space="preserve">The mission is to produce chemical-free palm oil. The risk assessment lists chemical application as the principal health risk, and the product range includes refined palm oil, which typically involves processing agents. If the chemical-free claim is used in marketing, particularly to hospitals, schools and prisons, it must be defined precisely and substantiated, or it becomes a regulatory exposure rather than a selling point.</w:t>
      </w:r>
    </w:p>
    <w:p>
      <w:pPr>
        <w:pStyle w:val="Heading2"/>
        <w:spacing w:after="100" w:before="240"/>
      </w:pPr>
      <w:r>
        <w:rPr>
          <w:rFonts w:ascii="Montserrat" w:cs="Montserrat" w:eastAsia="Montserrat" w:hAnsi="Montserrat"/>
          <w:b/>
          <w:bCs/>
          <w:color w:val="1F5E3B"/>
          <w:sz w:val="23"/>
          <w:szCs w:val="23"/>
        </w:rPr>
        <w:t xml:space="preserve">Finding 15: Operational footprint and contact details do not support the target market</w:t>
      </w:r>
    </w:p>
    <w:p>
      <w:pPr>
        <w:spacing w:after="140" w:line="300"/>
      </w:pPr>
      <w:r>
        <w:rPr>
          <w:rFonts w:ascii="Open Sans" w:cs="Open Sans" w:eastAsia="Open Sans" w:hAnsi="Open Sans"/>
          <w:color w:val="222222"/>
          <w:sz w:val="21"/>
          <w:szCs w:val="21"/>
        </w:rPr>
        <w:t xml:space="preserve">The company profile records operations in two regions; the business plan describes activity in one district only, and no asset, site or staff in the second region appears in any document. The registered contact addresses are personal email accounts, and insurance registration is still in progress against fixed assets and a heat-and-press process.</w:t>
      </w:r>
    </w:p>
    <w:p>
      <w:pPr>
        <w:spacing w:after="140" w:line="300"/>
      </w:pPr>
      <w:r>
        <w:rPr>
          <w:rFonts w:ascii="Open Sans" w:cs="Open Sans" w:eastAsia="Open Sans" w:hAnsi="Open Sans"/>
          <w:color w:val="222222"/>
          <w:sz w:val="21"/>
          <w:szCs w:val="21"/>
        </w:rPr>
        <w:t xml:space="preserve">Institutional buyers procure through formal tender. Personal email addresses, unevidenced locations and absent insurance are the details that remove a supplier at pre-qualification, before price is ever discussed.</w:t>
      </w:r>
    </w:p>
    <w:p>
      <w:pPr>
        <w:pStyle w:val="Heading2"/>
        <w:spacing w:after="100" w:before="240"/>
      </w:pPr>
      <w:r>
        <w:rPr>
          <w:rFonts w:ascii="Montserrat" w:cs="Montserrat" w:eastAsia="Montserrat" w:hAnsi="Montserrat"/>
          <w:b/>
          <w:bCs/>
          <w:color w:val="1F5E3B"/>
          <w:sz w:val="23"/>
          <w:szCs w:val="23"/>
        </w:rPr>
        <w:t xml:space="preserve">Finding 16: Asked what it costs to produce one unit, the founder did not know</w:t>
      </w:r>
    </w:p>
    <w:p>
      <w:pPr>
        <w:spacing w:after="140" w:line="300"/>
      </w:pPr>
      <w:r>
        <w:rPr>
          <w:rFonts w:ascii="Open Sans" w:cs="Open Sans" w:eastAsia="Open Sans" w:hAnsi="Open Sans"/>
          <w:color w:val="222222"/>
          <w:sz w:val="21"/>
          <w:szCs w:val="21"/>
        </w:rPr>
        <w:t xml:space="preserve">Asked directly in the structured interview what it costs to produce one unit of product, the founder answered that he did not know. This is the most important answer gathered in the interview. It is not AVAC’s interpretation; it independently confirms the root cause identified from the documents alone in Findings 1, 11, 12 and 13.</w:t>
      </w:r>
    </w:p>
    <w:p>
      <w:pPr>
        <w:pStyle w:val="Heading2"/>
        <w:spacing w:after="100" w:before="240"/>
      </w:pPr>
      <w:r>
        <w:rPr>
          <w:rFonts w:ascii="Montserrat" w:cs="Montserrat" w:eastAsia="Montserrat" w:hAnsi="Montserrat"/>
          <w:b/>
          <w:bCs/>
          <w:color w:val="1F5E3B"/>
          <w:sz w:val="23"/>
          <w:szCs w:val="23"/>
        </w:rPr>
        <w:t xml:space="preserve">Finding 17: A single unfulfilled order broke a customer relationship</w:t>
      </w:r>
    </w:p>
    <w:p>
      <w:pPr>
        <w:spacing w:after="140" w:line="300"/>
      </w:pPr>
      <w:r>
        <w:rPr>
          <w:rFonts w:ascii="Open Sans" w:cs="Open Sans" w:eastAsia="Open Sans" w:hAnsi="Open Sans"/>
          <w:color w:val="222222"/>
          <w:sz w:val="21"/>
          <w:szCs w:val="21"/>
        </w:rPr>
        <w:t xml:space="preserve">The founder described, unprompted, a buyer order the business could not fill. Product was sourced from a third party to cover the gap, the buyer was dissatisfied with what arrived, and the relationship ended. This is exactly the failure mode implied by Findings 6 and 10, now confirmed as a real, costly event rather than a theoretical risk. No quality-check standard exists, so there is no way to know how often this happens.</w:t>
      </w:r>
    </w:p>
    <w:p>
      <w:pPr>
        <w:pStyle w:val="Heading2"/>
        <w:spacing w:after="100" w:before="240"/>
      </w:pPr>
      <w:r>
        <w:rPr>
          <w:rFonts w:ascii="Montserrat" w:cs="Montserrat" w:eastAsia="Montserrat" w:hAnsi="Montserrat"/>
          <w:b/>
          <w:bCs/>
          <w:color w:val="1F5E3B"/>
          <w:sz w:val="23"/>
          <w:szCs w:val="23"/>
        </w:rPr>
        <w:t xml:space="preserve">Finding 18: Current staffing does not support the claimed throughput</w:t>
      </w:r>
    </w:p>
    <w:p>
      <w:pPr>
        <w:spacing w:after="140" w:line="300"/>
      </w:pPr>
      <w:r>
        <w:rPr>
          <w:rFonts w:ascii="Open Sans" w:cs="Open Sans" w:eastAsia="Open Sans" w:hAnsi="Open Sans"/>
          <w:color w:val="222222"/>
          <w:sz w:val="21"/>
          <w:szCs w:val="21"/>
        </w:rPr>
        <w:t xml:space="preserve">The founder described a team of four: the founder, one person combining secretarial and processing duties, and two part-time staff. On paper, that team runs the operation the business plan describes, and the founder’s three-year ambition is larger still. A four-person team, half of it part-time, cannot run a mill at either scale. This independently confirms Finding 2.</w:t>
      </w:r>
    </w:p>
    <w:p>
      <w:pPr>
        <w:pStyle w:val="Heading2"/>
        <w:spacing w:after="100" w:before="240"/>
      </w:pPr>
      <w:r>
        <w:rPr>
          <w:rFonts w:ascii="Montserrat" w:cs="Montserrat" w:eastAsia="Montserrat" w:hAnsi="Montserrat"/>
          <w:b/>
          <w:bCs/>
          <w:color w:val="1F5E3B"/>
          <w:sz w:val="23"/>
          <w:szCs w:val="23"/>
        </w:rPr>
        <w:t xml:space="preserve">Finding 19: The business runs order-to-process, not continuous production</w:t>
      </w:r>
    </w:p>
    <w:p>
      <w:pPr>
        <w:spacing w:after="140" w:line="300"/>
      </w:pPr>
      <w:r>
        <w:rPr>
          <w:rFonts w:ascii="Open Sans" w:cs="Open Sans" w:eastAsia="Open Sans" w:hAnsi="Open Sans"/>
          <w:color w:val="222222"/>
          <w:sz w:val="21"/>
          <w:szCs w:val="21"/>
        </w:rPr>
        <w:t xml:space="preserve">Asked how often stock is reconciled against production and sales, the founder explained there is no ongoing reconciliation because the mill runs only when there is a confirmed order. This is a third description of the operating model, different from both the company profile and the business plan. Order-to-process is not wrong in itself, and many small processors work this way, but it must be stated consistently because it changes the entire capital and staffing case.</w:t>
      </w:r>
    </w:p>
    <w:p>
      <w:pPr>
        <w:pStyle w:val="Heading2"/>
        <w:spacing w:after="100" w:before="240"/>
      </w:pPr>
      <w:r>
        <w:rPr>
          <w:rFonts w:ascii="Montserrat" w:cs="Montserrat" w:eastAsia="Montserrat" w:hAnsi="Montserrat"/>
          <w:b/>
          <w:bCs/>
          <w:color w:val="1F5E3B"/>
          <w:sz w:val="23"/>
          <w:szCs w:val="23"/>
        </w:rPr>
        <w:t xml:space="preserve">Finding 20: Prices are set by undercutting the market, with no known cost floor</w:t>
      </w:r>
    </w:p>
    <w:p>
      <w:pPr>
        <w:spacing w:after="140" w:line="300"/>
      </w:pPr>
      <w:r>
        <w:rPr>
          <w:rFonts w:ascii="Open Sans" w:cs="Open Sans" w:eastAsia="Open Sans" w:hAnsi="Open Sans"/>
          <w:color w:val="222222"/>
          <w:sz w:val="21"/>
          <w:szCs w:val="21"/>
        </w:rPr>
        <w:t xml:space="preserve">Asked how price is decided, the founder said he checks the prevailing market price and prices below it. Combined with Finding 16, the business is discounting against a benchmark it does not control, with no visibility of whether the discounted price covers its own cost. From the founder’s own account, there is no way to know whether any given sale is profitable.</w:t>
      </w:r>
    </w:p>
    <w:p>
      <w:pPr>
        <w:pStyle w:val="Heading2"/>
        <w:spacing w:after="100" w:before="240"/>
      </w:pPr>
      <w:r>
        <w:rPr>
          <w:rFonts w:ascii="Montserrat" w:cs="Montserrat" w:eastAsia="Montserrat" w:hAnsi="Montserrat"/>
          <w:b/>
          <w:bCs/>
          <w:color w:val="1F5E3B"/>
          <w:sz w:val="23"/>
          <w:szCs w:val="23"/>
        </w:rPr>
        <w:t xml:space="preserve">Finding 21: Growth ambition, capital plan and execution history do not yet line up</w:t>
      </w:r>
    </w:p>
    <w:p>
      <w:pPr>
        <w:spacing w:after="140" w:line="300"/>
      </w:pPr>
      <w:r>
        <w:rPr>
          <w:rFonts w:ascii="Open Sans" w:cs="Open Sans" w:eastAsia="Open Sans" w:hAnsi="Open Sans"/>
          <w:color w:val="222222"/>
          <w:sz w:val="21"/>
          <w:szCs w:val="21"/>
        </w:rPr>
        <w:t xml:space="preserve">The founder’s three-year ambition is an export-ready business on a modern processing plant. Asked about the last major growth attempt, he cited lack of full-time commitment, lack of focus and inadequate capital. Asked how he would use new capital today, the answer was certifications, general investment and opening a business account: not a costed plan tied to the ambition. The ambition is credible and the self-assessment is candid, but between here and there sits every gap already identified.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89B3C" w:sz="24"/>
              <w:bottom w:val="none" w:color="FFFFFF" w:sz="0"/>
              <w:right w:val="none" w:color="FFFFFF" w:sz="0"/>
            </w:tcBorders>
            <w:shd w:fill="F7F5EF" w:color="auto" w:val="clear"/>
            <w:tcMar>
              <w:top w:type="dxa" w:w="120"/>
              <w:left w:type="dxa" w:w="180"/>
              <w:bottom w:type="dxa" w:w="120"/>
              <w:right w:type="dxa" w:w="180"/>
            </w:tcMar>
          </w:tcPr>
          <w:p>
            <w:pPr>
              <w:spacing w:after="60"/>
            </w:pPr>
            <w:r>
              <w:rPr>
                <w:rFonts w:ascii="Montserrat" w:cs="Montserrat" w:eastAsia="Montserrat" w:hAnsi="Montserrat"/>
                <w:b/>
                <w:bCs/>
                <w:color w:val="C89B3C"/>
                <w:sz w:val="16"/>
                <w:szCs w:val="16"/>
              </w:rPr>
              <w:t xml:space="preserve">READ TOGETHER WITH THE INTERVIEW’S CLOSING QUESTION</w:t>
            </w:r>
          </w:p>
          <w:p>
            <w:pPr>
              <w:spacing w:after="60" w:line="290"/>
            </w:pPr>
            <w:r>
              <w:rPr>
                <w:rFonts w:ascii="Open Sans" w:cs="Open Sans" w:eastAsia="Open Sans" w:hAnsi="Open Sans"/>
                <w:color w:val="222222"/>
                <w:sz w:val="21"/>
                <w:szCs w:val="21"/>
              </w:rPr>
              <w:t xml:space="preserve">Asked what had not been covered, the founder raised branding and marketing himself. This is an area AVAC’s Market Access Booster addresses directly, and a natural second conversation once the costing and production system is in place.</w:t>
            </w:r>
          </w:p>
        </w:tc>
      </w:tr>
    </w:tbl>
    <w:p>
      <w:r>
        <w:br w:type="page"/>
      </w:r>
    </w:p>
    <w:p>
      <w:pPr>
        <w:pStyle w:val="Heading1"/>
        <w:spacing w:after="160" w:before="360"/>
      </w:pPr>
      <w:r>
        <w:rPr>
          <w:rFonts w:ascii="Montserrat" w:cs="Montserrat" w:eastAsia="Montserrat" w:hAnsi="Montserrat"/>
          <w:b/>
          <w:bCs/>
          <w:color w:val="1F5E3B"/>
          <w:sz w:val="30"/>
          <w:szCs w:val="30"/>
        </w:rPr>
        <w:t xml:space="preserve">4. Root Cause</w:t>
      </w:r>
    </w:p>
    <w:p>
      <w:pPr>
        <w:spacing w:after="140" w:line="300"/>
      </w:pPr>
      <w:r>
        <w:rPr>
          <w:rFonts w:ascii="Open Sans" w:cs="Open Sans" w:eastAsia="Open Sans" w:hAnsi="Open Sans"/>
          <w:b/>
          <w:bCs/>
          <w:color w:val="222222"/>
          <w:sz w:val="21"/>
          <w:szCs w:val="21"/>
        </w:rPr>
        <w:t xml:space="preserve">Twenty-one findings, one cause.</w:t>
      </w:r>
    </w:p>
    <w:p>
      <w:pPr>
        <w:spacing w:after="140" w:line="300"/>
      </w:pPr>
      <w:r>
        <w:rPr>
          <w:rFonts w:ascii="Open Sans" w:cs="Open Sans" w:eastAsia="Open Sans" w:hAnsi="Open Sans"/>
          <w:color w:val="222222"/>
          <w:sz w:val="21"/>
          <w:szCs w:val="21"/>
        </w:rPr>
        <w:t xml:space="preserve">The business is not short of effort, market or intent. It is short of a management system. Every finding above is downstream of a single absence: there is no routine by which what happens in the field and the mill is written down, converted into a cost, and used to make the next decision. The founder confirmed this himself when asked the single most revealing question in the interview.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5E3B" w:sz="24"/>
              <w:bottom w:val="none" w:color="FFFFFF" w:sz="0"/>
              <w:right w:val="none" w:color="FFFFFF" w:sz="0"/>
            </w:tcBorders>
            <w:shd w:fill="F7F5EF" w:color="auto" w:val="clear"/>
            <w:tcMar>
              <w:top w:type="dxa" w:w="120"/>
              <w:left w:type="dxa" w:w="180"/>
              <w:bottom w:type="dxa" w:w="120"/>
              <w:right w:type="dxa" w:w="180"/>
            </w:tcMar>
          </w:tcPr>
          <w:p>
            <w:pPr>
              <w:spacing w:after="60"/>
            </w:pPr>
            <w:r>
              <w:rPr>
                <w:rFonts w:ascii="Montserrat" w:cs="Montserrat" w:eastAsia="Montserrat" w:hAnsi="Montserrat"/>
                <w:b/>
                <w:bCs/>
                <w:color w:val="1F5E3B"/>
                <w:sz w:val="16"/>
                <w:szCs w:val="16"/>
              </w:rPr>
              <w:t xml:space="preserve">PROSPERITY SUFFOCATION</w:t>
            </w:r>
          </w:p>
          <w:p>
            <w:pPr>
              <w:spacing w:after="60" w:line="290"/>
            </w:pPr>
            <w:r>
              <w:rPr>
                <w:rFonts w:ascii="Open Sans" w:cs="Open Sans" w:eastAsia="Open Sans" w:hAnsi="Open Sans"/>
                <w:color w:val="222222"/>
                <w:sz w:val="21"/>
                <w:szCs w:val="21"/>
              </w:rPr>
              <w:t xml:space="preserve">This is the condition AVAC calls Prosperity Suffocation: an operation that is genuinely producing and selling, yet cannot convert that activity into retained profit, because nobody in the business can say what anything costs. Training does not resolve it. Additional capital does not resolve it, and frequently accelerates the loss. Only a system resolves it.</w:t>
            </w:r>
          </w:p>
        </w:tc>
      </w:tr>
    </w:tbl>
    <w:p>
      <w:pPr>
        <w:pStyle w:val="Heading1"/>
        <w:spacing w:after="160" w:before="360"/>
      </w:pPr>
      <w:r>
        <w:rPr>
          <w:rFonts w:ascii="Montserrat" w:cs="Montserrat" w:eastAsia="Montserrat" w:hAnsi="Montserrat"/>
          <w:b/>
          <w:bCs/>
          <w:color w:val="1F5E3B"/>
          <w:sz w:val="30"/>
          <w:szCs w:val="30"/>
        </w:rPr>
        <w:t xml:space="preserve">5. Recommendations</w:t>
      </w:r>
    </w:p>
    <w:p>
      <w:pPr>
        <w:spacing w:after="140" w:line="300"/>
      </w:pPr>
      <w:r>
        <w:rPr>
          <w:rFonts w:ascii="Open Sans" w:cs="Open Sans" w:eastAsia="Open Sans" w:hAnsi="Open Sans"/>
          <w:i/>
          <w:iCs/>
          <w:color w:val="6B7280"/>
          <w:sz w:val="21"/>
          <w:szCs w:val="21"/>
        </w:rPr>
        <w:t xml:space="preserve">Ranked by return on effort. Items 1 to 3 need no capital and can be completed within 30 days.</w:t>
      </w:r>
    </w:p>
    <w:p>
      <w:pPr>
        <w:pStyle w:val="Heading2"/>
        <w:spacing w:after="100" w:before="240"/>
      </w:pPr>
      <w:r>
        <w:rPr>
          <w:rFonts w:ascii="Montserrat" w:cs="Montserrat" w:eastAsia="Montserrat" w:hAnsi="Montserrat"/>
          <w:b/>
          <w:bCs/>
          <w:color w:val="1F5E3B"/>
          <w:sz w:val="23"/>
          <w:szCs w:val="23"/>
        </w:rPr>
        <w:t xml:space="preserve">R1. Install a unit costing sheet</w:t>
      </w:r>
    </w:p>
    <w:p>
      <w:pPr>
        <w:spacing w:after="80"/>
      </w:pPr>
      <w:r>
        <w:rPr>
          <w:rFonts w:ascii="Open Sans" w:cs="Open Sans" w:eastAsia="Open Sans" w:hAnsi="Open Sans"/>
          <w:b/>
          <w:bCs/>
          <w:color w:val="C89B3C"/>
          <w:sz w:val="18"/>
          <w:szCs w:val="18"/>
        </w:rPr>
        <w:t xml:space="preserve">Timing: Weeks 1 to 4   ·   Capital required: None</w:t>
      </w:r>
    </w:p>
    <w:p>
      <w:pPr>
        <w:spacing w:after="140" w:line="300"/>
      </w:pPr>
      <w:r>
        <w:rPr>
          <w:rFonts w:ascii="Open Sans" w:cs="Open Sans" w:eastAsia="Open Sans" w:hAnsi="Open Sans"/>
          <w:color w:val="222222"/>
          <w:sz w:val="21"/>
          <w:szCs w:val="21"/>
        </w:rPr>
        <w:t xml:space="preserve">Build one sheet that converts a tonne of FFB into a cost per litre and cost per drum of finished oil, covering fruit, fuel, electricity, labour, packaging and transport. Every price quoted after this point is set from that sheet, never from the market rate alone.</w:t>
      </w:r>
    </w:p>
    <w:p>
      <w:pPr>
        <w:pStyle w:val="Heading2"/>
        <w:spacing w:after="100" w:before="240"/>
      </w:pPr>
      <w:r>
        <w:rPr>
          <w:rFonts w:ascii="Montserrat" w:cs="Montserrat" w:eastAsia="Montserrat" w:hAnsi="Montserrat"/>
          <w:b/>
          <w:bCs/>
          <w:color w:val="1F5E3B"/>
          <w:sz w:val="23"/>
          <w:szCs w:val="23"/>
        </w:rPr>
        <w:t xml:space="preserve">R2. Start a daily FFB and oil output log</w:t>
      </w:r>
    </w:p>
    <w:p>
      <w:pPr>
        <w:spacing w:after="80"/>
      </w:pPr>
      <w:r>
        <w:rPr>
          <w:rFonts w:ascii="Open Sans" w:cs="Open Sans" w:eastAsia="Open Sans" w:hAnsi="Open Sans"/>
          <w:b/>
          <w:bCs/>
          <w:color w:val="C89B3C"/>
          <w:sz w:val="18"/>
          <w:szCs w:val="18"/>
        </w:rPr>
        <w:t xml:space="preserve">Timing: Weeks 1 to 6   ·   Capital required: None</w:t>
      </w:r>
    </w:p>
    <w:p>
      <w:pPr>
        <w:spacing w:after="140" w:line="300"/>
      </w:pPr>
      <w:r>
        <w:rPr>
          <w:rFonts w:ascii="Open Sans" w:cs="Open Sans" w:eastAsia="Open Sans" w:hAnsi="Open Sans"/>
          <w:color w:val="222222"/>
          <w:sz w:val="21"/>
          <w:szCs w:val="21"/>
        </w:rPr>
        <w:t xml:space="preserve">One page per day: FFB received (own and purchased), tonnes processed, litres of crude and kernel oil produced, kernel cake produced, downtime hours. Extraction rate is calculated weekly from this. A paper book is enough; a spreadsheet is better.</w:t>
      </w:r>
    </w:p>
    <w:p>
      <w:pPr>
        <w:pStyle w:val="Heading2"/>
        <w:spacing w:after="100" w:before="240"/>
      </w:pPr>
      <w:r>
        <w:rPr>
          <w:rFonts w:ascii="Montserrat" w:cs="Montserrat" w:eastAsia="Montserrat" w:hAnsi="Montserrat"/>
          <w:b/>
          <w:bCs/>
          <w:color w:val="1F5E3B"/>
          <w:sz w:val="23"/>
          <w:szCs w:val="23"/>
        </w:rPr>
        <w:t xml:space="preserve">R3. Re-price the product range to cost plus margin</w:t>
      </w:r>
    </w:p>
    <w:p>
      <w:pPr>
        <w:spacing w:after="80"/>
      </w:pPr>
      <w:r>
        <w:rPr>
          <w:rFonts w:ascii="Open Sans" w:cs="Open Sans" w:eastAsia="Open Sans" w:hAnsi="Open Sans"/>
          <w:b/>
          <w:bCs/>
          <w:color w:val="C89B3C"/>
          <w:sz w:val="18"/>
          <w:szCs w:val="18"/>
        </w:rPr>
        <w:t xml:space="preserve">Timing: Weeks 2 to 4   ·   Capital required: None</w:t>
      </w:r>
    </w:p>
    <w:p>
      <w:pPr>
        <w:spacing w:after="140" w:line="300"/>
      </w:pPr>
      <w:r>
        <w:rPr>
          <w:rFonts w:ascii="Open Sans" w:cs="Open Sans" w:eastAsia="Open Sans" w:hAnsi="Open Sans"/>
          <w:color w:val="222222"/>
          <w:sz w:val="21"/>
          <w:szCs w:val="21"/>
        </w:rPr>
        <w:t xml:space="preserve">Once R1 produces a defensible unit cost, reset prices to that cost plus a stated margin, and index them so they move with input cost. The flat price across three cycles is the direct cause of Finding 1.</w:t>
      </w:r>
    </w:p>
    <w:p>
      <w:pPr>
        <w:pStyle w:val="Heading2"/>
        <w:spacing w:after="100" w:before="240"/>
      </w:pPr>
      <w:r>
        <w:rPr>
          <w:rFonts w:ascii="Montserrat" w:cs="Montserrat" w:eastAsia="Montserrat" w:hAnsi="Montserrat"/>
          <w:b/>
          <w:bCs/>
          <w:color w:val="1F5E3B"/>
          <w:sz w:val="23"/>
          <w:szCs w:val="23"/>
        </w:rPr>
        <w:t xml:space="preserve">R4. Meter energy and review the tariff band</w:t>
      </w:r>
    </w:p>
    <w:p>
      <w:pPr>
        <w:spacing w:after="80"/>
      </w:pPr>
      <w:r>
        <w:rPr>
          <w:rFonts w:ascii="Open Sans" w:cs="Open Sans" w:eastAsia="Open Sans" w:hAnsi="Open Sans"/>
          <w:b/>
          <w:bCs/>
          <w:color w:val="C89B3C"/>
          <w:sz w:val="18"/>
          <w:szCs w:val="18"/>
        </w:rPr>
        <w:t xml:space="preserve">Timing: Weeks 4 to 6   ·   Capital required: Low: meter cost</w:t>
      </w:r>
    </w:p>
    <w:p>
      <w:pPr>
        <w:spacing w:after="140" w:line="300"/>
      </w:pPr>
      <w:r>
        <w:rPr>
          <w:rFonts w:ascii="Open Sans" w:cs="Open Sans" w:eastAsia="Open Sans" w:hAnsi="Open Sans"/>
          <w:color w:val="222222"/>
          <w:sz w:val="21"/>
          <w:szCs w:val="21"/>
        </w:rPr>
        <w:t xml:space="preserve">Take a dedicated mill meter reading over one full week and compare consumption against the tariff band the business is on. Determine whether the electricity figure is a data error, a tariff error or a genuine efficiency problem.</w:t>
      </w:r>
    </w:p>
    <w:p>
      <w:pPr>
        <w:pStyle w:val="Heading2"/>
        <w:spacing w:after="100" w:before="240"/>
      </w:pPr>
      <w:r>
        <w:rPr>
          <w:rFonts w:ascii="Montserrat" w:cs="Montserrat" w:eastAsia="Montserrat" w:hAnsi="Montserrat"/>
          <w:b/>
          <w:bCs/>
          <w:color w:val="1F5E3B"/>
          <w:sz w:val="23"/>
          <w:szCs w:val="23"/>
        </w:rPr>
        <w:t xml:space="preserve">R5. Put outgrower supply on paper</w:t>
      </w:r>
    </w:p>
    <w:p>
      <w:pPr>
        <w:spacing w:after="80"/>
      </w:pPr>
      <w:r>
        <w:rPr>
          <w:rFonts w:ascii="Open Sans" w:cs="Open Sans" w:eastAsia="Open Sans" w:hAnsi="Open Sans"/>
          <w:b/>
          <w:bCs/>
          <w:color w:val="C89B3C"/>
          <w:sz w:val="18"/>
          <w:szCs w:val="18"/>
        </w:rPr>
        <w:t xml:space="preserve">Timing: Weeks 6 to 10   ·   Capital required: None</w:t>
      </w:r>
    </w:p>
    <w:p>
      <w:pPr>
        <w:spacing w:after="140" w:line="300"/>
      </w:pPr>
      <w:r>
        <w:rPr>
          <w:rFonts w:ascii="Open Sans" w:cs="Open Sans" w:eastAsia="Open Sans" w:hAnsi="Open Sans"/>
          <w:color w:val="222222"/>
          <w:sz w:val="21"/>
          <w:szCs w:val="21"/>
        </w:rPr>
        <w:t xml:space="preserve">A one-page supply agreement per outgrower: volume, quality standard, price basis, payment terms and duration. This turns an informal relationship into a budgetable input and removes the largest single risk of the next three years.</w:t>
      </w:r>
    </w:p>
    <w:p>
      <w:pPr>
        <w:pStyle w:val="Heading2"/>
        <w:spacing w:after="100" w:before="240"/>
      </w:pPr>
      <w:r>
        <w:rPr>
          <w:rFonts w:ascii="Montserrat" w:cs="Montserrat" w:eastAsia="Montserrat" w:hAnsi="Montserrat"/>
          <w:b/>
          <w:bCs/>
          <w:color w:val="1F5E3B"/>
          <w:sz w:val="23"/>
          <w:szCs w:val="23"/>
        </w:rPr>
        <w:t xml:space="preserve">R6. Produce monthly management accounts</w:t>
      </w:r>
    </w:p>
    <w:p>
      <w:pPr>
        <w:spacing w:after="80"/>
      </w:pPr>
      <w:r>
        <w:rPr>
          <w:rFonts w:ascii="Open Sans" w:cs="Open Sans" w:eastAsia="Open Sans" w:hAnsi="Open Sans"/>
          <w:b/>
          <w:bCs/>
          <w:color w:val="C89B3C"/>
          <w:sz w:val="18"/>
          <w:szCs w:val="18"/>
        </w:rPr>
        <w:t xml:space="preserve">Timing: Weeks 8 to 12   ·   Capital required: None</w:t>
      </w:r>
    </w:p>
    <w:p>
      <w:pPr>
        <w:spacing w:after="140" w:line="300"/>
      </w:pPr>
      <w:r>
        <w:rPr>
          <w:rFonts w:ascii="Open Sans" w:cs="Open Sans" w:eastAsia="Open Sans" w:hAnsi="Open Sans"/>
          <w:color w:val="222222"/>
          <w:sz w:val="21"/>
          <w:szCs w:val="21"/>
        </w:rPr>
        <w:t xml:space="preserve">A single monthly page: revenue by product, cost by line, gross margin and cash position. This is the first document a bank, grant assessor or investor asks for, and it follows automatically once R1 and R2 are running.</w:t>
      </w:r>
    </w:p>
    <w:p>
      <w:pPr>
        <w:pStyle w:val="Heading2"/>
        <w:spacing w:after="100" w:before="240"/>
      </w:pPr>
      <w:r>
        <w:rPr>
          <w:rFonts w:ascii="Montserrat" w:cs="Montserrat" w:eastAsia="Montserrat" w:hAnsi="Montserrat"/>
          <w:b/>
          <w:bCs/>
          <w:color w:val="1F5E3B"/>
          <w:sz w:val="23"/>
          <w:szCs w:val="23"/>
        </w:rPr>
        <w:t xml:space="preserve">R7. Close the food safety and quality documentation gap</w:t>
      </w:r>
    </w:p>
    <w:p>
      <w:pPr>
        <w:spacing w:after="80"/>
      </w:pPr>
      <w:r>
        <w:rPr>
          <w:rFonts w:ascii="Open Sans" w:cs="Open Sans" w:eastAsia="Open Sans" w:hAnsi="Open Sans"/>
          <w:b/>
          <w:bCs/>
          <w:color w:val="C89B3C"/>
          <w:sz w:val="18"/>
          <w:szCs w:val="18"/>
        </w:rPr>
        <w:t xml:space="preserve">Timing: Weeks 10 to 14   ·   Capital required: Moderate: statutory fees</w:t>
      </w:r>
    </w:p>
    <w:p>
      <w:pPr>
        <w:spacing w:after="140" w:line="300"/>
      </w:pPr>
      <w:r>
        <w:rPr>
          <w:rFonts w:ascii="Open Sans" w:cs="Open Sans" w:eastAsia="Open Sans" w:hAnsi="Open Sans"/>
          <w:color w:val="222222"/>
          <w:sz w:val="21"/>
          <w:szCs w:val="21"/>
        </w:rPr>
        <w:t xml:space="preserve">Complete and document food safety product registration and the associated facility requirements. Without it, the institutional buyer segment named in the plan is unreachable.</w:t>
      </w:r>
    </w:p>
    <w:p>
      <w:pPr>
        <w:pStyle w:val="Heading2"/>
        <w:spacing w:after="100" w:before="240"/>
      </w:pPr>
      <w:r>
        <w:rPr>
          <w:rFonts w:ascii="Montserrat" w:cs="Montserrat" w:eastAsia="Montserrat" w:hAnsi="Montserrat"/>
          <w:b/>
          <w:bCs/>
          <w:color w:val="1F5E3B"/>
          <w:sz w:val="23"/>
          <w:szCs w:val="23"/>
        </w:rPr>
        <w:t xml:space="preserve">R8. Reconcile and reissue the business plan</w:t>
      </w:r>
    </w:p>
    <w:p>
      <w:pPr>
        <w:spacing w:after="80"/>
      </w:pPr>
      <w:r>
        <w:rPr>
          <w:rFonts w:ascii="Open Sans" w:cs="Open Sans" w:eastAsia="Open Sans" w:hAnsi="Open Sans"/>
          <w:b/>
          <w:bCs/>
          <w:color w:val="C89B3C"/>
          <w:sz w:val="18"/>
          <w:szCs w:val="18"/>
        </w:rPr>
        <w:t xml:space="preserve">Timing: Weeks 10 to 14   ·   Capital required: None</w:t>
      </w:r>
    </w:p>
    <w:p>
      <w:pPr>
        <w:spacing w:after="140" w:line="300"/>
      </w:pPr>
      <w:r>
        <w:rPr>
          <w:rFonts w:ascii="Open Sans" w:cs="Open Sans" w:eastAsia="Open Sans" w:hAnsi="Open Sans"/>
          <w:color w:val="222222"/>
          <w:sz w:val="21"/>
          <w:szCs w:val="21"/>
        </w:rPr>
        <w:t xml:space="preserve">Resolve the throughput contradiction; align the company profile with the business plan on actual operating status; define the revenue unit and cycle period; add by-product revenue lines; explain or reallocate the water treatment capital; correct the inconsistent entries; and withdraw all prior copies.</w:t>
      </w:r>
    </w:p>
    <w:p>
      <w:pPr>
        <w:pStyle w:val="Heading1"/>
        <w:spacing w:after="160" w:before="360"/>
      </w:pPr>
      <w:r>
        <w:rPr>
          <w:rFonts w:ascii="Montserrat" w:cs="Montserrat" w:eastAsia="Montserrat" w:hAnsi="Montserrat"/>
          <w:b/>
          <w:bCs/>
          <w:color w:val="1F5E3B"/>
          <w:sz w:val="30"/>
          <w:szCs w:val="30"/>
        </w:rPr>
        <w:t xml:space="preserve">6. 90-Day Implementation Roadmap</w:t>
      </w:r>
    </w:p>
    <w:p>
      <w:pPr>
        <w:spacing w:after="140" w:line="300"/>
      </w:pPr>
      <w:r>
        <w:rPr>
          <w:rFonts w:ascii="Open Sans" w:cs="Open Sans" w:eastAsia="Open Sans" w:hAnsi="Open Sans"/>
          <w:color w:val="222222"/>
          <w:sz w:val="21"/>
          <w:szCs w:val="21"/>
        </w:rPr>
        <w:t xml:space="preserve">Cost and production records come first; everything else depends on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100"/>
        <w:gridCol w:w="3626"/>
      </w:tblGrid>
      <w:tr>
        <w:trPr>
          <w:tblHeader/>
        </w:trPr>
        <w:tc>
          <w:tcPr>
            <w:tcW w:type="dxa" w:w="2600"/>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r>
              <w:rPr>
                <w:rFonts w:ascii="Montserrat" w:cs="Montserrat" w:eastAsia="Montserrat" w:hAnsi="Montserrat"/>
                <w:b/>
                <w:bCs/>
                <w:color w:val="FFFFFF"/>
                <w:sz w:val="17"/>
                <w:szCs w:val="17"/>
              </w:rPr>
              <w:t xml:space="preserve">Recommendation</w:t>
            </w:r>
          </w:p>
        </w:tc>
        <w:tc>
          <w:tcPr>
            <w:tcW w:type="dxa" w:w="1700"/>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r>
              <w:rPr>
                <w:rFonts w:ascii="Montserrat" w:cs="Montserrat" w:eastAsia="Montserrat" w:hAnsi="Montserrat"/>
                <w:b/>
                <w:bCs/>
                <w:color w:val="FFFFFF"/>
                <w:sz w:val="17"/>
                <w:szCs w:val="17"/>
              </w:rPr>
              <w:t xml:space="preserve">Owner</w:t>
            </w:r>
          </w:p>
        </w:tc>
        <w:tc>
          <w:tcPr>
            <w:tcW w:type="dxa" w:w="1100"/>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r>
              <w:rPr>
                <w:rFonts w:ascii="Montserrat" w:cs="Montserrat" w:eastAsia="Montserrat" w:hAnsi="Montserrat"/>
                <w:b/>
                <w:bCs/>
                <w:color w:val="FFFFFF"/>
                <w:sz w:val="17"/>
                <w:szCs w:val="17"/>
              </w:rPr>
              <w:t xml:space="preserve">Review</w:t>
            </w:r>
          </w:p>
        </w:tc>
        <w:tc>
          <w:tcPr>
            <w:tcW w:type="dxa" w:w="3626"/>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r>
              <w:rPr>
                <w:rFonts w:ascii="Montserrat" w:cs="Montserrat" w:eastAsia="Montserrat" w:hAnsi="Montserrat"/>
                <w:b/>
                <w:bCs/>
                <w:color w:val="FFFFFF"/>
                <w:sz w:val="17"/>
                <w:szCs w:val="17"/>
              </w:rPr>
              <w:t xml:space="preserve">Evidence of completion</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R1 Unit costing sheet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Founder / Accountant</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Week 4</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Signed cost sheet showing cost per litre and per drum</w:t>
            </w:r>
          </w:p>
        </w:tc>
      </w:tr>
      <w:tr>
        <w:trPr>
          <w:tblHeader w:val="false"/>
        </w:trPr>
        <w:tc>
          <w:tcPr>
            <w:tcW w:type="dxa" w:w="2600"/>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R2 Daily production log</w:t>
            </w:r>
          </w:p>
        </w:tc>
        <w:tc>
          <w:tcPr>
            <w:tcW w:type="dxa" w:w="1700"/>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Production Officer</w:t>
            </w:r>
          </w:p>
        </w:tc>
        <w:tc>
          <w:tcPr>
            <w:tcW w:type="dxa" w:w="1100"/>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Week 6</w:t>
            </w:r>
          </w:p>
        </w:tc>
        <w:tc>
          <w:tcPr>
            <w:tcW w:type="dxa" w:w="3626"/>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Six weeks of completed daily entries; weekly OER calculated</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R3 Re-pricing</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Founder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Week 4</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Published price list traceable to the cost sheet</w:t>
            </w:r>
          </w:p>
        </w:tc>
      </w:tr>
      <w:tr>
        <w:trPr>
          <w:tblHeader w:val="false"/>
        </w:trPr>
        <w:tc>
          <w:tcPr>
            <w:tcW w:type="dxa" w:w="2600"/>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R4 Energy review</w:t>
            </w:r>
          </w:p>
        </w:tc>
        <w:tc>
          <w:tcPr>
            <w:tcW w:type="dxa" w:w="1700"/>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Production Officer</w:t>
            </w:r>
          </w:p>
        </w:tc>
        <w:tc>
          <w:tcPr>
            <w:tcW w:type="dxa" w:w="1100"/>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Week 6</w:t>
            </w:r>
          </w:p>
        </w:tc>
        <w:tc>
          <w:tcPr>
            <w:tcW w:type="dxa" w:w="3626"/>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Meter readings plus current tariff schedule on file</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R5 Outgrower agreements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Founder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Week 10</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Signed one-page agreement per active outgrower</w:t>
            </w:r>
          </w:p>
        </w:tc>
      </w:tr>
      <w:tr>
        <w:trPr>
          <w:tblHeader w:val="false"/>
        </w:trPr>
        <w:tc>
          <w:tcPr>
            <w:tcW w:type="dxa" w:w="2600"/>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R6 Management accounts</w:t>
            </w:r>
          </w:p>
        </w:tc>
        <w:tc>
          <w:tcPr>
            <w:tcW w:type="dxa" w:w="1700"/>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Accountant</w:t>
            </w:r>
          </w:p>
        </w:tc>
        <w:tc>
          <w:tcPr>
            <w:tcW w:type="dxa" w:w="1100"/>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Week 12</w:t>
            </w:r>
          </w:p>
        </w:tc>
        <w:tc>
          <w:tcPr>
            <w:tcW w:type="dxa" w:w="3626"/>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First monthly account pack produced</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R7 Food safety documentation</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Secretary</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Week 14</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Registration correspondence and status on file</w:t>
            </w:r>
          </w:p>
        </w:tc>
      </w:tr>
      <w:tr>
        <w:trPr>
          <w:tblHeader w:val="false"/>
        </w:trPr>
        <w:tc>
          <w:tcPr>
            <w:tcW w:type="dxa" w:w="2600"/>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R8 Plan reissue</w:t>
            </w:r>
          </w:p>
        </w:tc>
        <w:tc>
          <w:tcPr>
            <w:tcW w:type="dxa" w:w="1700"/>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Founder</w:t>
            </w:r>
          </w:p>
        </w:tc>
        <w:tc>
          <w:tcPr>
            <w:tcW w:type="dxa" w:w="1100"/>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Week 14</w:t>
            </w:r>
          </w:p>
        </w:tc>
        <w:tc>
          <w:tcPr>
            <w:tcW w:type="dxa" w:w="3626"/>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Version-controlled plan; prior copies withdrawn</w:t>
            </w:r>
          </w:p>
        </w:tc>
      </w:tr>
    </w:tbl>
    <w:p>
      <w:pPr>
        <w:pStyle w:val="Heading2"/>
        <w:spacing w:after="100" w:before="240"/>
      </w:pPr>
      <w:r>
        <w:rPr>
          <w:rFonts w:ascii="Montserrat" w:cs="Montserrat" w:eastAsia="Montserrat" w:hAnsi="Montserrat"/>
          <w:b/>
          <w:bCs/>
          <w:color w:val="1F5E3B"/>
          <w:sz w:val="23"/>
          <w:szCs w:val="23"/>
        </w:rPr>
        <w:t xml:space="preserve">Measures of success at 90 days</w:t>
      </w:r>
    </w:p>
    <w:p>
      <w:pPr>
        <w:pStyle w:val="ListParagraph"/>
        <w:numPr>
          <w:ilvl w:val="0"/>
          <w:numId w:val="2"/>
        </w:numPr>
        <w:spacing w:after="80" w:line="290"/>
      </w:pPr>
      <w:r>
        <w:rPr>
          <w:rFonts w:ascii="Open Sans" w:cs="Open Sans" w:eastAsia="Open Sans" w:hAnsi="Open Sans"/>
          <w:color w:val="222222"/>
          <w:sz w:val="21"/>
          <w:szCs w:val="21"/>
        </w:rPr>
        <w:t xml:space="preserve">The founder can state the cost of producing one drum of oil, and show the working.</w:t>
      </w:r>
    </w:p>
    <w:p>
      <w:pPr>
        <w:pStyle w:val="ListParagraph"/>
        <w:numPr>
          <w:ilvl w:val="0"/>
          <w:numId w:val="2"/>
        </w:numPr>
        <w:spacing w:after="80" w:line="290"/>
      </w:pPr>
      <w:r>
        <w:rPr>
          <w:rFonts w:ascii="Open Sans" w:cs="Open Sans" w:eastAsia="Open Sans" w:hAnsi="Open Sans"/>
          <w:color w:val="222222"/>
          <w:sz w:val="21"/>
          <w:szCs w:val="21"/>
        </w:rPr>
        <w:t xml:space="preserve">Extraction rate is calculated every week from a written record.</w:t>
      </w:r>
    </w:p>
    <w:p>
      <w:pPr>
        <w:pStyle w:val="ListParagraph"/>
        <w:numPr>
          <w:ilvl w:val="0"/>
          <w:numId w:val="2"/>
        </w:numPr>
        <w:spacing w:after="80" w:line="290"/>
      </w:pPr>
      <w:r>
        <w:rPr>
          <w:rFonts w:ascii="Open Sans" w:cs="Open Sans" w:eastAsia="Open Sans" w:hAnsi="Open Sans"/>
          <w:color w:val="222222"/>
          <w:sz w:val="21"/>
          <w:szCs w:val="21"/>
        </w:rPr>
        <w:t xml:space="preserve">Every product price is traceable to a cost line.</w:t>
      </w:r>
    </w:p>
    <w:p>
      <w:pPr>
        <w:pStyle w:val="ListParagraph"/>
        <w:numPr>
          <w:ilvl w:val="0"/>
          <w:numId w:val="2"/>
        </w:numPr>
        <w:spacing w:after="80" w:line="290"/>
      </w:pPr>
      <w:r>
        <w:rPr>
          <w:rFonts w:ascii="Open Sans" w:cs="Open Sans" w:eastAsia="Open Sans" w:hAnsi="Open Sans"/>
          <w:color w:val="222222"/>
          <w:sz w:val="21"/>
          <w:szCs w:val="21"/>
        </w:rPr>
        <w:t xml:space="preserve">Every active outgrower relationship is on paper.</w:t>
      </w:r>
    </w:p>
    <w:p>
      <w:pPr>
        <w:pStyle w:val="ListParagraph"/>
        <w:numPr>
          <w:ilvl w:val="0"/>
          <w:numId w:val="2"/>
        </w:numPr>
        <w:spacing w:after="80" w:line="290"/>
      </w:pPr>
      <w:r>
        <w:rPr>
          <w:rFonts w:ascii="Open Sans" w:cs="Open Sans" w:eastAsia="Open Sans" w:hAnsi="Open Sans"/>
          <w:color w:val="222222"/>
          <w:sz w:val="21"/>
          <w:szCs w:val="21"/>
        </w:rPr>
        <w:t xml:space="preserve">One monthly management account pack has been produced without external help.</w:t>
      </w:r>
    </w:p>
    <w:p>
      <w:pPr>
        <w:pStyle w:val="Heading1"/>
        <w:spacing w:after="160" w:before="360"/>
      </w:pPr>
      <w:r>
        <w:rPr>
          <w:rFonts w:ascii="Montserrat" w:cs="Montserrat" w:eastAsia="Montserrat" w:hAnsi="Montserrat"/>
          <w:b/>
          <w:bCs/>
          <w:color w:val="1F5E3B"/>
          <w:sz w:val="30"/>
          <w:szCs w:val="30"/>
        </w:rPr>
        <w:t xml:space="preserve">7. Limitations of This Report</w:t>
      </w:r>
    </w:p>
    <w:p>
      <w:pPr>
        <w:spacing w:after="140" w:line="300"/>
      </w:pPr>
      <w:r>
        <w:rPr>
          <w:rFonts w:ascii="Open Sans" w:cs="Open Sans" w:eastAsia="Open Sans" w:hAnsi="Open Sans"/>
          <w:color w:val="222222"/>
          <w:sz w:val="21"/>
          <w:szCs w:val="21"/>
        </w:rPr>
        <w:t xml:space="preserve">This diagnostic was delivered as a free pilot, based on a structured interview and a review of client documents. It is deliberately transparent about what it does not know.</w:t>
      </w:r>
    </w:p>
    <w:p>
      <w:pPr>
        <w:pStyle w:val="ListParagraph"/>
        <w:numPr>
          <w:ilvl w:val="0"/>
          <w:numId w:val="2"/>
        </w:numPr>
        <w:spacing w:after="80" w:line="290"/>
      </w:pPr>
      <w:r>
        <w:rPr>
          <w:rFonts w:ascii="Open Sans" w:cs="Open Sans" w:eastAsia="Open Sans" w:hAnsi="Open Sans"/>
          <w:color w:val="222222"/>
          <w:sz w:val="21"/>
          <w:szCs w:val="21"/>
        </w:rPr>
        <w:t xml:space="preserve">No site visit, mill inspection or plantation walk-through formed part of this engagement. This was agreed in advance and is not an omission.</w:t>
      </w:r>
    </w:p>
    <w:p>
      <w:pPr>
        <w:pStyle w:val="ListParagraph"/>
        <w:numPr>
          <w:ilvl w:val="0"/>
          <w:numId w:val="2"/>
        </w:numPr>
        <w:spacing w:after="80" w:line="290"/>
      </w:pPr>
      <w:r>
        <w:rPr>
          <w:rFonts w:ascii="Open Sans" w:cs="Open Sans" w:eastAsia="Open Sans" w:hAnsi="Open Sans"/>
          <w:color w:val="222222"/>
          <w:sz w:val="21"/>
          <w:szCs w:val="21"/>
        </w:rPr>
        <w:t xml:space="preserve">Statements made by the founder in the interview are recorded as reported; AVAC has not independently verified them.</w:t>
      </w:r>
    </w:p>
    <w:p>
      <w:pPr>
        <w:pStyle w:val="ListParagraph"/>
        <w:numPr>
          <w:ilvl w:val="0"/>
          <w:numId w:val="2"/>
        </w:numPr>
        <w:spacing w:after="80" w:line="290"/>
      </w:pPr>
      <w:r>
        <w:rPr>
          <w:rFonts w:ascii="Open Sans" w:cs="Open Sans" w:eastAsia="Open Sans" w:hAnsi="Open Sans"/>
          <w:color w:val="222222"/>
          <w:sz w:val="21"/>
          <w:szCs w:val="21"/>
        </w:rPr>
        <w:t xml:space="preserve">Only the founder was interviewed. AVAC’s interview guide recommends 8 to 12 roles for a full picture, so operational and financial answers reflect a single perspective.</w:t>
      </w:r>
    </w:p>
    <w:p>
      <w:pPr>
        <w:pStyle w:val="ListParagraph"/>
        <w:numPr>
          <w:ilvl w:val="0"/>
          <w:numId w:val="2"/>
        </w:numPr>
        <w:spacing w:after="80" w:line="290"/>
      </w:pPr>
      <w:r>
        <w:rPr>
          <w:rFonts w:ascii="Open Sans" w:cs="Open Sans" w:eastAsia="Open Sans" w:hAnsi="Open Sans"/>
          <w:color w:val="222222"/>
          <w:sz w:val="21"/>
          <w:szCs w:val="21"/>
        </w:rPr>
        <w:t xml:space="preserve">No transaction-level record (sales ledger, purchase receipt, bank statement) was reviewed.</w:t>
      </w:r>
    </w:p>
    <w:p>
      <w:pPr>
        <w:pStyle w:val="ListParagraph"/>
        <w:numPr>
          <w:ilvl w:val="0"/>
          <w:numId w:val="2"/>
        </w:numPr>
        <w:spacing w:after="80" w:line="290"/>
      </w:pPr>
      <w:r>
        <w:rPr>
          <w:rFonts w:ascii="Open Sans" w:cs="Open Sans" w:eastAsia="Open Sans" w:hAnsi="Open Sans"/>
          <w:color w:val="222222"/>
          <w:sz w:val="21"/>
          <w:szCs w:val="21"/>
        </w:rPr>
        <w:t xml:space="preserve">The business plan appears to describe a planned rather than an actual operation. Actual current volumes, prices and costs are unknown to AVAC.</w:t>
      </w:r>
    </w:p>
    <w:p>
      <w:pPr>
        <w:pStyle w:val="ListParagraph"/>
        <w:numPr>
          <w:ilvl w:val="0"/>
          <w:numId w:val="2"/>
        </w:numPr>
        <w:spacing w:after="80" w:line="290"/>
      </w:pPr>
      <w:r>
        <w:rPr>
          <w:rFonts w:ascii="Open Sans" w:cs="Open Sans" w:eastAsia="Open Sans" w:hAnsi="Open Sans"/>
          <w:color w:val="222222"/>
          <w:sz w:val="21"/>
          <w:szCs w:val="21"/>
        </w:rPr>
        <w:t xml:space="preserve">All improvement values are indicative estimates modelled on the client’s own cost lines. They are not measured results and must not be quoted as such.</w:t>
      </w:r>
    </w:p>
    <w:p>
      <w:pPr>
        <w:pStyle w:val="ListParagraph"/>
        <w:numPr>
          <w:ilvl w:val="0"/>
          <w:numId w:val="2"/>
        </w:numPr>
        <w:spacing w:after="80" w:line="290"/>
      </w:pPr>
      <w:r>
        <w:rPr>
          <w:rFonts w:ascii="Open Sans" w:cs="Open Sans" w:eastAsia="Open Sans" w:hAnsi="Open Sans"/>
          <w:color w:val="222222"/>
          <w:sz w:val="21"/>
          <w:szCs w:val="21"/>
        </w:rPr>
        <w:t xml:space="preserve">Findings 1 to 3 and 8 to 14 are arithmetic or documentary. Findings 16 to 21 come from the founder’s own words in the interview. Findings 4 to 7 and 15 still require confirmation on site.</w:t>
      </w:r>
    </w:p>
    <w:p>
      <w:pPr>
        <w:spacing w:after="140" w:line="300"/>
      </w:pPr>
      <w:r>
        <w:rPr>
          <w:rFonts w:ascii="Open Sans" w:cs="Open Sans" w:eastAsia="Open Sans" w:hAnsi="Open Sans"/>
          <w:b/>
          <w:bCs/>
          <w:color w:val="222222"/>
          <w:sz w:val="21"/>
          <w:szCs w:val="21"/>
        </w:rPr>
        <w:t xml:space="preserve">A site visit and records review would convert Findings 4 to 7 from documented to verified, and produce the baseline against which the 90-day roadmap is measured. That work sits outside this pilot.</w:t>
      </w:r>
    </w:p>
    <w:p>
      <w:pPr>
        <w:pStyle w:val="Heading1"/>
        <w:spacing w:after="160" w:before="360"/>
      </w:pPr>
      <w:r>
        <w:rPr>
          <w:rFonts w:ascii="Montserrat" w:cs="Montserrat" w:eastAsia="Montserrat" w:hAnsi="Montserrat"/>
          <w:b/>
          <w:bCs/>
          <w:color w:val="1F5E3B"/>
          <w:sz w:val="30"/>
          <w:szCs w:val="30"/>
        </w:rPr>
        <w:t xml:space="preserve">8. Scope of Next Engagement</w:t>
      </w:r>
    </w:p>
    <w:p>
      <w:pPr>
        <w:spacing w:after="140" w:line="300"/>
      </w:pPr>
      <w:r>
        <w:rPr>
          <w:rFonts w:ascii="Open Sans" w:cs="Open Sans" w:eastAsia="Open Sans" w:hAnsi="Open Sans"/>
          <w:color w:val="222222"/>
          <w:sz w:val="21"/>
          <w:szCs w:val="21"/>
        </w:rPr>
        <w:t xml:space="preserve">This pilot was provided at no charge. The work below is the paid continuation; each item is priced independently.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626"/>
        <w:gridCol w:w="1800"/>
      </w:tblGrid>
      <w:tr>
        <w:trPr>
          <w:tblHeader/>
        </w:trPr>
        <w:tc>
          <w:tcPr>
            <w:tcW w:type="dxa" w:w="2600"/>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r>
              <w:rPr>
                <w:rFonts w:ascii="Montserrat" w:cs="Montserrat" w:eastAsia="Montserrat" w:hAnsi="Montserrat"/>
                <w:b/>
                <w:bCs/>
                <w:color w:val="FFFFFF"/>
                <w:sz w:val="17"/>
                <w:szCs w:val="17"/>
              </w:rPr>
              <w:t xml:space="preserve">Offer</w:t>
            </w:r>
          </w:p>
        </w:tc>
        <w:tc>
          <w:tcPr>
            <w:tcW w:type="dxa" w:w="4626"/>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r>
              <w:rPr>
                <w:rFonts w:ascii="Montserrat" w:cs="Montserrat" w:eastAsia="Montserrat" w:hAnsi="Montserrat"/>
                <w:b/>
                <w:bCs/>
                <w:color w:val="FFFFFF"/>
                <w:sz w:val="17"/>
                <w:szCs w:val="17"/>
              </w:rPr>
              <w:t xml:space="preserve">What it addresses</w:t>
            </w:r>
          </w:p>
        </w:tc>
        <w:tc>
          <w:tcPr>
            <w:tcW w:type="dxa" w:w="1800"/>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r>
              <w:rPr>
                <w:rFonts w:ascii="Montserrat" w:cs="Montserrat" w:eastAsia="Montserrat" w:hAnsi="Montserrat"/>
                <w:b/>
                <w:bCs/>
                <w:color w:val="FFFFFF"/>
                <w:sz w:val="17"/>
                <w:szCs w:val="17"/>
              </w:rPr>
              <w:t xml:space="preserve">Indicative range (GHS)</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The Agri-Performance Diagnostic™: full engagement</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Verification of Findings 4 to 7 on site; installation of the costing system (R1), production record system (R2) and management account pack (R6); governance and role definition</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12,000 – 35,000</w:t>
            </w:r>
          </w:p>
        </w:tc>
      </w:tr>
      <w:tr>
        <w:trPr>
          <w:tblHeader w:val="false"/>
        </w:trPr>
        <w:tc>
          <w:tcPr>
            <w:tcW w:type="dxa" w:w="2600"/>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The Funding-Ready Pack™</w:t>
            </w:r>
          </w:p>
        </w:tc>
        <w:tc>
          <w:tcPr>
            <w:tcW w:type="dxa" w:w="4626"/>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Reconciliation and reissue of the business plan (R8) against verified numbers; a funder-ready financial model and supporting documentation</w:t>
            </w:r>
          </w:p>
        </w:tc>
        <w:tc>
          <w:tcPr>
            <w:tcW w:type="dxa" w:w="1800"/>
            <w:tcBorders>
              <w:top w:val="single" w:color="BFBFBF" w:sz="4"/>
              <w:left w:val="single" w:color="BFBFBF" w:sz="4"/>
              <w:bottom w:val="single" w:color="BFBFBF" w:sz="4"/>
              <w:right w:val="single" w:color="BFBFBF" w:sz="4"/>
            </w:tcBorders>
            <w:shd w:fill="F7F5EF" w:color="auto" w:val="clear"/>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8,000 – 20,000</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The Market Access Booster™</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Outgrower supply agreements (R5); food safety and quality documentation for institutional buyers (R7); buyer engagement for schools, hospitals and prisons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Open Sans" w:cs="Open Sans" w:eastAsia="Open Sans" w:hAnsi="Open Sans"/>
                <w:b w:val="false"/>
                <w:bCs w:val="false"/>
                <w:color w:val="222222"/>
                <w:sz w:val="19"/>
                <w:szCs w:val="19"/>
              </w:rPr>
              <w:t xml:space="preserve">15,000 – 40,000</w:t>
            </w:r>
          </w:p>
        </w:tc>
      </w:tr>
    </w:tbl>
    <w:p>
      <w:pPr>
        <w:spacing w:after="120"/>
      </w:pPr>
    </w:p>
    <w:p>
      <w:pPr>
        <w:spacing w:after="140" w:line="300"/>
      </w:pPr>
      <w:r>
        <w:rPr>
          <w:rFonts w:ascii="Open Sans" w:cs="Open Sans" w:eastAsia="Open Sans" w:hAnsi="Open Sans"/>
          <w:b/>
          <w:bCs/>
          <w:color w:val="222222"/>
          <w:sz w:val="21"/>
          <w:szCs w:val="21"/>
        </w:rPr>
        <w:t xml:space="preserve">AVAC’s recommendation is to proceed with the full Agri-Performance Diagnostic™ first. </w:t>
      </w:r>
      <w:r>
        <w:rPr>
          <w:rFonts w:ascii="Open Sans" w:cs="Open Sans" w:eastAsia="Open Sans" w:hAnsi="Open Sans"/>
          <w:color w:val="222222"/>
          <w:sz w:val="21"/>
          <w:szCs w:val="21"/>
        </w:rPr>
        <w:t xml:space="preserve">The Funding-Ready Pack and Market Access work both depend on numbers that do not yet exist. Preparing a funding application before the costing system is installed would repeat the error identified in Finding 1 at greater expense.</w:t>
      </w:r>
    </w:p>
    <w:p>
      <w:pPr>
        <w:pBdr>
          <w:bottom w:val="single" w:color="C89B3C" w:sz="8" w:space="1"/>
        </w:pBdr>
        <w:spacing w:after="200"/>
      </w:pPr>
    </w:p>
    <w:p>
      <w:pPr>
        <w:spacing w:after="140" w:line="300"/>
      </w:pPr>
      <w:r>
        <w:rPr>
          <w:rFonts w:ascii="Open Sans" w:cs="Open Sans" w:eastAsia="Open Sans" w:hAnsi="Open Sans"/>
          <w:color w:val="6B7280"/>
          <w:sz w:val="19"/>
          <w:szCs w:val="19"/>
        </w:rPr>
        <w:t xml:space="preserve">Prepared by Sule Abdul Rahman, Principal Consultant, AgriValue Advisory Consult</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Open Sans" w:cs="Open Sans" w:eastAsia="Open Sans" w:hAnsi="Open Sans"/>
        <w:i/>
        <w:iCs/>
        <w:color w:val="6B7280"/>
        <w:sz w:val="15"/>
        <w:szCs w:val="15"/>
      </w:rPr>
      <w:t xml:space="preserve">Turning agriculture into structured, profitable, and scalable business systems.   ·   Page </w:t>
    </w:r>
    <w:r>
      <w:rPr>
        <w:rFonts w:ascii="Open Sans" w:cs="Open Sans" w:eastAsia="Open Sans" w:hAnsi="Open San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E3B" w:sz="6" w:space="4"/>
      </w:pBdr>
      <w:tabs>
        <w:tab w:val="right" w:pos="9026"/>
      </w:tabs>
    </w:pPr>
    <w:r>
      <w:rPr>
        <w:rFonts w:ascii="Montserrat" w:cs="Montserrat" w:eastAsia="Montserrat" w:hAnsi="Montserrat"/>
        <w:b/>
        <w:bCs/>
        <w:color w:val="1F5E3B"/>
        <w:sz w:val="15"/>
        <w:szCs w:val="15"/>
      </w:rPr>
      <w:t xml:space="preserve">AGRIVALUE ADVISORY CONSULT</w:t>
    </w:r>
    <w:r>
      <w:rPr>
        <w:rFonts w:ascii="Open Sans" w:cs="Open Sans" w:eastAsia="Open Sans" w:hAnsi="Open Sans"/>
        <w:color w:val="6B7280"/>
        <w:sz w:val="15"/>
        <w:szCs w:val="15"/>
      </w:rPr>
      <w:t xml:space="preserve">	Systems Diagnostic Report · Anonymised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C89B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Montserrat" w:cs="Montserrat" w:eastAsia="Montserrat" w:hAnsi="Montserrat"/>
      <w:b/>
      <w:bCs/>
      <w:color w:val="1F5E3B"/>
      <w:sz w:val="30"/>
      <w:szCs w:val="30"/>
    </w:rPr>
  </w:style>
  <w:style w:type="paragraph" w:styleId="Heading2">
    <w:name w:val="Heading 2"/>
    <w:basedOn w:val="Normal"/>
    <w:next w:val="Normal"/>
    <w:qFormat/>
    <w:pPr>
      <w:outlineLvl w:val="1"/>
    </w:pPr>
    <w:rPr>
      <w:rFonts w:ascii="Montserrat" w:cs="Montserrat" w:eastAsia="Montserrat" w:hAnsi="Montserrat"/>
      <w:b/>
      <w:bCs/>
      <w:color w:val="1F5E3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Systems Diagnostic Report: Oil Palm Processor (Anonymised)</dc:title>
  <dc:creator>AgriValue Advisory Consult</dc:creator>
  <cp:lastModifiedBy>Un-named</cp:lastModifiedBy>
  <cp:revision>1</cp:revision>
  <dcterms:created xsi:type="dcterms:W3CDTF">2026-10-04T14:20:01.646Z</dcterms:created>
  <dcterms:modified xsi:type="dcterms:W3CDTF">2026-10-04T14:20:01.650Z</dcterms:modified>
</cp:coreProperties>
</file>

<file path=docProps/custom.xml><?xml version="1.0" encoding="utf-8"?>
<Properties xmlns="http://schemas.openxmlformats.org/officeDocument/2006/custom-properties" xmlns:vt="http://schemas.openxmlformats.org/officeDocument/2006/docPropsVTypes"/>
</file>