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rFonts w:ascii="Montserrat" w:cs="Montserrat" w:eastAsia="Montserrat" w:hAnsi="Montserrat"/>
          <w:b/>
          <w:bCs/>
          <w:color w:val="1F5E3B"/>
          <w:sz w:val="30"/>
          <w:szCs w:val="30"/>
        </w:rPr>
        <w:t xml:space="preserve">AGRIVALUE ADVISORY CONSULT</w:t>
      </w:r>
    </w:p>
    <w:p>
      <w:pPr>
        <w:spacing w:after="120"/>
      </w:pPr>
      <w:r>
        <w:rPr>
          <w:rFonts w:ascii="Montserrat" w:cs="Montserrat" w:eastAsia="Montserrat" w:hAnsi="Montserrat"/>
          <w:b/>
          <w:bCs/>
          <w:color w:val="C89B3C"/>
          <w:sz w:val="16"/>
          <w:szCs w:val="16"/>
        </w:rPr>
        <w:t xml:space="preserve">AGRIBUSINESS  |  OPERATIONS  |  STRATEGY  |  SYSTEMS</w:t>
      </w:r>
    </w:p>
    <w:p>
      <w:pPr>
        <w:pBdr>
          <w:bottom w:val="single" w:color="C89B3C" w:sz="8" w:space="1"/>
        </w:pBdr>
        <w:spacing w:after="200"/>
      </w:pPr>
    </w:p>
    <w:p>
      <w:pPr>
        <w:spacing w:after="80" w:before="600"/>
      </w:pPr>
      <w:r>
        <w:rPr>
          <w:rFonts w:ascii="Montserrat" w:cs="Montserrat" w:eastAsia="Montserrat" w:hAnsi="Montserrat"/>
          <w:b/>
          <w:bCs/>
          <w:color w:val="C89B3C"/>
          <w:sz w:val="18"/>
          <w:szCs w:val="18"/>
        </w:rPr>
        <w:t xml:space="preserve">THE AGRI-PERFORMANCE DIAGNOSTIC™</w:t>
      </w:r>
    </w:p>
    <w:p>
      <w:pPr>
        <w:spacing w:after="120"/>
      </w:pPr>
      <w:r>
        <w:rPr>
          <w:rFonts w:ascii="Montserrat" w:cs="Montserrat" w:eastAsia="Montserrat" w:hAnsi="Montserrat"/>
          <w:b/>
          <w:bCs/>
          <w:color w:val="1F5E3B"/>
          <w:sz w:val="52"/>
          <w:szCs w:val="52"/>
        </w:rPr>
        <w:t xml:space="preserve">Systems Diagnostic Report</w:t>
      </w:r>
    </w:p>
    <w:p>
      <w:pPr>
        <w:spacing w:after="80"/>
      </w:pPr>
      <w:r>
        <w:rPr>
          <w:rFonts w:ascii="Open Sans" w:cs="Open Sans" w:eastAsia="Open Sans" w:hAnsi="Open Sans"/>
          <w:color w:val="222222"/>
          <w:sz w:val="28"/>
          <w:szCs w:val="28"/>
        </w:rPr>
        <w:t xml:space="preserve">Oil Palm Producer and Processor, Eastern Region, Ghana</w:t>
      </w:r>
    </w:p>
    <w:p>
      <w:pPr>
        <w:spacing w:after="360"/>
      </w:pPr>
      <w:r>
        <w:rPr>
          <w:rFonts w:ascii="Open Sans" w:cs="Open Sans" w:eastAsia="Open Sans" w:hAnsi="Open Sans"/>
          <w:i/>
          <w:iCs/>
          <w:color w:val="6B7280"/>
          <w:sz w:val="22"/>
          <w:szCs w:val="22"/>
        </w:rPr>
        <w:t xml:space="preserve">Anonymised reference version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2000"/>
        <w:gridCol w:w="1700"/>
        <w:gridCol w:w="1726"/>
      </w:tblGrid>
      <w:tr>
        <w:trPr>
          <w:tblHeader/>
        </w:trPr>
        <w:tc>
          <w:tcPr>
            <w:tcW w:type="dxa" w:w="1900"/>
            <w:tcBorders>
              <w:top w:val="single" w:color="BFBFBF" w:sz="4"/>
              <w:left w:val="single" w:color="BFBFBF" w:sz="4"/>
              <w:bottom w:val="single" w:color="BFBFBF" w:sz="4"/>
              <w:right w:val="single" w:color="BFBFBF" w:sz="4"/>
            </w:tcBorders>
            <w:shd w:fill="1F5E3B" w:color="auto" w:val="clear"/>
            <w:tcMar>
              <w:top w:type="dxa" w:w="70"/>
              <w:left w:type="dxa" w:w="110"/>
              <w:bottom w:type="dxa" w:w="70"/>
              <w:right w:type="dxa" w:w="110"/>
            </w:tcMar>
          </w:tcPr>
          <w:p>
            <w:r>
              <w:rPr>
                <w:rFonts w:ascii="Montserrat" w:cs="Montserrat" w:eastAsia="Montserrat" w:hAnsi="Montserrat"/>
                <w:b/>
                <w:bCs/>
                <w:color w:val="FFFFFF"/>
                <w:sz w:val="17"/>
                <w:szCs w:val="17"/>
              </w:rPr>
              <w:t xml:space="preserve">Client</w:t>
            </w:r>
          </w:p>
        </w:tc>
        <w:tc>
          <w:tcPr>
            <w:tcW w:type="dxa" w:w="1700"/>
            <w:tcBorders>
              <w:top w:val="single" w:color="BFBFBF" w:sz="4"/>
              <w:left w:val="single" w:color="BFBFBF" w:sz="4"/>
              <w:bottom w:val="single" w:color="BFBFBF" w:sz="4"/>
              <w:right w:val="single" w:color="BFBFBF" w:sz="4"/>
            </w:tcBorders>
            <w:shd w:fill="1F5E3B" w:color="auto" w:val="clear"/>
            <w:tcMar>
              <w:top w:type="dxa" w:w="70"/>
              <w:left w:type="dxa" w:w="110"/>
              <w:bottom w:type="dxa" w:w="70"/>
              <w:right w:type="dxa" w:w="110"/>
            </w:tcMar>
          </w:tcPr>
          <w:p>
            <w:r>
              <w:rPr>
                <w:rFonts w:ascii="Montserrat" w:cs="Montserrat" w:eastAsia="Montserrat" w:hAnsi="Montserrat"/>
                <w:b/>
                <w:bCs/>
                <w:color w:val="FFFFFF"/>
                <w:sz w:val="17"/>
                <w:szCs w:val="17"/>
              </w:rPr>
              <w:t xml:space="preserve">Sector</w:t>
            </w:r>
          </w:p>
        </w:tc>
        <w:tc>
          <w:tcPr>
            <w:tcW w:type="dxa" w:w="2000"/>
            <w:tcBorders>
              <w:top w:val="single" w:color="BFBFBF" w:sz="4"/>
              <w:left w:val="single" w:color="BFBFBF" w:sz="4"/>
              <w:bottom w:val="single" w:color="BFBFBF" w:sz="4"/>
              <w:right w:val="single" w:color="BFBFBF" w:sz="4"/>
            </w:tcBorders>
            <w:shd w:fill="1F5E3B" w:color="auto" w:val="clear"/>
            <w:tcMar>
              <w:top w:type="dxa" w:w="70"/>
              <w:left w:type="dxa" w:w="110"/>
              <w:bottom w:type="dxa" w:w="70"/>
              <w:right w:type="dxa" w:w="110"/>
            </w:tcMar>
          </w:tcPr>
          <w:p>
            <w:r>
              <w:rPr>
                <w:rFonts w:ascii="Montserrat" w:cs="Montserrat" w:eastAsia="Montserrat" w:hAnsi="Montserrat"/>
                <w:b/>
                <w:bCs/>
                <w:color w:val="FFFFFF"/>
                <w:sz w:val="17"/>
                <w:szCs w:val="17"/>
              </w:rPr>
              <w:t xml:space="preserve">Engagement</w:t>
            </w:r>
          </w:p>
        </w:tc>
        <w:tc>
          <w:tcPr>
            <w:tcW w:type="dxa" w:w="1700"/>
            <w:tcBorders>
              <w:top w:val="single" w:color="BFBFBF" w:sz="4"/>
              <w:left w:val="single" w:color="BFBFBF" w:sz="4"/>
              <w:bottom w:val="single" w:color="BFBFBF" w:sz="4"/>
              <w:right w:val="single" w:color="BFBFBF" w:sz="4"/>
            </w:tcBorders>
            <w:shd w:fill="1F5E3B" w:color="auto" w:val="clear"/>
            <w:tcMar>
              <w:top w:type="dxa" w:w="70"/>
              <w:left w:type="dxa" w:w="110"/>
              <w:bottom w:type="dxa" w:w="70"/>
              <w:right w:type="dxa" w:w="110"/>
            </w:tcMar>
          </w:tcPr>
          <w:p>
            <w:r>
              <w:rPr>
                <w:rFonts w:ascii="Montserrat" w:cs="Montserrat" w:eastAsia="Montserrat" w:hAnsi="Montserrat"/>
                <w:b/>
                <w:bCs/>
                <w:color w:val="FFFFFF"/>
                <w:sz w:val="17"/>
                <w:szCs w:val="17"/>
              </w:rPr>
              <w:t xml:space="preserve">Phase</w:t>
            </w:r>
          </w:p>
        </w:tc>
        <w:tc>
          <w:tcPr>
            <w:tcW w:type="dxa" w:w="1726"/>
            <w:tcBorders>
              <w:top w:val="single" w:color="BFBFBF" w:sz="4"/>
              <w:left w:val="single" w:color="BFBFBF" w:sz="4"/>
              <w:bottom w:val="single" w:color="BFBFBF" w:sz="4"/>
              <w:right w:val="single" w:color="BFBFBF" w:sz="4"/>
            </w:tcBorders>
            <w:shd w:fill="1F5E3B" w:color="auto" w:val="clear"/>
            <w:tcMar>
              <w:top w:type="dxa" w:w="70"/>
              <w:left w:type="dxa" w:w="110"/>
              <w:bottom w:type="dxa" w:w="70"/>
              <w:right w:type="dxa" w:w="110"/>
            </w:tcMar>
          </w:tcPr>
          <w:p>
            <w:r>
              <w:rPr>
                <w:rFonts w:ascii="Montserrat" w:cs="Montserrat" w:eastAsia="Montserrat" w:hAnsi="Montserrat"/>
                <w:b/>
                <w:bCs/>
                <w:color w:val="FFFFFF"/>
                <w:sz w:val="17"/>
                <w:szCs w:val="17"/>
              </w:rPr>
              <w:t xml:space="preserve">Report date</w:t>
            </w:r>
          </w:p>
        </w:tc>
      </w:tr>
      <w:tr>
        <w:trPr>
          <w:tblHeader w:val="false"/>
        </w:trPr>
        <w:tc>
          <w:tcPr>
            <w:tcW w:type="dxa" w:w="19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Open Sans" w:cs="Open Sans" w:eastAsia="Open Sans" w:hAnsi="Open Sans"/>
                <w:b w:val="false"/>
                <w:bCs w:val="false"/>
                <w:color w:val="222222"/>
                <w:sz w:val="19"/>
                <w:szCs w:val="19"/>
              </w:rPr>
              <w:t xml:space="preserve">Oil palm processor (name withheld)</w:t>
            </w: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Open Sans" w:cs="Open Sans" w:eastAsia="Open Sans" w:hAnsi="Open Sans"/>
                <w:b w:val="false"/>
                <w:bCs w:val="false"/>
                <w:color w:val="222222"/>
                <w:sz w:val="19"/>
                <w:szCs w:val="19"/>
              </w:rPr>
              <w:t xml:space="preserve">Oil palm: production, processing and trading</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Open Sans" w:cs="Open Sans" w:eastAsia="Open Sans" w:hAnsi="Open Sans"/>
                <w:b w:val="false"/>
                <w:bCs w:val="false"/>
                <w:color w:val="222222"/>
                <w:sz w:val="19"/>
                <w:szCs w:val="19"/>
              </w:rPr>
              <w:t xml:space="preserve">Rapid Agri-Systems Snapshot (pilot)</w:t>
            </w: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Open Sans" w:cs="Open Sans" w:eastAsia="Open Sans" w:hAnsi="Open Sans"/>
                <w:b w:val="false"/>
                <w:bCs w:val="false"/>
                <w:color w:val="222222"/>
                <w:sz w:val="19"/>
                <w:szCs w:val="19"/>
              </w:rPr>
              <w:t xml:space="preserve">Phase 1: document-based review</w:t>
            </w:r>
          </w:p>
        </w:tc>
        <w:tc>
          <w:tcPr>
            <w:tcW w:type="dxa" w:w="17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Open Sans" w:cs="Open Sans" w:eastAsia="Open Sans" w:hAnsi="Open Sans"/>
                <w:b w:val="false"/>
                <w:bCs w:val="false"/>
                <w:color w:val="222222"/>
                <w:sz w:val="19"/>
                <w:szCs w:val="19"/>
              </w:rPr>
              <w:t xml:space="preserve">August 2026</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C89B3C" w:sz="24"/>
              <w:bottom w:val="none" w:color="FFFFFF" w:sz="0"/>
              <w:right w:val="none" w:color="FFFFFF" w:sz="0"/>
            </w:tcBorders>
            <w:shd w:fill="F7F5EF" w:color="auto" w:val="clear"/>
            <w:tcMar>
              <w:top w:type="dxa" w:w="120"/>
              <w:left w:type="dxa" w:w="180"/>
              <w:bottom w:type="dxa" w:w="120"/>
              <w:right w:type="dxa" w:w="180"/>
            </w:tcMar>
          </w:tcPr>
          <w:p>
            <w:pPr>
              <w:spacing w:after="60"/>
            </w:pPr>
            <w:r>
              <w:rPr>
                <w:rFonts w:ascii="Montserrat" w:cs="Montserrat" w:eastAsia="Montserrat" w:hAnsi="Montserrat"/>
                <w:b/>
                <w:bCs/>
                <w:color w:val="C89B3C"/>
                <w:sz w:val="16"/>
                <w:szCs w:val="16"/>
              </w:rPr>
              <w:t xml:space="preserve">ABOUT THIS VERSION</w:t>
            </w:r>
          </w:p>
          <w:p>
            <w:pPr>
              <w:spacing w:after="60" w:line="290"/>
            </w:pPr>
            <w:r>
              <w:rPr>
                <w:rFonts w:ascii="Open Sans" w:cs="Open Sans" w:eastAsia="Open Sans" w:hAnsi="Open Sans"/>
                <w:color w:val="222222"/>
                <w:sz w:val="21"/>
                <w:szCs w:val="21"/>
              </w:rPr>
              <w:t xml:space="preserve">This is an anonymised version of a diagnostic report delivered to a client in August 2026. The client’s name, the founder’s name, the exact location, brand names and all financial figures have been removed. The findings, method and recommendations are otherwise as delivered. The original report remains confidential to the client and AgriValue Advisory Consult.</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1F5E3B" w:sz="24"/>
              <w:bottom w:val="none" w:color="FFFFFF" w:sz="0"/>
              <w:right w:val="none" w:color="FFFFFF" w:sz="0"/>
            </w:tcBorders>
            <w:shd w:fill="F7F5EF" w:color="auto" w:val="clear"/>
            <w:tcMar>
              <w:top w:type="dxa" w:w="120"/>
              <w:left w:type="dxa" w:w="180"/>
              <w:bottom w:type="dxa" w:w="120"/>
              <w:right w:type="dxa" w:w="180"/>
            </w:tcMar>
          </w:tcPr>
          <w:p>
            <w:pPr>
              <w:spacing w:after="60"/>
            </w:pPr>
            <w:r>
              <w:rPr>
                <w:rFonts w:ascii="Montserrat" w:cs="Montserrat" w:eastAsia="Montserrat" w:hAnsi="Montserrat"/>
                <w:b/>
                <w:bCs/>
                <w:color w:val="1F5E3B"/>
                <w:sz w:val="16"/>
                <w:szCs w:val="16"/>
              </w:rPr>
              <w:t xml:space="preserve">BASIS OF THIS REPORT</w:t>
            </w:r>
          </w:p>
          <w:p>
            <w:pPr>
              <w:spacing w:after="60" w:line="290"/>
            </w:pPr>
            <w:r>
              <w:rPr>
                <w:rFonts w:ascii="Open Sans" w:cs="Open Sans" w:eastAsia="Open Sans" w:hAnsi="Open Sans"/>
                <w:color w:val="222222"/>
                <w:sz w:val="21"/>
                <w:szCs w:val="21"/>
              </w:rPr>
              <w:t xml:space="preserve">This diagnostic was prepared from two sources. First, a single structured interview with the founder, conducted using AVAC’s internal Stakeholder Interview Guide. No other staff member was interviewed. Second, documents supplied by the client: the company registration and business activities profile, and the business plan.</w:t>
            </w:r>
          </w:p>
          <w:p>
            <w:pPr>
              <w:spacing w:after="60" w:line="290"/>
            </w:pPr>
            <w:r>
              <w:rPr>
                <w:rFonts w:ascii="Open Sans" w:cs="Open Sans" w:eastAsia="Open Sans" w:hAnsi="Open Sans"/>
                <w:color w:val="222222"/>
                <w:sz w:val="21"/>
                <w:szCs w:val="21"/>
              </w:rPr>
              <w:t xml:space="preserve">The engagement was delivered at no fee as a pilot. By agreement, the scope was the structured interview plus document review only: no site visit, mill inspection or transaction-level record review. Where AVAC has estimated a value, it is labelled indicative and must be confirmed against actual operating records in Phase 2.</w:t>
            </w:r>
          </w:p>
        </w:tc>
      </w:tr>
    </w:tbl>
    <w:p>
      <w:r>
        <w:br w:type="page"/>
      </w:r>
    </w:p>
    <w:p>
      <w:pPr>
        <w:pStyle w:val="Heading1"/>
        <w:spacing w:after="160" w:before="360"/>
      </w:pPr>
      <w:r>
        <w:rPr>
          <w:rFonts w:ascii="Montserrat" w:cs="Montserrat" w:eastAsia="Montserrat" w:hAnsi="Montserrat"/>
          <w:b/>
          <w:bCs/>
          <w:color w:val="1F5E3B"/>
          <w:sz w:val="30"/>
          <w:szCs w:val="30"/>
        </w:rPr>
        <w:t xml:space="preserve">1. Executive Summary</w:t>
      </w:r>
    </w:p>
    <w:p>
      <w:pPr>
        <w:spacing w:after="140" w:line="300"/>
      </w:pPr>
      <w:r>
        <w:rPr>
          <w:rFonts w:ascii="Open Sans" w:cs="Open Sans" w:eastAsia="Open Sans" w:hAnsi="Open Sans"/>
          <w:color w:val="222222"/>
          <w:sz w:val="21"/>
          <w:szCs w:val="21"/>
        </w:rPr>
        <w:t xml:space="preserve">The client is a registered Ghanaian agribusiness with a credible market position: a defined product range (crude palm oil, refined palm oil, palm kernel oil and palm kernel cake), a target buyer base of institutions and wholesalers, completed business registration, and membership of a national agribusiness chamber. The commercial foundation is real.</w:t>
      </w:r>
    </w:p>
    <w:p>
      <w:pPr>
        <w:spacing w:after="140" w:line="300"/>
      </w:pPr>
      <w:r>
        <w:rPr>
          <w:rFonts w:ascii="Open Sans" w:cs="Open Sans" w:eastAsia="Open Sans" w:hAnsi="Open Sans"/>
          <w:color w:val="222222"/>
          <w:sz w:val="21"/>
          <w:szCs w:val="21"/>
        </w:rPr>
        <w:t xml:space="preserve">The constraint is not market access. It is that the business is being run without a management system capable of telling the owner what a tonne of fruit costs to process, what a drum of oil costs to produce, or whether any given sale makes money. The business plan itself demonstrates this: on the company’s own numbers, the planned operation loses money in two of its first three cycles, and the planned annual throughput is more than one hundred times the planned raw material budget.</w:t>
      </w:r>
    </w:p>
    <w:p>
      <w:pPr>
        <w:spacing w:after="140" w:line="300"/>
      </w:pPr>
      <w:r>
        <w:rPr>
          <w:rFonts w:ascii="Open Sans" w:cs="Open Sans" w:eastAsia="Open Sans" w:hAnsi="Open Sans"/>
          <w:color w:val="222222"/>
          <w:sz w:val="21"/>
          <w:szCs w:val="21"/>
        </w:rPr>
        <w:t xml:space="preserve">These are not accounting errors to be corrected in a document. They are the visible symptom of an absent costing and production-record system. Until that system exists, every pricing decision, every outgrower negotiation and every funding application rests on numbers nobody can defend.</w:t>
      </w:r>
    </w:p>
    <w:p>
      <w:pPr>
        <w:pStyle w:val="Heading2"/>
        <w:spacing w:after="100" w:before="240"/>
      </w:pPr>
      <w:r>
        <w:rPr>
          <w:rFonts w:ascii="Montserrat" w:cs="Montserrat" w:eastAsia="Montserrat" w:hAnsi="Montserrat"/>
          <w:b/>
          <w:bCs/>
          <w:color w:val="1F5E3B"/>
          <w:sz w:val="23"/>
          <w:szCs w:val="23"/>
        </w:rPr>
        <w:t xml:space="preserve">The three findings that matter most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3300"/>
        <w:gridCol w:w="1100"/>
        <w:gridCol w:w="4126"/>
      </w:tblGrid>
      <w:tr>
        <w:trPr>
          <w:tblHeader/>
        </w:trPr>
        <w:tc>
          <w:tcPr>
            <w:tcW w:type="dxa" w:w="500"/>
            <w:tcBorders>
              <w:top w:val="single" w:color="BFBFBF" w:sz="4"/>
              <w:left w:val="single" w:color="BFBFBF" w:sz="4"/>
              <w:bottom w:val="single" w:color="BFBFBF" w:sz="4"/>
              <w:right w:val="single" w:color="BFBFBF" w:sz="4"/>
            </w:tcBorders>
            <w:shd w:fill="1F5E3B" w:color="auto" w:val="clear"/>
            <w:tcMar>
              <w:top w:type="dxa" w:w="70"/>
              <w:left w:type="dxa" w:w="110"/>
              <w:bottom w:type="dxa" w:w="70"/>
              <w:right w:type="dxa" w:w="110"/>
            </w:tcMar>
          </w:tcPr>
          <w:p>
            <w:r>
              <w:rPr>
                <w:rFonts w:ascii="Montserrat" w:cs="Montserrat" w:eastAsia="Montserrat" w:hAnsi="Montserrat"/>
                <w:b/>
                <w:bCs/>
                <w:color w:val="FFFFFF"/>
                <w:sz w:val="17"/>
                <w:szCs w:val="17"/>
              </w:rPr>
              <w:t xml:space="preserve">#</w:t>
            </w:r>
          </w:p>
        </w:tc>
        <w:tc>
          <w:tcPr>
            <w:tcW w:type="dxa" w:w="3300"/>
            <w:tcBorders>
              <w:top w:val="single" w:color="BFBFBF" w:sz="4"/>
              <w:left w:val="single" w:color="BFBFBF" w:sz="4"/>
              <w:bottom w:val="single" w:color="BFBFBF" w:sz="4"/>
              <w:right w:val="single" w:color="BFBFBF" w:sz="4"/>
            </w:tcBorders>
            <w:shd w:fill="1F5E3B" w:color="auto" w:val="clear"/>
            <w:tcMar>
              <w:top w:type="dxa" w:w="70"/>
              <w:left w:type="dxa" w:w="110"/>
              <w:bottom w:type="dxa" w:w="70"/>
              <w:right w:type="dxa" w:w="110"/>
            </w:tcMar>
          </w:tcPr>
          <w:p>
            <w:r>
              <w:rPr>
                <w:rFonts w:ascii="Montserrat" w:cs="Montserrat" w:eastAsia="Montserrat" w:hAnsi="Montserrat"/>
                <w:b/>
                <w:bCs/>
                <w:color w:val="FFFFFF"/>
                <w:sz w:val="17"/>
                <w:szCs w:val="17"/>
              </w:rPr>
              <w:t xml:space="preserve">Finding</w:t>
            </w:r>
          </w:p>
        </w:tc>
        <w:tc>
          <w:tcPr>
            <w:tcW w:type="dxa" w:w="1100"/>
            <w:tcBorders>
              <w:top w:val="single" w:color="BFBFBF" w:sz="4"/>
              <w:left w:val="single" w:color="BFBFBF" w:sz="4"/>
              <w:bottom w:val="single" w:color="BFBFBF" w:sz="4"/>
              <w:right w:val="single" w:color="BFBFBF" w:sz="4"/>
            </w:tcBorders>
            <w:shd w:fill="1F5E3B" w:color="auto" w:val="clear"/>
            <w:tcMar>
              <w:top w:type="dxa" w:w="70"/>
              <w:left w:type="dxa" w:w="110"/>
              <w:bottom w:type="dxa" w:w="70"/>
              <w:right w:type="dxa" w:w="110"/>
            </w:tcMar>
          </w:tcPr>
          <w:p>
            <w:r>
              <w:rPr>
                <w:rFonts w:ascii="Montserrat" w:cs="Montserrat" w:eastAsia="Montserrat" w:hAnsi="Montserrat"/>
                <w:b/>
                <w:bCs/>
                <w:color w:val="FFFFFF"/>
                <w:sz w:val="17"/>
                <w:szCs w:val="17"/>
              </w:rPr>
              <w:t xml:space="preserve">Severity</w:t>
            </w:r>
          </w:p>
        </w:tc>
        <w:tc>
          <w:tcPr>
            <w:tcW w:type="dxa" w:w="4126"/>
            <w:tcBorders>
              <w:top w:val="single" w:color="BFBFBF" w:sz="4"/>
              <w:left w:val="single" w:color="BFBFBF" w:sz="4"/>
              <w:bottom w:val="single" w:color="BFBFBF" w:sz="4"/>
              <w:right w:val="single" w:color="BFBFBF" w:sz="4"/>
            </w:tcBorders>
            <w:shd w:fill="1F5E3B" w:color="auto" w:val="clear"/>
            <w:tcMar>
              <w:top w:type="dxa" w:w="70"/>
              <w:left w:type="dxa" w:w="110"/>
              <w:bottom w:type="dxa" w:w="70"/>
              <w:right w:type="dxa" w:w="110"/>
            </w:tcMar>
          </w:tcPr>
          <w:p>
            <w:r>
              <w:rPr>
                <w:rFonts w:ascii="Montserrat" w:cs="Montserrat" w:eastAsia="Montserrat" w:hAnsi="Montserrat"/>
                <w:b/>
                <w:bCs/>
                <w:color w:val="FFFFFF"/>
                <w:sz w:val="17"/>
                <w:szCs w:val="17"/>
              </w:rPr>
              <w:t xml:space="preserve">Consequence if unaddressed</w:t>
            </w:r>
          </w:p>
        </w:tc>
      </w:tr>
      <w:tr>
        <w:trPr>
          <w:tblHeader w:val="false"/>
        </w:trPr>
        <w:tc>
          <w:tcPr>
            <w:tcW w:type="dxa" w:w="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Open Sans" w:cs="Open Sans" w:eastAsia="Open Sans" w:hAnsi="Open Sans"/>
                <w:b w:val="false"/>
                <w:bCs w:val="false"/>
                <w:color w:val="222222"/>
                <w:sz w:val="19"/>
                <w:szCs w:val="19"/>
              </w:rPr>
              <w:t xml:space="preserve">1</w:t>
            </w:r>
          </w:p>
        </w:tc>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Open Sans" w:cs="Open Sans" w:eastAsia="Open Sans" w:hAnsi="Open Sans"/>
                <w:b w:val="false"/>
                <w:bCs w:val="false"/>
                <w:color w:val="222222"/>
                <w:sz w:val="19"/>
                <w:szCs w:val="19"/>
              </w:rPr>
              <w:t xml:space="preserve">Planned revenue does not cover planned variable cost in Cycles 1 and 2</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Open Sans" w:cs="Open Sans" w:eastAsia="Open Sans" w:hAnsi="Open Sans"/>
                <w:b w:val="false"/>
                <w:bCs w:val="false"/>
                <w:color w:val="222222"/>
                <w:sz w:val="19"/>
                <w:szCs w:val="19"/>
              </w:rPr>
              <w:t xml:space="preserve">Critical</w:t>
            </w:r>
          </w:p>
        </w:tc>
        <w:tc>
          <w:tcPr>
            <w:tcW w:type="dxa" w:w="41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Open Sans" w:cs="Open Sans" w:eastAsia="Open Sans" w:hAnsi="Open Sans"/>
                <w:b w:val="false"/>
                <w:bCs w:val="false"/>
                <w:color w:val="222222"/>
                <w:sz w:val="19"/>
                <w:szCs w:val="19"/>
              </w:rPr>
              <w:t xml:space="preserve">Operating losses in both cycles before any recovery of the fixed investment</w:t>
            </w:r>
          </w:p>
        </w:tc>
      </w:tr>
      <w:tr>
        <w:trPr>
          <w:tblHeader w:val="false"/>
        </w:trPr>
        <w:tc>
          <w:tcPr>
            <w:tcW w:type="dxa" w:w="500"/>
            <w:tcBorders>
              <w:top w:val="single" w:color="BFBFBF" w:sz="4"/>
              <w:left w:val="single" w:color="BFBFBF" w:sz="4"/>
              <w:bottom w:val="single" w:color="BFBFBF" w:sz="4"/>
              <w:right w:val="single" w:color="BFBFBF" w:sz="4"/>
            </w:tcBorders>
            <w:shd w:fill="F7F5EF" w:color="auto" w:val="clear"/>
            <w:tcMar>
              <w:top w:type="dxa" w:w="70"/>
              <w:left w:type="dxa" w:w="110"/>
              <w:bottom w:type="dxa" w:w="70"/>
              <w:right w:type="dxa" w:w="110"/>
            </w:tcMar>
          </w:tcPr>
          <w:p>
            <w:r>
              <w:rPr>
                <w:rFonts w:ascii="Open Sans" w:cs="Open Sans" w:eastAsia="Open Sans" w:hAnsi="Open Sans"/>
                <w:b w:val="false"/>
                <w:bCs w:val="false"/>
                <w:color w:val="222222"/>
                <w:sz w:val="19"/>
                <w:szCs w:val="19"/>
              </w:rPr>
              <w:t xml:space="preserve">2</w:t>
            </w:r>
          </w:p>
        </w:tc>
        <w:tc>
          <w:tcPr>
            <w:tcW w:type="dxa" w:w="3300"/>
            <w:tcBorders>
              <w:top w:val="single" w:color="BFBFBF" w:sz="4"/>
              <w:left w:val="single" w:color="BFBFBF" w:sz="4"/>
              <w:bottom w:val="single" w:color="BFBFBF" w:sz="4"/>
              <w:right w:val="single" w:color="BFBFBF" w:sz="4"/>
            </w:tcBorders>
            <w:shd w:fill="F7F5EF" w:color="auto" w:val="clear"/>
            <w:tcMar>
              <w:top w:type="dxa" w:w="70"/>
              <w:left w:type="dxa" w:w="110"/>
              <w:bottom w:type="dxa" w:w="70"/>
              <w:right w:type="dxa" w:w="110"/>
            </w:tcMar>
          </w:tcPr>
          <w:p>
            <w:r>
              <w:rPr>
                <w:rFonts w:ascii="Open Sans" w:cs="Open Sans" w:eastAsia="Open Sans" w:hAnsi="Open Sans"/>
                <w:b w:val="false"/>
                <w:bCs w:val="false"/>
                <w:color w:val="222222"/>
                <w:sz w:val="19"/>
                <w:szCs w:val="19"/>
              </w:rPr>
              <w:t xml:space="preserve">Stated throughput is more than 100 times the budgeted raw material</w:t>
            </w:r>
          </w:p>
        </w:tc>
        <w:tc>
          <w:tcPr>
            <w:tcW w:type="dxa" w:w="1100"/>
            <w:tcBorders>
              <w:top w:val="single" w:color="BFBFBF" w:sz="4"/>
              <w:left w:val="single" w:color="BFBFBF" w:sz="4"/>
              <w:bottom w:val="single" w:color="BFBFBF" w:sz="4"/>
              <w:right w:val="single" w:color="BFBFBF" w:sz="4"/>
            </w:tcBorders>
            <w:shd w:fill="F7F5EF" w:color="auto" w:val="clear"/>
            <w:tcMar>
              <w:top w:type="dxa" w:w="70"/>
              <w:left w:type="dxa" w:w="110"/>
              <w:bottom w:type="dxa" w:w="70"/>
              <w:right w:type="dxa" w:w="110"/>
            </w:tcMar>
          </w:tcPr>
          <w:p>
            <w:r>
              <w:rPr>
                <w:rFonts w:ascii="Open Sans" w:cs="Open Sans" w:eastAsia="Open Sans" w:hAnsi="Open Sans"/>
                <w:b w:val="false"/>
                <w:bCs w:val="false"/>
                <w:color w:val="222222"/>
                <w:sz w:val="19"/>
                <w:szCs w:val="19"/>
              </w:rPr>
              <w:t xml:space="preserve">Critical</w:t>
            </w:r>
          </w:p>
        </w:tc>
        <w:tc>
          <w:tcPr>
            <w:tcW w:type="dxa" w:w="4126"/>
            <w:tcBorders>
              <w:top w:val="single" w:color="BFBFBF" w:sz="4"/>
              <w:left w:val="single" w:color="BFBFBF" w:sz="4"/>
              <w:bottom w:val="single" w:color="BFBFBF" w:sz="4"/>
              <w:right w:val="single" w:color="BFBFBF" w:sz="4"/>
            </w:tcBorders>
            <w:shd w:fill="F7F5EF" w:color="auto" w:val="clear"/>
            <w:tcMar>
              <w:top w:type="dxa" w:w="70"/>
              <w:left w:type="dxa" w:w="110"/>
              <w:bottom w:type="dxa" w:w="70"/>
              <w:right w:type="dxa" w:w="110"/>
            </w:tcMar>
          </w:tcPr>
          <w:p>
            <w:r>
              <w:rPr>
                <w:rFonts w:ascii="Open Sans" w:cs="Open Sans" w:eastAsia="Open Sans" w:hAnsi="Open Sans"/>
                <w:b w:val="false"/>
                <w:bCs w:val="false"/>
                <w:color w:val="222222"/>
                <w:sz w:val="19"/>
                <w:szCs w:val="19"/>
              </w:rPr>
              <w:t xml:space="preserve">The plan cannot be executed as written; funders will identify this immediately</w:t>
            </w:r>
          </w:p>
        </w:tc>
      </w:tr>
      <w:tr>
        <w:trPr>
          <w:tblHeader w:val="false"/>
        </w:trPr>
        <w:tc>
          <w:tcPr>
            <w:tcW w:type="dxa" w:w="5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Open Sans" w:cs="Open Sans" w:eastAsia="Open Sans" w:hAnsi="Open Sans"/>
                <w:b w:val="false"/>
                <w:bCs w:val="false"/>
                <w:color w:val="222222"/>
                <w:sz w:val="19"/>
                <w:szCs w:val="19"/>
              </w:rPr>
              <w:t xml:space="preserve">3</w:t>
            </w:r>
          </w:p>
        </w:tc>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Open Sans" w:cs="Open Sans" w:eastAsia="Open Sans" w:hAnsi="Open Sans"/>
                <w:b w:val="false"/>
                <w:bCs w:val="false"/>
                <w:color w:val="222222"/>
                <w:sz w:val="19"/>
                <w:szCs w:val="19"/>
              </w:rPr>
              <w:t xml:space="preserve">No unit cost, no extraction rate and no production record system</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Open Sans" w:cs="Open Sans" w:eastAsia="Open Sans" w:hAnsi="Open Sans"/>
                <w:b w:val="false"/>
                <w:bCs w:val="false"/>
                <w:color w:val="222222"/>
                <w:sz w:val="19"/>
                <w:szCs w:val="19"/>
              </w:rPr>
              <w:t xml:space="preserve">Critical</w:t>
            </w:r>
          </w:p>
        </w:tc>
        <w:tc>
          <w:tcPr>
            <w:tcW w:type="dxa" w:w="41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Open Sans" w:cs="Open Sans" w:eastAsia="Open Sans" w:hAnsi="Open Sans"/>
                <w:b w:val="false"/>
                <w:bCs w:val="false"/>
                <w:color w:val="222222"/>
                <w:sz w:val="19"/>
                <w:szCs w:val="19"/>
              </w:rPr>
              <w:t xml:space="preserve">Pricing, procurement and investment decisions are made without a cost base</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B3261E" w:sz="24"/>
              <w:bottom w:val="none" w:color="FFFFFF" w:sz="0"/>
              <w:right w:val="none" w:color="FFFFFF" w:sz="0"/>
            </w:tcBorders>
            <w:shd w:fill="F7F5EF" w:color="auto" w:val="clear"/>
            <w:tcMar>
              <w:top w:type="dxa" w:w="120"/>
              <w:left w:type="dxa" w:w="180"/>
              <w:bottom w:type="dxa" w:w="120"/>
              <w:right w:type="dxa" w:w="180"/>
            </w:tcMar>
          </w:tcPr>
          <w:p>
            <w:pPr>
              <w:spacing w:after="60"/>
            </w:pPr>
            <w:r>
              <w:rPr>
                <w:rFonts w:ascii="Montserrat" w:cs="Montserrat" w:eastAsia="Montserrat" w:hAnsi="Montserrat"/>
                <w:b/>
                <w:bCs/>
                <w:color w:val="B3261E"/>
                <w:sz w:val="16"/>
                <w:szCs w:val="16"/>
              </w:rPr>
              <w:t xml:space="preserve">THE SINGLE SENTENCE A FUNDER WILL USE TO DECLINE</w:t>
            </w:r>
          </w:p>
          <w:p>
            <w:pPr>
              <w:spacing w:after="60" w:line="290"/>
            </w:pPr>
            <w:r>
              <w:rPr>
                <w:rFonts w:ascii="Open Sans" w:cs="Open Sans" w:eastAsia="Open Sans" w:hAnsi="Open Sans"/>
                <w:color w:val="222222"/>
                <w:sz w:val="21"/>
                <w:szCs w:val="21"/>
              </w:rPr>
              <w:t xml:space="preserve">“Your plan shows a variable cost higher than revenue in the first cycle, and you have not told us what it costs you to produce one drum of oil.” This is fixable in under four weeks. It is not fixable after the application has been submitted.</w:t>
            </w:r>
          </w:p>
        </w:tc>
      </w:tr>
    </w:tbl>
    <w:p>
      <w:pPr>
        <w:pStyle w:val="Heading2"/>
        <w:spacing w:after="100" w:before="240"/>
      </w:pPr>
      <w:r>
        <w:rPr>
          <w:rFonts w:ascii="Montserrat" w:cs="Montserrat" w:eastAsia="Montserrat" w:hAnsi="Montserrat"/>
          <w:b/>
          <w:bCs/>
          <w:color w:val="1F5E3B"/>
          <w:sz w:val="23"/>
          <w:szCs w:val="23"/>
        </w:rPr>
        <w:t xml:space="preserve">Indicative value at stake</w:t>
      </w:r>
    </w:p>
    <w:p>
      <w:pPr>
        <w:spacing w:after="140" w:line="300"/>
      </w:pPr>
      <w:r>
        <w:rPr>
          <w:rFonts w:ascii="Open Sans" w:cs="Open Sans" w:eastAsia="Open Sans" w:hAnsi="Open Sans"/>
          <w:color w:val="222222"/>
          <w:sz w:val="21"/>
          <w:szCs w:val="21"/>
        </w:rPr>
        <w:t xml:space="preserve">Correcting pricing to a cost-plus-margin basis, metering and controlling energy consumption, and tracking oil extraction rate to reduce processing loss together move Cycle 1 from a planned loss to an indicative positive position. The values are AVAC estimates modelled from the client’s own cost lines. They are withheld from this version and must be confirmed against actual records in Phase 2.</w:t>
      </w:r>
    </w:p>
    <w:p>
      <w:pPr>
        <w:pStyle w:val="Heading1"/>
        <w:spacing w:after="160" w:before="360"/>
      </w:pPr>
      <w:r>
        <w:rPr>
          <w:rFonts w:ascii="Montserrat" w:cs="Montserrat" w:eastAsia="Montserrat" w:hAnsi="Montserrat"/>
          <w:b/>
          <w:bCs/>
          <w:color w:val="1F5E3B"/>
          <w:sz w:val="30"/>
          <w:szCs w:val="30"/>
        </w:rPr>
        <w:t xml:space="preserve">2. Business Profile as Documented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FBFBF" w:sz="4"/>
              <w:left w:val="single" w:color="BFBFBF" w:sz="4"/>
              <w:bottom w:val="single" w:color="BFBFBF" w:sz="4"/>
              <w:right w:val="single" w:color="BFBFBF" w:sz="4"/>
            </w:tcBorders>
            <w:shd w:fill="1F5E3B" w:color="auto" w:val="clear"/>
            <w:tcMar>
              <w:top w:type="dxa" w:w="70"/>
              <w:left w:type="dxa" w:w="110"/>
              <w:bottom w:type="dxa" w:w="70"/>
              <w:right w:type="dxa" w:w="110"/>
            </w:tcMar>
          </w:tcPr>
          <w:p>
            <w:r>
              <w:rPr>
                <w:rFonts w:ascii="Montserrat" w:cs="Montserrat" w:eastAsia="Montserrat" w:hAnsi="Montserrat"/>
                <w:b/>
                <w:bCs/>
                <w:color w:val="FFFFFF"/>
                <w:sz w:val="17"/>
                <w:szCs w:val="17"/>
              </w:rPr>
              <w:t xml:space="preserve">Attribute</w:t>
            </w:r>
          </w:p>
        </w:tc>
        <w:tc>
          <w:tcPr>
            <w:tcW w:type="dxa" w:w="6426"/>
            <w:tcBorders>
              <w:top w:val="single" w:color="BFBFBF" w:sz="4"/>
              <w:left w:val="single" w:color="BFBFBF" w:sz="4"/>
              <w:bottom w:val="single" w:color="BFBFBF" w:sz="4"/>
              <w:right w:val="single" w:color="BFBFBF" w:sz="4"/>
            </w:tcBorders>
            <w:shd w:fill="1F5E3B" w:color="auto" w:val="clear"/>
            <w:tcMar>
              <w:top w:type="dxa" w:w="70"/>
              <w:left w:type="dxa" w:w="110"/>
              <w:bottom w:type="dxa" w:w="70"/>
              <w:right w:type="dxa" w:w="110"/>
            </w:tcMar>
          </w:tcPr>
          <w:p>
            <w:r>
              <w:rPr>
                <w:rFonts w:ascii="Montserrat" w:cs="Montserrat" w:eastAsia="Montserrat" w:hAnsi="Montserrat"/>
                <w:b/>
                <w:bCs/>
                <w:color w:val="FFFFFF"/>
                <w:sz w:val="17"/>
                <w:szCs w:val="17"/>
              </w:rPr>
              <w:t xml:space="preserve">As stated in client documents</w:t>
            </w:r>
          </w:p>
        </w:tc>
      </w:tr>
      <w:tr>
        <w:trPr>
          <w:tblHeader w:val="false"/>
        </w:trPr>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Open Sans" w:cs="Open Sans" w:eastAsia="Open Sans" w:hAnsi="Open Sans"/>
                <w:b w:val="false"/>
                <w:bCs w:val="false"/>
                <w:color w:val="222222"/>
                <w:sz w:val="19"/>
                <w:szCs w:val="19"/>
              </w:rPr>
              <w:t xml:space="preserve">Legal form</w:t>
            </w:r>
          </w:p>
        </w:tc>
        <w:tc>
          <w:tcPr>
            <w:tcW w:type="dxa" w:w="64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Open Sans" w:cs="Open Sans" w:eastAsia="Open Sans" w:hAnsi="Open Sans"/>
                <w:b w:val="false"/>
                <w:bCs w:val="false"/>
                <w:color w:val="222222"/>
                <w:sz w:val="19"/>
                <w:szCs w:val="19"/>
              </w:rPr>
              <w:t xml:space="preserve">Private limited company</w:t>
            </w:r>
          </w:p>
        </w:tc>
      </w:tr>
      <w:tr>
        <w:trPr>
          <w:tblHeader w:val="false"/>
        </w:trPr>
        <w:tc>
          <w:tcPr>
            <w:tcW w:type="dxa" w:w="2600"/>
            <w:tcBorders>
              <w:top w:val="single" w:color="BFBFBF" w:sz="4"/>
              <w:left w:val="single" w:color="BFBFBF" w:sz="4"/>
              <w:bottom w:val="single" w:color="BFBFBF" w:sz="4"/>
              <w:right w:val="single" w:color="BFBFBF" w:sz="4"/>
            </w:tcBorders>
            <w:shd w:fill="F7F5EF" w:color="auto" w:val="clear"/>
            <w:tcMar>
              <w:top w:type="dxa" w:w="70"/>
              <w:left w:type="dxa" w:w="110"/>
              <w:bottom w:type="dxa" w:w="70"/>
              <w:right w:type="dxa" w:w="110"/>
            </w:tcMar>
          </w:tcPr>
          <w:p>
            <w:r>
              <w:rPr>
                <w:rFonts w:ascii="Open Sans" w:cs="Open Sans" w:eastAsia="Open Sans" w:hAnsi="Open Sans"/>
                <w:b w:val="false"/>
                <w:bCs w:val="false"/>
                <w:color w:val="222222"/>
                <w:sz w:val="19"/>
                <w:szCs w:val="19"/>
              </w:rPr>
              <w:t xml:space="preserve">Founder / Director</w:t>
            </w:r>
          </w:p>
        </w:tc>
        <w:tc>
          <w:tcPr>
            <w:tcW w:type="dxa" w:w="6426"/>
            <w:tcBorders>
              <w:top w:val="single" w:color="BFBFBF" w:sz="4"/>
              <w:left w:val="single" w:color="BFBFBF" w:sz="4"/>
              <w:bottom w:val="single" w:color="BFBFBF" w:sz="4"/>
              <w:right w:val="single" w:color="BFBFBF" w:sz="4"/>
            </w:tcBorders>
            <w:shd w:fill="F7F5EF" w:color="auto" w:val="clear"/>
            <w:tcMar>
              <w:top w:type="dxa" w:w="70"/>
              <w:left w:type="dxa" w:w="110"/>
              <w:bottom w:type="dxa" w:w="70"/>
              <w:right w:type="dxa" w:w="110"/>
            </w:tcMar>
          </w:tcPr>
          <w:p>
            <w:r>
              <w:rPr>
                <w:rFonts w:ascii="Open Sans" w:cs="Open Sans" w:eastAsia="Open Sans" w:hAnsi="Open Sans"/>
                <w:b w:val="false"/>
                <w:bCs w:val="false"/>
                <w:color w:val="222222"/>
                <w:sz w:val="19"/>
                <w:szCs w:val="19"/>
              </w:rPr>
              <w:t xml:space="preserve">Name withheld</w:t>
            </w:r>
          </w:p>
        </w:tc>
      </w:tr>
      <w:tr>
        <w:trPr>
          <w:tblHeader w:val="false"/>
        </w:trPr>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Open Sans" w:cs="Open Sans" w:eastAsia="Open Sans" w:hAnsi="Open Sans"/>
                <w:b w:val="false"/>
                <w:bCs w:val="false"/>
                <w:color w:val="222222"/>
                <w:sz w:val="19"/>
                <w:szCs w:val="19"/>
              </w:rPr>
              <w:t xml:space="preserve">Registered sectors</w:t>
            </w:r>
          </w:p>
        </w:tc>
        <w:tc>
          <w:tcPr>
            <w:tcW w:type="dxa" w:w="64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Open Sans" w:cs="Open Sans" w:eastAsia="Open Sans" w:hAnsi="Open Sans"/>
                <w:b w:val="false"/>
                <w:bCs w:val="false"/>
                <w:color w:val="222222"/>
                <w:sz w:val="19"/>
                <w:szCs w:val="19"/>
              </w:rPr>
              <w:t xml:space="preserve">Farming; agribusiness and agro-processing; agro-chemical dealing; general merchant; import and export</w:t>
            </w:r>
          </w:p>
        </w:tc>
      </w:tr>
      <w:tr>
        <w:trPr>
          <w:tblHeader w:val="false"/>
        </w:trPr>
        <w:tc>
          <w:tcPr>
            <w:tcW w:type="dxa" w:w="2600"/>
            <w:tcBorders>
              <w:top w:val="single" w:color="BFBFBF" w:sz="4"/>
              <w:left w:val="single" w:color="BFBFBF" w:sz="4"/>
              <w:bottom w:val="single" w:color="BFBFBF" w:sz="4"/>
              <w:right w:val="single" w:color="BFBFBF" w:sz="4"/>
            </w:tcBorders>
            <w:shd w:fill="F7F5EF" w:color="auto" w:val="clear"/>
            <w:tcMar>
              <w:top w:type="dxa" w:w="70"/>
              <w:left w:type="dxa" w:w="110"/>
              <w:bottom w:type="dxa" w:w="70"/>
              <w:right w:type="dxa" w:w="110"/>
            </w:tcMar>
          </w:tcPr>
          <w:p>
            <w:r>
              <w:rPr>
                <w:rFonts w:ascii="Open Sans" w:cs="Open Sans" w:eastAsia="Open Sans" w:hAnsi="Open Sans"/>
                <w:b w:val="false"/>
                <w:bCs w:val="false"/>
                <w:color w:val="222222"/>
                <w:sz w:val="19"/>
                <w:szCs w:val="19"/>
              </w:rPr>
              <w:t xml:space="preserve">Location</w:t>
            </w:r>
          </w:p>
        </w:tc>
        <w:tc>
          <w:tcPr>
            <w:tcW w:type="dxa" w:w="6426"/>
            <w:tcBorders>
              <w:top w:val="single" w:color="BFBFBF" w:sz="4"/>
              <w:left w:val="single" w:color="BFBFBF" w:sz="4"/>
              <w:bottom w:val="single" w:color="BFBFBF" w:sz="4"/>
              <w:right w:val="single" w:color="BFBFBF" w:sz="4"/>
            </w:tcBorders>
            <w:shd w:fill="F7F5EF" w:color="auto" w:val="clear"/>
            <w:tcMar>
              <w:top w:type="dxa" w:w="70"/>
              <w:left w:type="dxa" w:w="110"/>
              <w:bottom w:type="dxa" w:w="70"/>
              <w:right w:type="dxa" w:w="110"/>
            </w:tcMar>
          </w:tcPr>
          <w:p>
            <w:r>
              <w:rPr>
                <w:rFonts w:ascii="Open Sans" w:cs="Open Sans" w:eastAsia="Open Sans" w:hAnsi="Open Sans"/>
                <w:b w:val="false"/>
                <w:bCs w:val="false"/>
                <w:color w:val="222222"/>
                <w:sz w:val="19"/>
                <w:szCs w:val="19"/>
              </w:rPr>
              <w:t xml:space="preserve">Eastern Region, Ghana</w:t>
            </w:r>
          </w:p>
        </w:tc>
      </w:tr>
      <w:tr>
        <w:trPr>
          <w:tblHeader w:val="false"/>
        </w:trPr>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Open Sans" w:cs="Open Sans" w:eastAsia="Open Sans" w:hAnsi="Open Sans"/>
                <w:b w:val="false"/>
                <w:bCs w:val="false"/>
                <w:color w:val="222222"/>
                <w:sz w:val="19"/>
                <w:szCs w:val="19"/>
              </w:rPr>
              <w:t xml:space="preserve">Products</w:t>
            </w:r>
          </w:p>
        </w:tc>
        <w:tc>
          <w:tcPr>
            <w:tcW w:type="dxa" w:w="64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Open Sans" w:cs="Open Sans" w:eastAsia="Open Sans" w:hAnsi="Open Sans"/>
                <w:b w:val="false"/>
                <w:bCs w:val="false"/>
                <w:color w:val="222222"/>
                <w:sz w:val="19"/>
                <w:szCs w:val="19"/>
              </w:rPr>
              <w:t xml:space="preserve">Crude palm oil, refined palm oil, palm kernel oil, palm kernel cake, palm nutshell</w:t>
            </w:r>
          </w:p>
        </w:tc>
      </w:tr>
      <w:tr>
        <w:trPr>
          <w:tblHeader w:val="false"/>
        </w:trPr>
        <w:tc>
          <w:tcPr>
            <w:tcW w:type="dxa" w:w="2600"/>
            <w:tcBorders>
              <w:top w:val="single" w:color="BFBFBF" w:sz="4"/>
              <w:left w:val="single" w:color="BFBFBF" w:sz="4"/>
              <w:bottom w:val="single" w:color="BFBFBF" w:sz="4"/>
              <w:right w:val="single" w:color="BFBFBF" w:sz="4"/>
            </w:tcBorders>
            <w:shd w:fill="F7F5EF" w:color="auto" w:val="clear"/>
            <w:tcMar>
              <w:top w:type="dxa" w:w="70"/>
              <w:left w:type="dxa" w:w="110"/>
              <w:bottom w:type="dxa" w:w="70"/>
              <w:right w:type="dxa" w:w="110"/>
            </w:tcMar>
          </w:tcPr>
          <w:p>
            <w:r>
              <w:rPr>
                <w:rFonts w:ascii="Open Sans" w:cs="Open Sans" w:eastAsia="Open Sans" w:hAnsi="Open Sans"/>
                <w:b w:val="false"/>
                <w:bCs w:val="false"/>
                <w:color w:val="222222"/>
                <w:sz w:val="19"/>
                <w:szCs w:val="19"/>
              </w:rPr>
              <w:t xml:space="preserve">Business model</w:t>
            </w:r>
          </w:p>
        </w:tc>
        <w:tc>
          <w:tcPr>
            <w:tcW w:type="dxa" w:w="6426"/>
            <w:tcBorders>
              <w:top w:val="single" w:color="BFBFBF" w:sz="4"/>
              <w:left w:val="single" w:color="BFBFBF" w:sz="4"/>
              <w:bottom w:val="single" w:color="BFBFBF" w:sz="4"/>
              <w:right w:val="single" w:color="BFBFBF" w:sz="4"/>
            </w:tcBorders>
            <w:shd w:fill="F7F5EF" w:color="auto" w:val="clear"/>
            <w:tcMar>
              <w:top w:type="dxa" w:w="70"/>
              <w:left w:type="dxa" w:w="110"/>
              <w:bottom w:type="dxa" w:w="70"/>
              <w:right w:type="dxa" w:w="110"/>
            </w:tcMar>
          </w:tcPr>
          <w:p>
            <w:r>
              <w:rPr>
                <w:rFonts w:ascii="Open Sans" w:cs="Open Sans" w:eastAsia="Open Sans" w:hAnsi="Open Sans"/>
                <w:b w:val="false"/>
                <w:bCs w:val="false"/>
                <w:color w:val="222222"/>
                <w:sz w:val="19"/>
                <w:szCs w:val="19"/>
              </w:rPr>
              <w:t xml:space="preserve">Zero-waste oil palm: buy fresh fruit bunches (FFB) from outgrowers to feed the mill, while establishing an own plantation</w:t>
            </w:r>
          </w:p>
        </w:tc>
      </w:tr>
      <w:tr>
        <w:trPr>
          <w:tblHeader w:val="false"/>
        </w:trPr>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Open Sans" w:cs="Open Sans" w:eastAsia="Open Sans" w:hAnsi="Open Sans"/>
                <w:b w:val="false"/>
                <w:bCs w:val="false"/>
                <w:color w:val="222222"/>
                <w:sz w:val="19"/>
                <w:szCs w:val="19"/>
              </w:rPr>
              <w:t xml:space="preserve">Own plantation</w:t>
            </w:r>
          </w:p>
        </w:tc>
        <w:tc>
          <w:tcPr>
            <w:tcW w:type="dxa" w:w="64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Open Sans" w:cs="Open Sans" w:eastAsia="Open Sans" w:hAnsi="Open Sans"/>
                <w:b w:val="false"/>
                <w:bCs w:val="false"/>
                <w:color w:val="222222"/>
                <w:sz w:val="19"/>
                <w:szCs w:val="19"/>
              </w:rPr>
              <w:t xml:space="preserve">Planned; first harvest expected 36 months after planting</w:t>
            </w:r>
          </w:p>
        </w:tc>
      </w:tr>
      <w:tr>
        <w:trPr>
          <w:tblHeader w:val="false"/>
        </w:trPr>
        <w:tc>
          <w:tcPr>
            <w:tcW w:type="dxa" w:w="2600"/>
            <w:tcBorders>
              <w:top w:val="single" w:color="BFBFBF" w:sz="4"/>
              <w:left w:val="single" w:color="BFBFBF" w:sz="4"/>
              <w:bottom w:val="single" w:color="BFBFBF" w:sz="4"/>
              <w:right w:val="single" w:color="BFBFBF" w:sz="4"/>
            </w:tcBorders>
            <w:shd w:fill="F7F5EF" w:color="auto" w:val="clear"/>
            <w:tcMar>
              <w:top w:type="dxa" w:w="70"/>
              <w:left w:type="dxa" w:w="110"/>
              <w:bottom w:type="dxa" w:w="70"/>
              <w:right w:type="dxa" w:w="110"/>
            </w:tcMar>
          </w:tcPr>
          <w:p>
            <w:r>
              <w:rPr>
                <w:rFonts w:ascii="Open Sans" w:cs="Open Sans" w:eastAsia="Open Sans" w:hAnsi="Open Sans"/>
                <w:b w:val="false"/>
                <w:bCs w:val="false"/>
                <w:color w:val="222222"/>
                <w:sz w:val="19"/>
                <w:szCs w:val="19"/>
              </w:rPr>
              <w:t xml:space="preserve">Target market</w:t>
            </w:r>
          </w:p>
        </w:tc>
        <w:tc>
          <w:tcPr>
            <w:tcW w:type="dxa" w:w="6426"/>
            <w:tcBorders>
              <w:top w:val="single" w:color="BFBFBF" w:sz="4"/>
              <w:left w:val="single" w:color="BFBFBF" w:sz="4"/>
              <w:bottom w:val="single" w:color="BFBFBF" w:sz="4"/>
              <w:right w:val="single" w:color="BFBFBF" w:sz="4"/>
            </w:tcBorders>
            <w:shd w:fill="F7F5EF" w:color="auto" w:val="clear"/>
            <w:tcMar>
              <w:top w:type="dxa" w:w="70"/>
              <w:left w:type="dxa" w:w="110"/>
              <w:bottom w:type="dxa" w:w="70"/>
              <w:right w:type="dxa" w:w="110"/>
            </w:tcMar>
          </w:tcPr>
          <w:p>
            <w:r>
              <w:rPr>
                <w:rFonts w:ascii="Open Sans" w:cs="Open Sans" w:eastAsia="Open Sans" w:hAnsi="Open Sans"/>
                <w:b w:val="false"/>
                <w:bCs w:val="false"/>
                <w:color w:val="222222"/>
                <w:sz w:val="19"/>
                <w:szCs w:val="19"/>
              </w:rPr>
              <w:t xml:space="preserve">Factories, bulk buyers, boarding schools, hospitals, prisons, wholesalers, retailers</w:t>
            </w:r>
          </w:p>
        </w:tc>
      </w:tr>
      <w:tr>
        <w:trPr>
          <w:tblHeader w:val="false"/>
        </w:trPr>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Open Sans" w:cs="Open Sans" w:eastAsia="Open Sans" w:hAnsi="Open Sans"/>
                <w:b w:val="false"/>
                <w:bCs w:val="false"/>
                <w:color w:val="222222"/>
                <w:sz w:val="19"/>
                <w:szCs w:val="19"/>
              </w:rPr>
              <w:t xml:space="preserve">Industry standing</w:t>
            </w:r>
          </w:p>
        </w:tc>
        <w:tc>
          <w:tcPr>
            <w:tcW w:type="dxa" w:w="64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Open Sans" w:cs="Open Sans" w:eastAsia="Open Sans" w:hAnsi="Open Sans"/>
                <w:b w:val="false"/>
                <w:bCs w:val="false"/>
                <w:color w:val="222222"/>
                <w:sz w:val="19"/>
                <w:szCs w:val="19"/>
              </w:rPr>
              <w:t xml:space="preserve">Member of a national agribusiness chamber</w:t>
            </w:r>
          </w:p>
        </w:tc>
      </w:tr>
      <w:tr>
        <w:trPr>
          <w:tblHeader w:val="false"/>
        </w:trPr>
        <w:tc>
          <w:tcPr>
            <w:tcW w:type="dxa" w:w="2600"/>
            <w:tcBorders>
              <w:top w:val="single" w:color="BFBFBF" w:sz="4"/>
              <w:left w:val="single" w:color="BFBFBF" w:sz="4"/>
              <w:bottom w:val="single" w:color="BFBFBF" w:sz="4"/>
              <w:right w:val="single" w:color="BFBFBF" w:sz="4"/>
            </w:tcBorders>
            <w:shd w:fill="F7F5EF" w:color="auto" w:val="clear"/>
            <w:tcMar>
              <w:top w:type="dxa" w:w="70"/>
              <w:left w:type="dxa" w:w="110"/>
              <w:bottom w:type="dxa" w:w="70"/>
              <w:right w:type="dxa" w:w="110"/>
            </w:tcMar>
          </w:tcPr>
          <w:p>
            <w:r>
              <w:rPr>
                <w:rFonts w:ascii="Open Sans" w:cs="Open Sans" w:eastAsia="Open Sans" w:hAnsi="Open Sans"/>
                <w:b w:val="false"/>
                <w:bCs w:val="false"/>
                <w:color w:val="222222"/>
                <w:sz w:val="19"/>
                <w:szCs w:val="19"/>
              </w:rPr>
              <w:t xml:space="preserve">Completed milestones</w:t>
            </w:r>
          </w:p>
        </w:tc>
        <w:tc>
          <w:tcPr>
            <w:tcW w:type="dxa" w:w="6426"/>
            <w:tcBorders>
              <w:top w:val="single" w:color="BFBFBF" w:sz="4"/>
              <w:left w:val="single" w:color="BFBFBF" w:sz="4"/>
              <w:bottom w:val="single" w:color="BFBFBF" w:sz="4"/>
              <w:right w:val="single" w:color="BFBFBF" w:sz="4"/>
            </w:tcBorders>
            <w:shd w:fill="F7F5EF" w:color="auto" w:val="clear"/>
            <w:tcMar>
              <w:top w:type="dxa" w:w="70"/>
              <w:left w:type="dxa" w:w="110"/>
              <w:bottom w:type="dxa" w:w="70"/>
              <w:right w:type="dxa" w:w="110"/>
            </w:tcMar>
          </w:tcPr>
          <w:p>
            <w:r>
              <w:rPr>
                <w:rFonts w:ascii="Open Sans" w:cs="Open Sans" w:eastAsia="Open Sans" w:hAnsi="Open Sans"/>
                <w:b w:val="false"/>
                <w:bCs w:val="false"/>
                <w:color w:val="222222"/>
                <w:sz w:val="19"/>
                <w:szCs w:val="19"/>
              </w:rPr>
              <w:t xml:space="preserve">Business registration; mobile money</w:t>
            </w:r>
          </w:p>
        </w:tc>
      </w:tr>
      <w:tr>
        <w:trPr>
          <w:tblHeader w:val="false"/>
        </w:trPr>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Open Sans" w:cs="Open Sans" w:eastAsia="Open Sans" w:hAnsi="Open Sans"/>
                <w:b w:val="false"/>
                <w:bCs w:val="false"/>
                <w:color w:val="222222"/>
                <w:sz w:val="19"/>
                <w:szCs w:val="19"/>
              </w:rPr>
              <w:t xml:space="preserve">Milestones in progress</w:t>
            </w:r>
          </w:p>
        </w:tc>
        <w:tc>
          <w:tcPr>
            <w:tcW w:type="dxa" w:w="64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Open Sans" w:cs="Open Sans" w:eastAsia="Open Sans" w:hAnsi="Open Sans"/>
                <w:b w:val="false"/>
                <w:bCs w:val="false"/>
                <w:color w:val="222222"/>
                <w:sz w:val="19"/>
                <w:szCs w:val="19"/>
              </w:rPr>
              <w:t xml:space="preserve">Online payment; insurance registration; employee handbook; website; awareness creation; bank accounts; business licence and permit</w:t>
            </w:r>
          </w:p>
        </w:tc>
      </w:tr>
    </w:tbl>
    <w:p>
      <w:pPr>
        <w:pStyle w:val="Heading2"/>
        <w:spacing w:after="100" w:before="240"/>
      </w:pPr>
      <w:r>
        <w:rPr>
          <w:rFonts w:ascii="Montserrat" w:cs="Montserrat" w:eastAsia="Montserrat" w:hAnsi="Montserrat"/>
          <w:b/>
          <w:bCs/>
          <w:color w:val="1F5E3B"/>
          <w:sz w:val="23"/>
          <w:szCs w:val="23"/>
        </w:rPr>
        <w:t xml:space="preserve">What is working</w:t>
      </w:r>
    </w:p>
    <w:p>
      <w:pPr>
        <w:pStyle w:val="ListParagraph"/>
        <w:numPr>
          <w:ilvl w:val="0"/>
          <w:numId w:val="2"/>
        </w:numPr>
        <w:spacing w:after="80" w:line="290"/>
      </w:pPr>
      <w:r>
        <w:rPr>
          <w:rFonts w:ascii="Open Sans" w:cs="Open Sans" w:eastAsia="Open Sans" w:hAnsi="Open Sans"/>
          <w:b/>
          <w:bCs/>
          <w:color w:val="1F5E3B"/>
          <w:sz w:val="21"/>
          <w:szCs w:val="21"/>
        </w:rPr>
        <w:t xml:space="preserve">Legal standing. </w:t>
      </w:r>
      <w:r>
        <w:rPr>
          <w:rFonts w:ascii="Open Sans" w:cs="Open Sans" w:eastAsia="Open Sans" w:hAnsi="Open Sans"/>
          <w:color w:val="222222"/>
          <w:sz w:val="21"/>
          <w:szCs w:val="21"/>
        </w:rPr>
        <w:t xml:space="preserve">The company is registered, with licensing and banking recorded as in progress. The legal foundation is largely in place.</w:t>
      </w:r>
    </w:p>
    <w:p>
      <w:pPr>
        <w:pStyle w:val="ListParagraph"/>
        <w:numPr>
          <w:ilvl w:val="0"/>
          <w:numId w:val="2"/>
        </w:numPr>
        <w:spacing w:after="80" w:line="290"/>
      </w:pPr>
      <w:r>
        <w:rPr>
          <w:rFonts w:ascii="Open Sans" w:cs="Open Sans" w:eastAsia="Open Sans" w:hAnsi="Open Sans"/>
          <w:b/>
          <w:bCs/>
          <w:color w:val="1F5E3B"/>
          <w:sz w:val="21"/>
          <w:szCs w:val="21"/>
        </w:rPr>
        <w:t xml:space="preserve">Buyer profile. </w:t>
      </w:r>
      <w:r>
        <w:rPr>
          <w:rFonts w:ascii="Open Sans" w:cs="Open Sans" w:eastAsia="Open Sans" w:hAnsi="Open Sans"/>
          <w:color w:val="222222"/>
          <w:sz w:val="21"/>
          <w:szCs w:val="21"/>
        </w:rPr>
        <w:t xml:space="preserve">Institutional buyers (schools, hospitals, prisons) and wholesalers are demand segments with predictable, contractable volume. Most small processors never reach them.</w:t>
      </w:r>
    </w:p>
    <w:p>
      <w:pPr>
        <w:pStyle w:val="ListParagraph"/>
        <w:numPr>
          <w:ilvl w:val="0"/>
          <w:numId w:val="2"/>
        </w:numPr>
        <w:spacing w:after="80" w:line="290"/>
      </w:pPr>
      <w:r>
        <w:rPr>
          <w:rFonts w:ascii="Open Sans" w:cs="Open Sans" w:eastAsia="Open Sans" w:hAnsi="Open Sans"/>
          <w:b/>
          <w:bCs/>
          <w:color w:val="1F5E3B"/>
          <w:sz w:val="21"/>
          <w:szCs w:val="21"/>
        </w:rPr>
        <w:t xml:space="preserve">Zero-waste concept. </w:t>
      </w:r>
      <w:r>
        <w:rPr>
          <w:rFonts w:ascii="Open Sans" w:cs="Open Sans" w:eastAsia="Open Sans" w:hAnsi="Open Sans"/>
          <w:color w:val="222222"/>
          <w:sz w:val="21"/>
          <w:szCs w:val="21"/>
        </w:rPr>
        <w:t xml:space="preserve">Crude oil, kernel oil, kernel cake and nutshell from one fruit stream is the correct margin strategy in oil palm. The intent is sound.</w:t>
      </w:r>
    </w:p>
    <w:p>
      <w:pPr>
        <w:pStyle w:val="ListParagraph"/>
        <w:numPr>
          <w:ilvl w:val="0"/>
          <w:numId w:val="2"/>
        </w:numPr>
        <w:spacing w:after="80" w:line="290"/>
      </w:pPr>
      <w:r>
        <w:rPr>
          <w:rFonts w:ascii="Open Sans" w:cs="Open Sans" w:eastAsia="Open Sans" w:hAnsi="Open Sans"/>
          <w:b/>
          <w:bCs/>
          <w:color w:val="1F5E3B"/>
          <w:sz w:val="21"/>
          <w:szCs w:val="21"/>
        </w:rPr>
        <w:t xml:space="preserve">Industry standing. </w:t>
      </w:r>
      <w:r>
        <w:rPr>
          <w:rFonts w:ascii="Open Sans" w:cs="Open Sans" w:eastAsia="Open Sans" w:hAnsi="Open Sans"/>
          <w:color w:val="222222"/>
          <w:sz w:val="21"/>
          <w:szCs w:val="21"/>
        </w:rPr>
        <w:t xml:space="preserve">Chamber membership is a credibility asset that most peers do not hold.</w:t>
      </w:r>
    </w:p>
    <w:p>
      <w:pPr>
        <w:pStyle w:val="Heading2"/>
        <w:spacing w:after="100" w:before="240"/>
      </w:pPr>
      <w:r>
        <w:rPr>
          <w:rFonts w:ascii="Montserrat" w:cs="Montserrat" w:eastAsia="Montserrat" w:hAnsi="Montserrat"/>
          <w:b/>
          <w:bCs/>
          <w:color w:val="1F5E3B"/>
          <w:sz w:val="23"/>
          <w:szCs w:val="23"/>
        </w:rPr>
        <w:t xml:space="preserve">Systems maturity assessment</w:t>
      </w:r>
    </w:p>
    <w:p>
      <w:pPr>
        <w:spacing w:after="140" w:line="300"/>
      </w:pPr>
      <w:r>
        <w:rPr>
          <w:rFonts w:ascii="Open Sans" w:cs="Open Sans" w:eastAsia="Open Sans" w:hAnsi="Open Sans"/>
          <w:color w:val="222222"/>
          <w:sz w:val="21"/>
          <w:szCs w:val="21"/>
        </w:rPr>
        <w:t xml:space="preserve">AVAC scored six management domains on a five-point scale, from 1 (system absent) to 5 (system managed and reviewed). Scores are based on documentary evidence only and will be revised after site verification. The target for each domain is Level 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900"/>
        <w:gridCol w:w="5826"/>
      </w:tblGrid>
      <w:tr>
        <w:trPr>
          <w:tblHeader/>
        </w:trPr>
        <w:tc>
          <w:tcPr>
            <w:tcW w:type="dxa" w:w="2300"/>
            <w:tcBorders>
              <w:top w:val="single" w:color="BFBFBF" w:sz="4"/>
              <w:left w:val="single" w:color="BFBFBF" w:sz="4"/>
              <w:bottom w:val="single" w:color="BFBFBF" w:sz="4"/>
              <w:right w:val="single" w:color="BFBFBF" w:sz="4"/>
            </w:tcBorders>
            <w:shd w:fill="1F5E3B" w:color="auto" w:val="clear"/>
            <w:tcMar>
              <w:top w:type="dxa" w:w="70"/>
              <w:left w:type="dxa" w:w="110"/>
              <w:bottom w:type="dxa" w:w="70"/>
              <w:right w:type="dxa" w:w="110"/>
            </w:tcMar>
          </w:tcPr>
          <w:p>
            <w:r>
              <w:rPr>
                <w:rFonts w:ascii="Montserrat" w:cs="Montserrat" w:eastAsia="Montserrat" w:hAnsi="Montserrat"/>
                <w:b/>
                <w:bCs/>
                <w:color w:val="FFFFFF"/>
                <w:sz w:val="17"/>
                <w:szCs w:val="17"/>
              </w:rPr>
              <w:t xml:space="preserve">Domain</w:t>
            </w:r>
          </w:p>
        </w:tc>
        <w:tc>
          <w:tcPr>
            <w:tcW w:type="dxa" w:w="900"/>
            <w:tcBorders>
              <w:top w:val="single" w:color="BFBFBF" w:sz="4"/>
              <w:left w:val="single" w:color="BFBFBF" w:sz="4"/>
              <w:bottom w:val="single" w:color="BFBFBF" w:sz="4"/>
              <w:right w:val="single" w:color="BFBFBF" w:sz="4"/>
            </w:tcBorders>
            <w:shd w:fill="1F5E3B" w:color="auto" w:val="clear"/>
            <w:tcMar>
              <w:top w:type="dxa" w:w="70"/>
              <w:left w:type="dxa" w:w="110"/>
              <w:bottom w:type="dxa" w:w="70"/>
              <w:right w:type="dxa" w:w="110"/>
            </w:tcMar>
          </w:tcPr>
          <w:p>
            <w:r>
              <w:rPr>
                <w:rFonts w:ascii="Montserrat" w:cs="Montserrat" w:eastAsia="Montserrat" w:hAnsi="Montserrat"/>
                <w:b/>
                <w:bCs/>
                <w:color w:val="FFFFFF"/>
                <w:sz w:val="17"/>
                <w:szCs w:val="17"/>
              </w:rPr>
              <w:t xml:space="preserve">Score</w:t>
            </w:r>
          </w:p>
        </w:tc>
        <w:tc>
          <w:tcPr>
            <w:tcW w:type="dxa" w:w="5826"/>
            <w:tcBorders>
              <w:top w:val="single" w:color="BFBFBF" w:sz="4"/>
              <w:left w:val="single" w:color="BFBFBF" w:sz="4"/>
              <w:bottom w:val="single" w:color="BFBFBF" w:sz="4"/>
              <w:right w:val="single" w:color="BFBFBF" w:sz="4"/>
            </w:tcBorders>
            <w:shd w:fill="1F5E3B" w:color="auto" w:val="clear"/>
            <w:tcMar>
              <w:top w:type="dxa" w:w="70"/>
              <w:left w:type="dxa" w:w="110"/>
              <w:bottom w:type="dxa" w:w="70"/>
              <w:right w:type="dxa" w:w="110"/>
            </w:tcMar>
          </w:tcPr>
          <w:p>
            <w:r>
              <w:rPr>
                <w:rFonts w:ascii="Montserrat" w:cs="Montserrat" w:eastAsia="Montserrat" w:hAnsi="Montserrat"/>
                <w:b/>
                <w:bCs/>
                <w:color w:val="FFFFFF"/>
                <w:sz w:val="17"/>
                <w:szCs w:val="17"/>
              </w:rPr>
              <w:t xml:space="preserve">Basis for the score</w:t>
            </w:r>
          </w:p>
        </w:tc>
      </w:tr>
      <w:tr>
        <w:trPr>
          <w:tblHeader w:val="false"/>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Open Sans" w:cs="Open Sans" w:eastAsia="Open Sans" w:hAnsi="Open Sans"/>
                <w:b w:val="false"/>
                <w:bCs w:val="false"/>
                <w:color w:val="222222"/>
                <w:sz w:val="19"/>
                <w:szCs w:val="19"/>
              </w:rPr>
              <w:t xml:space="preserve">Cost tracking</w:t>
            </w:r>
          </w:p>
        </w:tc>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Open Sans" w:cs="Open Sans" w:eastAsia="Open Sans" w:hAnsi="Open Sans"/>
                <w:b w:val="false"/>
                <w:bCs w:val="false"/>
                <w:color w:val="222222"/>
                <w:sz w:val="19"/>
                <w:szCs w:val="19"/>
              </w:rPr>
              <w:t xml:space="preserve">1 / 5</w:t>
            </w:r>
          </w:p>
        </w:tc>
        <w:tc>
          <w:tcPr>
            <w:tcW w:type="dxa" w:w="58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Open Sans" w:cs="Open Sans" w:eastAsia="Open Sans" w:hAnsi="Open Sans"/>
                <w:b w:val="false"/>
                <w:bCs w:val="false"/>
                <w:color w:val="222222"/>
                <w:sz w:val="19"/>
                <w:szCs w:val="19"/>
              </w:rPr>
              <w:t xml:space="preserve">No unit cost, cost per tonne or cost per drum appears anywhere in the documents</w:t>
            </w:r>
          </w:p>
        </w:tc>
      </w:tr>
      <w:tr>
        <w:trPr>
          <w:tblHeader w:val="false"/>
        </w:trPr>
        <w:tc>
          <w:tcPr>
            <w:tcW w:type="dxa" w:w="2300"/>
            <w:tcBorders>
              <w:top w:val="single" w:color="BFBFBF" w:sz="4"/>
              <w:left w:val="single" w:color="BFBFBF" w:sz="4"/>
              <w:bottom w:val="single" w:color="BFBFBF" w:sz="4"/>
              <w:right w:val="single" w:color="BFBFBF" w:sz="4"/>
            </w:tcBorders>
            <w:shd w:fill="F7F5EF" w:color="auto" w:val="clear"/>
            <w:tcMar>
              <w:top w:type="dxa" w:w="70"/>
              <w:left w:type="dxa" w:w="110"/>
              <w:bottom w:type="dxa" w:w="70"/>
              <w:right w:type="dxa" w:w="110"/>
            </w:tcMar>
          </w:tcPr>
          <w:p>
            <w:r>
              <w:rPr>
                <w:rFonts w:ascii="Open Sans" w:cs="Open Sans" w:eastAsia="Open Sans" w:hAnsi="Open Sans"/>
                <w:b w:val="false"/>
                <w:bCs w:val="false"/>
                <w:color w:val="222222"/>
                <w:sz w:val="19"/>
                <w:szCs w:val="19"/>
              </w:rPr>
              <w:t xml:space="preserve">Production records</w:t>
            </w:r>
          </w:p>
        </w:tc>
        <w:tc>
          <w:tcPr>
            <w:tcW w:type="dxa" w:w="900"/>
            <w:tcBorders>
              <w:top w:val="single" w:color="BFBFBF" w:sz="4"/>
              <w:left w:val="single" w:color="BFBFBF" w:sz="4"/>
              <w:bottom w:val="single" w:color="BFBFBF" w:sz="4"/>
              <w:right w:val="single" w:color="BFBFBF" w:sz="4"/>
            </w:tcBorders>
            <w:shd w:fill="F7F5EF" w:color="auto" w:val="clear"/>
            <w:tcMar>
              <w:top w:type="dxa" w:w="70"/>
              <w:left w:type="dxa" w:w="110"/>
              <w:bottom w:type="dxa" w:w="70"/>
              <w:right w:type="dxa" w:w="110"/>
            </w:tcMar>
          </w:tcPr>
          <w:p>
            <w:r>
              <w:rPr>
                <w:rFonts w:ascii="Open Sans" w:cs="Open Sans" w:eastAsia="Open Sans" w:hAnsi="Open Sans"/>
                <w:b w:val="false"/>
                <w:bCs w:val="false"/>
                <w:color w:val="222222"/>
                <w:sz w:val="19"/>
                <w:szCs w:val="19"/>
              </w:rPr>
              <w:t xml:space="preserve">1 / 5</w:t>
            </w:r>
          </w:p>
        </w:tc>
        <w:tc>
          <w:tcPr>
            <w:tcW w:type="dxa" w:w="5826"/>
            <w:tcBorders>
              <w:top w:val="single" w:color="BFBFBF" w:sz="4"/>
              <w:left w:val="single" w:color="BFBFBF" w:sz="4"/>
              <w:bottom w:val="single" w:color="BFBFBF" w:sz="4"/>
              <w:right w:val="single" w:color="BFBFBF" w:sz="4"/>
            </w:tcBorders>
            <w:shd w:fill="F7F5EF" w:color="auto" w:val="clear"/>
            <w:tcMar>
              <w:top w:type="dxa" w:w="70"/>
              <w:left w:type="dxa" w:w="110"/>
              <w:bottom w:type="dxa" w:w="70"/>
              <w:right w:type="dxa" w:w="110"/>
            </w:tcMar>
          </w:tcPr>
          <w:p>
            <w:r>
              <w:rPr>
                <w:rFonts w:ascii="Open Sans" w:cs="Open Sans" w:eastAsia="Open Sans" w:hAnsi="Open Sans"/>
                <w:b w:val="false"/>
                <w:bCs w:val="false"/>
                <w:color w:val="222222"/>
                <w:sz w:val="19"/>
                <w:szCs w:val="19"/>
              </w:rPr>
              <w:t xml:space="preserve">No FFB log, no oil output log, no extraction rate; throughput is stated but not evidenced</w:t>
            </w:r>
          </w:p>
        </w:tc>
      </w:tr>
      <w:tr>
        <w:trPr>
          <w:tblHeader w:val="false"/>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Open Sans" w:cs="Open Sans" w:eastAsia="Open Sans" w:hAnsi="Open Sans"/>
                <w:b w:val="false"/>
                <w:bCs w:val="false"/>
                <w:color w:val="222222"/>
                <w:sz w:val="19"/>
                <w:szCs w:val="19"/>
              </w:rPr>
              <w:t xml:space="preserve">Governance and roles</w:t>
            </w:r>
          </w:p>
        </w:tc>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Open Sans" w:cs="Open Sans" w:eastAsia="Open Sans" w:hAnsi="Open Sans"/>
                <w:b w:val="false"/>
                <w:bCs w:val="false"/>
                <w:color w:val="222222"/>
                <w:sz w:val="19"/>
                <w:szCs w:val="19"/>
              </w:rPr>
              <w:t xml:space="preserve">2 / 5</w:t>
            </w:r>
          </w:p>
        </w:tc>
        <w:tc>
          <w:tcPr>
            <w:tcW w:type="dxa" w:w="58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Open Sans" w:cs="Open Sans" w:eastAsia="Open Sans" w:hAnsi="Open Sans"/>
                <w:b w:val="false"/>
                <w:bCs w:val="false"/>
                <w:color w:val="222222"/>
                <w:sz w:val="19"/>
                <w:szCs w:val="19"/>
              </w:rPr>
              <w:t xml:space="preserve">Roles are described as a future management summary, not as current appointments with named holders</w:t>
            </w:r>
          </w:p>
        </w:tc>
      </w:tr>
      <w:tr>
        <w:trPr>
          <w:tblHeader w:val="false"/>
        </w:trPr>
        <w:tc>
          <w:tcPr>
            <w:tcW w:type="dxa" w:w="2300"/>
            <w:tcBorders>
              <w:top w:val="single" w:color="BFBFBF" w:sz="4"/>
              <w:left w:val="single" w:color="BFBFBF" w:sz="4"/>
              <w:bottom w:val="single" w:color="BFBFBF" w:sz="4"/>
              <w:right w:val="single" w:color="BFBFBF" w:sz="4"/>
            </w:tcBorders>
            <w:shd w:fill="F7F5EF" w:color="auto" w:val="clear"/>
            <w:tcMar>
              <w:top w:type="dxa" w:w="70"/>
              <w:left w:type="dxa" w:w="110"/>
              <w:bottom w:type="dxa" w:w="70"/>
              <w:right w:type="dxa" w:w="110"/>
            </w:tcMar>
          </w:tcPr>
          <w:p>
            <w:r>
              <w:rPr>
                <w:rFonts w:ascii="Open Sans" w:cs="Open Sans" w:eastAsia="Open Sans" w:hAnsi="Open Sans"/>
                <w:b w:val="false"/>
                <w:bCs w:val="false"/>
                <w:color w:val="222222"/>
                <w:sz w:val="19"/>
                <w:szCs w:val="19"/>
              </w:rPr>
              <w:t xml:space="preserve">Market and contracts</w:t>
            </w:r>
          </w:p>
        </w:tc>
        <w:tc>
          <w:tcPr>
            <w:tcW w:type="dxa" w:w="900"/>
            <w:tcBorders>
              <w:top w:val="single" w:color="BFBFBF" w:sz="4"/>
              <w:left w:val="single" w:color="BFBFBF" w:sz="4"/>
              <w:bottom w:val="single" w:color="BFBFBF" w:sz="4"/>
              <w:right w:val="single" w:color="BFBFBF" w:sz="4"/>
            </w:tcBorders>
            <w:shd w:fill="F7F5EF" w:color="auto" w:val="clear"/>
            <w:tcMar>
              <w:top w:type="dxa" w:w="70"/>
              <w:left w:type="dxa" w:w="110"/>
              <w:bottom w:type="dxa" w:w="70"/>
              <w:right w:type="dxa" w:w="110"/>
            </w:tcMar>
          </w:tcPr>
          <w:p>
            <w:r>
              <w:rPr>
                <w:rFonts w:ascii="Open Sans" w:cs="Open Sans" w:eastAsia="Open Sans" w:hAnsi="Open Sans"/>
                <w:b w:val="false"/>
                <w:bCs w:val="false"/>
                <w:color w:val="222222"/>
                <w:sz w:val="19"/>
                <w:szCs w:val="19"/>
              </w:rPr>
              <w:t xml:space="preserve">2 / 5</w:t>
            </w:r>
          </w:p>
        </w:tc>
        <w:tc>
          <w:tcPr>
            <w:tcW w:type="dxa" w:w="5826"/>
            <w:tcBorders>
              <w:top w:val="single" w:color="BFBFBF" w:sz="4"/>
              <w:left w:val="single" w:color="BFBFBF" w:sz="4"/>
              <w:bottom w:val="single" w:color="BFBFBF" w:sz="4"/>
              <w:right w:val="single" w:color="BFBFBF" w:sz="4"/>
            </w:tcBorders>
            <w:shd w:fill="F7F5EF" w:color="auto" w:val="clear"/>
            <w:tcMar>
              <w:top w:type="dxa" w:w="70"/>
              <w:left w:type="dxa" w:w="110"/>
              <w:bottom w:type="dxa" w:w="70"/>
              <w:right w:type="dxa" w:w="110"/>
            </w:tcMar>
          </w:tcPr>
          <w:p>
            <w:r>
              <w:rPr>
                <w:rFonts w:ascii="Open Sans" w:cs="Open Sans" w:eastAsia="Open Sans" w:hAnsi="Open Sans"/>
                <w:b w:val="false"/>
                <w:bCs w:val="false"/>
                <w:color w:val="222222"/>
                <w:sz w:val="19"/>
                <w:szCs w:val="19"/>
              </w:rPr>
              <w:t xml:space="preserve">Buyer segments are named; no offtake agreements or outgrower supply agreements are evidenced</w:t>
            </w:r>
          </w:p>
        </w:tc>
      </w:tr>
      <w:tr>
        <w:trPr>
          <w:tblHeader w:val="false"/>
        </w:trP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Open Sans" w:cs="Open Sans" w:eastAsia="Open Sans" w:hAnsi="Open Sans"/>
                <w:b w:val="false"/>
                <w:bCs w:val="false"/>
                <w:color w:val="222222"/>
                <w:sz w:val="19"/>
                <w:szCs w:val="19"/>
              </w:rPr>
              <w:t xml:space="preserve">Compliance and quality</w:t>
            </w:r>
          </w:p>
        </w:tc>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Open Sans" w:cs="Open Sans" w:eastAsia="Open Sans" w:hAnsi="Open Sans"/>
                <w:b w:val="false"/>
                <w:bCs w:val="false"/>
                <w:color w:val="222222"/>
                <w:sz w:val="19"/>
                <w:szCs w:val="19"/>
              </w:rPr>
              <w:t xml:space="preserve">2 / 5</w:t>
            </w:r>
          </w:p>
        </w:tc>
        <w:tc>
          <w:tcPr>
            <w:tcW w:type="dxa" w:w="58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Open Sans" w:cs="Open Sans" w:eastAsia="Open Sans" w:hAnsi="Open Sans"/>
                <w:b w:val="false"/>
                <w:bCs w:val="false"/>
                <w:color w:val="222222"/>
                <w:sz w:val="19"/>
                <w:szCs w:val="19"/>
              </w:rPr>
              <w:t xml:space="preserve">The certifications section of the company profile is blank; food safety registration is a stated goal, not a documented status</w:t>
            </w:r>
          </w:p>
        </w:tc>
      </w:tr>
      <w:tr>
        <w:trPr>
          <w:tblHeader w:val="false"/>
        </w:trPr>
        <w:tc>
          <w:tcPr>
            <w:tcW w:type="dxa" w:w="2300"/>
            <w:tcBorders>
              <w:top w:val="single" w:color="BFBFBF" w:sz="4"/>
              <w:left w:val="single" w:color="BFBFBF" w:sz="4"/>
              <w:bottom w:val="single" w:color="BFBFBF" w:sz="4"/>
              <w:right w:val="single" w:color="BFBFBF" w:sz="4"/>
            </w:tcBorders>
            <w:shd w:fill="F7F5EF" w:color="auto" w:val="clear"/>
            <w:tcMar>
              <w:top w:type="dxa" w:w="70"/>
              <w:left w:type="dxa" w:w="110"/>
              <w:bottom w:type="dxa" w:w="70"/>
              <w:right w:type="dxa" w:w="110"/>
            </w:tcMar>
          </w:tcPr>
          <w:p>
            <w:r>
              <w:rPr>
                <w:rFonts w:ascii="Open Sans" w:cs="Open Sans" w:eastAsia="Open Sans" w:hAnsi="Open Sans"/>
                <w:b w:val="false"/>
                <w:bCs w:val="false"/>
                <w:color w:val="222222"/>
                <w:sz w:val="19"/>
                <w:szCs w:val="19"/>
              </w:rPr>
              <w:t xml:space="preserve">Funding readiness</w:t>
            </w:r>
          </w:p>
        </w:tc>
        <w:tc>
          <w:tcPr>
            <w:tcW w:type="dxa" w:w="900"/>
            <w:tcBorders>
              <w:top w:val="single" w:color="BFBFBF" w:sz="4"/>
              <w:left w:val="single" w:color="BFBFBF" w:sz="4"/>
              <w:bottom w:val="single" w:color="BFBFBF" w:sz="4"/>
              <w:right w:val="single" w:color="BFBFBF" w:sz="4"/>
            </w:tcBorders>
            <w:shd w:fill="F7F5EF" w:color="auto" w:val="clear"/>
            <w:tcMar>
              <w:top w:type="dxa" w:w="70"/>
              <w:left w:type="dxa" w:w="110"/>
              <w:bottom w:type="dxa" w:w="70"/>
              <w:right w:type="dxa" w:w="110"/>
            </w:tcMar>
          </w:tcPr>
          <w:p>
            <w:r>
              <w:rPr>
                <w:rFonts w:ascii="Open Sans" w:cs="Open Sans" w:eastAsia="Open Sans" w:hAnsi="Open Sans"/>
                <w:b w:val="false"/>
                <w:bCs w:val="false"/>
                <w:color w:val="222222"/>
                <w:sz w:val="19"/>
                <w:szCs w:val="19"/>
              </w:rPr>
              <w:t xml:space="preserve">2 / 5</w:t>
            </w:r>
          </w:p>
        </w:tc>
        <w:tc>
          <w:tcPr>
            <w:tcW w:type="dxa" w:w="5826"/>
            <w:tcBorders>
              <w:top w:val="single" w:color="BFBFBF" w:sz="4"/>
              <w:left w:val="single" w:color="BFBFBF" w:sz="4"/>
              <w:bottom w:val="single" w:color="BFBFBF" w:sz="4"/>
              <w:right w:val="single" w:color="BFBFBF" w:sz="4"/>
            </w:tcBorders>
            <w:shd w:fill="F7F5EF" w:color="auto" w:val="clear"/>
            <w:tcMar>
              <w:top w:type="dxa" w:w="70"/>
              <w:left w:type="dxa" w:w="110"/>
              <w:bottom w:type="dxa" w:w="70"/>
              <w:right w:type="dxa" w:w="110"/>
            </w:tcMar>
          </w:tcPr>
          <w:p>
            <w:r>
              <w:rPr>
                <w:rFonts w:ascii="Open Sans" w:cs="Open Sans" w:eastAsia="Open Sans" w:hAnsi="Open Sans"/>
                <w:b w:val="false"/>
                <w:bCs w:val="false"/>
                <w:color w:val="222222"/>
                <w:sz w:val="19"/>
                <w:szCs w:val="19"/>
              </w:rPr>
              <w:t xml:space="preserve">A business plan exists, but its internal inconsistencies would fail a funder’s first review</w:t>
            </w:r>
          </w:p>
        </w:tc>
      </w:tr>
    </w:tbl>
    <w:p>
      <w:r>
        <w:br w:type="page"/>
      </w:r>
    </w:p>
    <w:p>
      <w:pPr>
        <w:pStyle w:val="Heading1"/>
        <w:spacing w:after="160" w:before="360"/>
      </w:pPr>
      <w:r>
        <w:rPr>
          <w:rFonts w:ascii="Montserrat" w:cs="Montserrat" w:eastAsia="Montserrat" w:hAnsi="Montserrat"/>
          <w:b/>
          <w:bCs/>
          <w:color w:val="1F5E3B"/>
          <w:sz w:val="30"/>
          <w:szCs w:val="30"/>
        </w:rPr>
        <w:t xml:space="preserve">3. Detailed Findings</w:t>
      </w:r>
    </w:p>
    <w:p>
      <w:pPr>
        <w:spacing w:after="140" w:line="300"/>
      </w:pPr>
      <w:r>
        <w:rPr>
          <w:rFonts w:ascii="Open Sans" w:cs="Open Sans" w:eastAsia="Open Sans" w:hAnsi="Open Sans"/>
          <w:i/>
          <w:iCs/>
          <w:color w:val="6B7280"/>
          <w:sz w:val="21"/>
          <w:szCs w:val="21"/>
        </w:rPr>
        <w:t xml:space="preserve">Findings are ranked by consequence. Findings 1 to 15 come from the client’s documents; Findings 16 to 21 come from the structured interview. Financial values are withheld in this version.</w:t>
      </w:r>
    </w:p>
    <w:p>
      <w:pPr>
        <w:pStyle w:val="Heading2"/>
        <w:spacing w:after="100" w:before="240"/>
      </w:pPr>
      <w:r>
        <w:rPr>
          <w:rFonts w:ascii="Montserrat" w:cs="Montserrat" w:eastAsia="Montserrat" w:hAnsi="Montserrat"/>
          <w:b/>
          <w:bCs/>
          <w:color w:val="1F5E3B"/>
          <w:sz w:val="23"/>
          <w:szCs w:val="23"/>
        </w:rPr>
        <w:t xml:space="preserve">Finding 1: The plan is loss-making in two of its first three cycles</w:t>
      </w:r>
    </w:p>
    <w:p>
      <w:pPr>
        <w:spacing w:after="140" w:line="300"/>
      </w:pPr>
      <w:r>
        <w:rPr>
          <w:rFonts w:ascii="Open Sans" w:cs="Open Sans" w:eastAsia="Open Sans" w:hAnsi="Open Sans"/>
          <w:color w:val="222222"/>
          <w:sz w:val="21"/>
          <w:szCs w:val="21"/>
        </w:rPr>
        <w:t xml:space="preserve">The business plan sets planned variable cost and planned revenue for three cycles. In Cycles 1 and 2, revenue is below variable cost. Cycle 3 shows a marginal profit. The fixed investment is never recovered within the three cycles shown, so the business is cumulatively behind at the end of Cycle 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B3261E" w:sz="24"/>
              <w:bottom w:val="none" w:color="FFFFFF" w:sz="0"/>
              <w:right w:val="none" w:color="FFFFFF" w:sz="0"/>
            </w:tcBorders>
            <w:shd w:fill="F7F5EF" w:color="auto" w:val="clear"/>
            <w:tcMar>
              <w:top w:type="dxa" w:w="120"/>
              <w:left w:type="dxa" w:w="180"/>
              <w:bottom w:type="dxa" w:w="120"/>
              <w:right w:type="dxa" w:w="180"/>
            </w:tcMar>
          </w:tcPr>
          <w:p>
            <w:pPr>
              <w:spacing w:after="60"/>
            </w:pPr>
            <w:r>
              <w:rPr>
                <w:rFonts w:ascii="Montserrat" w:cs="Montserrat" w:eastAsia="Montserrat" w:hAnsi="Montserrat"/>
                <w:b/>
                <w:bCs/>
                <w:color w:val="B3261E"/>
                <w:sz w:val="16"/>
                <w:szCs w:val="16"/>
              </w:rPr>
              <w:t xml:space="preserve">ROOT CAUSE</w:t>
            </w:r>
          </w:p>
          <w:p>
            <w:pPr>
              <w:spacing w:after="60" w:line="290"/>
            </w:pPr>
            <w:r>
              <w:rPr>
                <w:rFonts w:ascii="Open Sans" w:cs="Open Sans" w:eastAsia="Open Sans" w:hAnsi="Open Sans"/>
                <w:color w:val="222222"/>
                <w:sz w:val="21"/>
                <w:szCs w:val="21"/>
              </w:rPr>
              <w:t xml:space="preserve">Price was set before cost was known. The plan holds the unit price flat across all three cycles while variable cost rises by more than a third. This is the signature of a business that has never calculated a cost per unit.</w:t>
            </w:r>
          </w:p>
        </w:tc>
      </w:tr>
    </w:tbl>
    <w:p>
      <w:pPr>
        <w:spacing w:after="120"/>
      </w:pPr>
    </w:p>
    <w:p>
      <w:pPr>
        <w:pStyle w:val="Heading2"/>
        <w:spacing w:after="100" w:before="240"/>
      </w:pPr>
      <w:r>
        <w:rPr>
          <w:rFonts w:ascii="Montserrat" w:cs="Montserrat" w:eastAsia="Montserrat" w:hAnsi="Montserrat"/>
          <w:b/>
          <w:bCs/>
          <w:color w:val="1F5E3B"/>
          <w:sz w:val="23"/>
          <w:szCs w:val="23"/>
        </w:rPr>
        <w:t xml:space="preserve">Finding 2: Throughput and raw material budget differ by more than 100 times</w:t>
      </w:r>
    </w:p>
    <w:p>
      <w:pPr>
        <w:spacing w:after="140" w:line="300"/>
      </w:pPr>
      <w:r>
        <w:rPr>
          <w:rFonts w:ascii="Open Sans" w:cs="Open Sans" w:eastAsia="Open Sans" w:hAnsi="Open Sans"/>
          <w:color w:val="222222"/>
          <w:sz w:val="21"/>
          <w:szCs w:val="21"/>
        </w:rPr>
        <w:t xml:space="preserve">The executive summary and operations section state an annual FFB throughput. The working capital table budgets a monthly FFB quantity that, annualised, is more than one hundred times smaller. Only one of these figures can be correct. If the throughput claim is true, the raw material budget and the total capital requirement are far too low. If the budget is true, the plan describes a micro-operation and the throughput claim must be removed before any funder sees it.</w:t>
      </w:r>
    </w:p>
    <w:p>
      <w:pPr>
        <w:spacing w:after="140" w:line="300"/>
      </w:pPr>
      <w:r>
        <w:rPr>
          <w:rFonts w:ascii="Open Sans" w:cs="Open Sans" w:eastAsia="Open Sans" w:hAnsi="Open Sans"/>
          <w:color w:val="222222"/>
          <w:sz w:val="21"/>
          <w:szCs w:val="21"/>
        </w:rPr>
        <w:t xml:space="preserve">A secondary problem sits inside the same line: the implied price per tonne of fruit is high relative to prevailing farm-gate prices in Ghana. Either the line includes costs other than fruit, or the quantity is mislabelled. Either way, the most important input cost in the business is not reliably stated.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B3261E" w:sz="24"/>
              <w:bottom w:val="none" w:color="FFFFFF" w:sz="0"/>
              <w:right w:val="none" w:color="FFFFFF" w:sz="0"/>
            </w:tcBorders>
            <w:shd w:fill="F7F5EF" w:color="auto" w:val="clear"/>
            <w:tcMar>
              <w:top w:type="dxa" w:w="120"/>
              <w:left w:type="dxa" w:w="180"/>
              <w:bottom w:type="dxa" w:w="120"/>
              <w:right w:type="dxa" w:w="180"/>
            </w:tcMar>
          </w:tcPr>
          <w:p>
            <w:pPr>
              <w:spacing w:after="60"/>
            </w:pPr>
            <w:r>
              <w:rPr>
                <w:rFonts w:ascii="Montserrat" w:cs="Montserrat" w:eastAsia="Montserrat" w:hAnsi="Montserrat"/>
                <w:b/>
                <w:bCs/>
                <w:color w:val="B3261E"/>
                <w:sz w:val="16"/>
                <w:szCs w:val="16"/>
              </w:rPr>
              <w:t xml:space="preserve">CONSEQUENCE</w:t>
            </w:r>
          </w:p>
          <w:p>
            <w:pPr>
              <w:spacing w:after="60" w:line="290"/>
            </w:pPr>
            <w:r>
              <w:rPr>
                <w:rFonts w:ascii="Open Sans" w:cs="Open Sans" w:eastAsia="Open Sans" w:hAnsi="Open Sans"/>
                <w:color w:val="222222"/>
                <w:sz w:val="21"/>
                <w:szCs w:val="21"/>
              </w:rPr>
              <w:t xml:space="preserve">A funder or bank reviewer will find this within five minutes. It will be read as carelessness or overstatement, and it will end the application regardless of the underlying quality of the business.</w:t>
            </w:r>
          </w:p>
        </w:tc>
      </w:tr>
    </w:tbl>
    <w:p>
      <w:pPr>
        <w:spacing w:after="120"/>
      </w:pPr>
    </w:p>
    <w:p>
      <w:pPr>
        <w:pStyle w:val="Heading2"/>
        <w:spacing w:after="100" w:before="240"/>
      </w:pPr>
      <w:r>
        <w:rPr>
          <w:rFonts w:ascii="Montserrat" w:cs="Montserrat" w:eastAsia="Montserrat" w:hAnsi="Montserrat"/>
          <w:b/>
          <w:bCs/>
          <w:color w:val="1F5E3B"/>
          <w:sz w:val="23"/>
          <w:szCs w:val="23"/>
        </w:rPr>
        <w:t xml:space="preserve">Finding 3: Energy is the largest single cost and is not being managed</w:t>
      </w:r>
    </w:p>
    <w:p>
      <w:pPr>
        <w:spacing w:after="140" w:line="300"/>
      </w:pPr>
      <w:r>
        <w:rPr>
          <w:rFonts w:ascii="Open Sans" w:cs="Open Sans" w:eastAsia="Open Sans" w:hAnsi="Open Sans"/>
          <w:color w:val="222222"/>
          <w:sz w:val="21"/>
          <w:szCs w:val="21"/>
        </w:rPr>
        <w:t xml:space="preserve">Electricity is the largest single line of planned variable cost: larger than raw material and nearly double labour. For a processing operation of the scale implied by the raw material budget, this is disproportionate.</w:t>
      </w:r>
    </w:p>
    <w:p>
      <w:pPr>
        <w:spacing w:after="140" w:line="300"/>
      </w:pPr>
      <w:r>
        <w:rPr>
          <w:rFonts w:ascii="Open Sans" w:cs="Open Sans" w:eastAsia="Open Sans" w:hAnsi="Open Sans"/>
          <w:color w:val="222222"/>
          <w:sz w:val="21"/>
          <w:szCs w:val="21"/>
        </w:rPr>
        <w:t xml:space="preserve">Three explanations are possible and must be separated on site: the figure is misstated, the tariff band is wrong for the load, or the mill is genuinely energy-inefficient. Each has a different and inexpensive remedy. None can be addressed without a meter reading and a tariff schedule.</w:t>
      </w:r>
    </w:p>
    <w:p>
      <w:pPr>
        <w:pStyle w:val="Heading2"/>
        <w:spacing w:after="100" w:before="240"/>
      </w:pPr>
      <w:r>
        <w:rPr>
          <w:rFonts w:ascii="Montserrat" w:cs="Montserrat" w:eastAsia="Montserrat" w:hAnsi="Montserrat"/>
          <w:b/>
          <w:bCs/>
          <w:color w:val="1F5E3B"/>
          <w:sz w:val="23"/>
          <w:szCs w:val="23"/>
        </w:rPr>
        <w:t xml:space="preserve">Finding 4: No extraction rate is tracked</w:t>
      </w:r>
    </w:p>
    <w:p>
      <w:pPr>
        <w:spacing w:after="140" w:line="300"/>
      </w:pPr>
      <w:r>
        <w:rPr>
          <w:rFonts w:ascii="Open Sans" w:cs="Open Sans" w:eastAsia="Open Sans" w:hAnsi="Open Sans"/>
          <w:color w:val="222222"/>
          <w:sz w:val="21"/>
          <w:szCs w:val="21"/>
        </w:rPr>
        <w:t xml:space="preserve">Oil extraction rate (OER), the percentage of oil recovered from fresh fruit, is the single most important efficiency measure in palm oil processing. It does not appear anywhere in the documents. Without it, the business cannot tell whether a poor month was caused by fruit quality, mill performance or theft.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C89B3C" w:sz="24"/>
              <w:bottom w:val="none" w:color="FFFFFF" w:sz="0"/>
              <w:right w:val="none" w:color="FFFFFF" w:sz="0"/>
            </w:tcBorders>
            <w:shd w:fill="F7F5EF" w:color="auto" w:val="clear"/>
            <w:tcMar>
              <w:top w:type="dxa" w:w="120"/>
              <w:left w:type="dxa" w:w="180"/>
              <w:bottom w:type="dxa" w:w="120"/>
              <w:right w:type="dxa" w:w="180"/>
            </w:tcMar>
          </w:tcPr>
          <w:p>
            <w:pPr>
              <w:spacing w:after="60"/>
            </w:pPr>
            <w:r>
              <w:rPr>
                <w:rFonts w:ascii="Montserrat" w:cs="Montserrat" w:eastAsia="Montserrat" w:hAnsi="Montserrat"/>
                <w:b/>
                <w:bCs/>
                <w:color w:val="C89B3C"/>
                <w:sz w:val="16"/>
                <w:szCs w:val="16"/>
              </w:rPr>
              <w:t xml:space="preserve">WHY THIS MATTERS COMMERCIALLY</w:t>
            </w:r>
          </w:p>
          <w:p>
            <w:pPr>
              <w:spacing w:after="60" w:line="290"/>
            </w:pPr>
            <w:r>
              <w:rPr>
                <w:rFonts w:ascii="Open Sans" w:cs="Open Sans" w:eastAsia="Open Sans" w:hAnsi="Open Sans"/>
                <w:color w:val="222222"/>
                <w:sz w:val="21"/>
                <w:szCs w:val="21"/>
              </w:rPr>
              <w:t xml:space="preserve">A movement of two percentage points in OER at the stated throughput is a material volume of oil. Today it would pass entirely unnoticed.</w:t>
            </w:r>
          </w:p>
        </w:tc>
      </w:tr>
    </w:tbl>
    <w:p>
      <w:pPr>
        <w:spacing w:after="120"/>
      </w:pPr>
    </w:p>
    <w:p>
      <w:pPr>
        <w:pStyle w:val="Heading2"/>
        <w:spacing w:after="100" w:before="240"/>
      </w:pPr>
      <w:r>
        <w:rPr>
          <w:rFonts w:ascii="Montserrat" w:cs="Montserrat" w:eastAsia="Montserrat" w:hAnsi="Montserrat"/>
          <w:b/>
          <w:bCs/>
          <w:color w:val="1F5E3B"/>
          <w:sz w:val="23"/>
          <w:szCs w:val="23"/>
        </w:rPr>
        <w:t xml:space="preserve">Finding 5: Three years of full dependence on outgrowers, with no supply agreements</w:t>
      </w:r>
    </w:p>
    <w:p>
      <w:pPr>
        <w:spacing w:after="140" w:line="300"/>
      </w:pPr>
      <w:r>
        <w:rPr>
          <w:rFonts w:ascii="Open Sans" w:cs="Open Sans" w:eastAsia="Open Sans" w:hAnsi="Open Sans"/>
          <w:color w:val="222222"/>
          <w:sz w:val="21"/>
          <w:szCs w:val="21"/>
        </w:rPr>
        <w:t xml:space="preserve">The planned plantation yields nothing for 36 months. For that entire period the mill runs on purchased fruit. The documents name no outgrower, specify no agreed price and evidence no supply agreement. The business is fully exposed to seasonal price movement and competing buyers, with no contractual protection and no budgeted price band.</w:t>
      </w:r>
    </w:p>
    <w:p>
      <w:pPr>
        <w:pStyle w:val="Heading2"/>
        <w:spacing w:after="100" w:before="240"/>
      </w:pPr>
      <w:r>
        <w:rPr>
          <w:rFonts w:ascii="Montserrat" w:cs="Montserrat" w:eastAsia="Montserrat" w:hAnsi="Montserrat"/>
          <w:b/>
          <w:bCs/>
          <w:color w:val="1F5E3B"/>
          <w:sz w:val="23"/>
          <w:szCs w:val="23"/>
        </w:rPr>
        <w:t xml:space="preserve">Finding 6: Governance is described in the future tense</w:t>
      </w:r>
    </w:p>
    <w:p>
      <w:pPr>
        <w:spacing w:after="140" w:line="300"/>
      </w:pPr>
      <w:r>
        <w:rPr>
          <w:rFonts w:ascii="Open Sans" w:cs="Open Sans" w:eastAsia="Open Sans" w:hAnsi="Open Sans"/>
          <w:color w:val="222222"/>
          <w:sz w:val="21"/>
          <w:szCs w:val="21"/>
        </w:rPr>
        <w:t xml:space="preserve">The management section is headed “Future management summary” and lists six roles: CEO, Secretary, Accountant, Marketer, Production Officer and Supervisor. No position holder is named. In practice the founder is performing all six functions. No independent person is responsible for recording cash, stock or output, which is exactly the condition under which the human risks the plan itself identifies become most likely.</w:t>
      </w:r>
    </w:p>
    <w:p>
      <w:pPr>
        <w:pStyle w:val="Heading2"/>
        <w:spacing w:after="100" w:before="240"/>
      </w:pPr>
      <w:r>
        <w:rPr>
          <w:rFonts w:ascii="Montserrat" w:cs="Montserrat" w:eastAsia="Montserrat" w:hAnsi="Montserrat"/>
          <w:b/>
          <w:bCs/>
          <w:color w:val="1F5E3B"/>
          <w:sz w:val="23"/>
          <w:szCs w:val="23"/>
        </w:rPr>
        <w:t xml:space="preserve">Finding 7: Compliance status is asserted, not evidenced</w:t>
      </w:r>
    </w:p>
    <w:p>
      <w:pPr>
        <w:spacing w:after="140" w:line="300"/>
      </w:pPr>
      <w:r>
        <w:rPr>
          <w:rFonts w:ascii="Open Sans" w:cs="Open Sans" w:eastAsia="Open Sans" w:hAnsi="Open Sans"/>
          <w:color w:val="222222"/>
          <w:sz w:val="21"/>
          <w:szCs w:val="21"/>
        </w:rPr>
        <w:t xml:space="preserve">The certifications section of the company profile is blank. Food safety registration appears as an ambition. For sales to boarding schools, hospitals and prisons, the named target market, documented food safety registration is not optional. This is a direct blocker on the highest-value buyer segment.</w:t>
      </w:r>
    </w:p>
    <w:p>
      <w:pPr>
        <w:pStyle w:val="Heading2"/>
        <w:spacing w:after="100" w:before="240"/>
      </w:pPr>
      <w:r>
        <w:rPr>
          <w:rFonts w:ascii="Montserrat" w:cs="Montserrat" w:eastAsia="Montserrat" w:hAnsi="Montserrat"/>
          <w:b/>
          <w:bCs/>
          <w:color w:val="1F5E3B"/>
          <w:sz w:val="23"/>
          <w:szCs w:val="23"/>
        </w:rPr>
        <w:t xml:space="preserve">Finding 8: Document control</w:t>
      </w:r>
    </w:p>
    <w:p>
      <w:pPr>
        <w:spacing w:after="140" w:line="300"/>
      </w:pPr>
      <w:r>
        <w:rPr>
          <w:rFonts w:ascii="Open Sans" w:cs="Open Sans" w:eastAsia="Open Sans" w:hAnsi="Open Sans"/>
          <w:color w:val="222222"/>
          <w:sz w:val="21"/>
          <w:szCs w:val="21"/>
        </w:rPr>
        <w:t xml:space="preserve">Two identical copies of the business plan are in circulation, and the processing plant cost is written in two different formats in two tables. Minor in isolation; read alongside Findings 1 and 2, it compounds the impression that the numbers have not been checked.</w:t>
      </w:r>
    </w:p>
    <w:p>
      <w:pPr>
        <w:pStyle w:val="Heading2"/>
        <w:spacing w:after="100" w:before="240"/>
      </w:pPr>
      <w:r>
        <w:rPr>
          <w:rFonts w:ascii="Montserrat" w:cs="Montserrat" w:eastAsia="Montserrat" w:hAnsi="Montserrat"/>
          <w:b/>
          <w:bCs/>
          <w:color w:val="1F5E3B"/>
          <w:sz w:val="23"/>
          <w:szCs w:val="23"/>
        </w:rPr>
        <w:t xml:space="preserve">Finding 9: The company profile and the business plan describe two different companies</w:t>
      </w:r>
    </w:p>
    <w:p>
      <w:pPr>
        <w:spacing w:after="140" w:line="300"/>
      </w:pPr>
      <w:r>
        <w:rPr>
          <w:rFonts w:ascii="Open Sans" w:cs="Open Sans" w:eastAsia="Open Sans" w:hAnsi="Open Sans"/>
          <w:color w:val="222222"/>
          <w:sz w:val="21"/>
          <w:szCs w:val="21"/>
        </w:rPr>
        <w:t xml:space="preserve">The company profile states that the business owns and operates oil palm plantations, operates mills and refineries, and has a strong supplier and logistics network. The business plan states that the plantation will be established, that the processing plant will be installed, that first harvest is 36 months away, and that start-up capital is still required.</w:t>
      </w:r>
    </w:p>
    <w:p>
      <w:pPr>
        <w:spacing w:after="140" w:line="300"/>
      </w:pPr>
      <w:r>
        <w:rPr>
          <w:rFonts w:ascii="Open Sans" w:cs="Open Sans" w:eastAsia="Open Sans" w:hAnsi="Open Sans"/>
          <w:color w:val="222222"/>
          <w:sz w:val="21"/>
          <w:szCs w:val="21"/>
        </w:rPr>
        <w:t xml:space="preserve">These cannot both be true. One document describes an operating integrated producer; the other describes a start-up seeking capital. A funder reading both will treat the gap as overstatement.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B3261E" w:sz="24"/>
              <w:bottom w:val="none" w:color="FFFFFF" w:sz="0"/>
              <w:right w:val="none" w:color="FFFFFF" w:sz="0"/>
            </w:tcBorders>
            <w:shd w:fill="F7F5EF" w:color="auto" w:val="clear"/>
            <w:tcMar>
              <w:top w:type="dxa" w:w="120"/>
              <w:left w:type="dxa" w:w="180"/>
              <w:bottom w:type="dxa" w:w="120"/>
              <w:right w:type="dxa" w:w="180"/>
            </w:tcMar>
          </w:tcPr>
          <w:p>
            <w:pPr>
              <w:spacing w:after="60"/>
            </w:pPr>
            <w:r>
              <w:rPr>
                <w:rFonts w:ascii="Montserrat" w:cs="Montserrat" w:eastAsia="Montserrat" w:hAnsi="Montserrat"/>
                <w:b/>
                <w:bCs/>
                <w:color w:val="B3261E"/>
                <w:sz w:val="16"/>
                <w:szCs w:val="16"/>
              </w:rPr>
              <w:t xml:space="preserve">IMMEDIATE ACTION</w:t>
            </w:r>
          </w:p>
          <w:p>
            <w:pPr>
              <w:spacing w:after="60" w:line="290"/>
            </w:pPr>
            <w:r>
              <w:rPr>
                <w:rFonts w:ascii="Open Sans" w:cs="Open Sans" w:eastAsia="Open Sans" w:hAnsi="Open Sans"/>
                <w:color w:val="222222"/>
                <w:sz w:val="21"/>
                <w:szCs w:val="21"/>
              </w:rPr>
              <w:t xml:space="preserve">Align the two documents to one honest description of current operating status before either is sent to a bank, grant assessor or institutional buyer.</w:t>
            </w:r>
          </w:p>
        </w:tc>
      </w:tr>
    </w:tbl>
    <w:p>
      <w:pPr>
        <w:spacing w:after="120"/>
      </w:pPr>
    </w:p>
    <w:p>
      <w:pPr>
        <w:pStyle w:val="Heading2"/>
        <w:spacing w:after="100" w:before="240"/>
      </w:pPr>
      <w:r>
        <w:rPr>
          <w:rFonts w:ascii="Montserrat" w:cs="Montserrat" w:eastAsia="Montserrat" w:hAnsi="Montserrat"/>
          <w:b/>
          <w:bCs/>
          <w:color w:val="1F5E3B"/>
          <w:sz w:val="23"/>
          <w:szCs w:val="23"/>
        </w:rPr>
        <w:t xml:space="preserve">Finding 10: The model’s critical dependency is identified as a weakness and left unmitigated</w:t>
      </w:r>
    </w:p>
    <w:p>
      <w:pPr>
        <w:spacing w:after="140" w:line="300"/>
      </w:pPr>
      <w:r>
        <w:rPr>
          <w:rFonts w:ascii="Open Sans" w:cs="Open Sans" w:eastAsia="Open Sans" w:hAnsi="Open Sans"/>
          <w:color w:val="222222"/>
          <w:sz w:val="21"/>
          <w:szCs w:val="21"/>
        </w:rPr>
        <w:t xml:space="preserve">The SWOT analysis lists the availability and affordability of raw materials as a weakness. The entire model depends on buying fruit from outgrowers for at least 36 months. The company has correctly identified its single greatest threat and offered no mitigation: no supply agreements, no agreed price band, no alternative sourcing and no buffer stock.</w:t>
      </w:r>
    </w:p>
    <w:p>
      <w:pPr>
        <w:spacing w:after="140" w:line="300"/>
      </w:pPr>
      <w:r>
        <w:rPr>
          <w:rFonts w:ascii="Open Sans" w:cs="Open Sans" w:eastAsia="Open Sans" w:hAnsi="Open Sans"/>
          <w:color w:val="222222"/>
          <w:sz w:val="21"/>
          <w:szCs w:val="21"/>
        </w:rPr>
        <w:t xml:space="preserve">The SWOT also lists a good marketing system as a strength, while the website, online payment and awareness creation are recorded as still in progress. A strength that does not yet exist is not a strength.</w:t>
      </w:r>
    </w:p>
    <w:p>
      <w:pPr>
        <w:pStyle w:val="Heading2"/>
        <w:spacing w:after="100" w:before="240"/>
      </w:pPr>
      <w:r>
        <w:rPr>
          <w:rFonts w:ascii="Montserrat" w:cs="Montserrat" w:eastAsia="Montserrat" w:hAnsi="Montserrat"/>
          <w:b/>
          <w:bCs/>
          <w:color w:val="1F5E3B"/>
          <w:sz w:val="23"/>
          <w:szCs w:val="23"/>
        </w:rPr>
        <w:t xml:space="preserve">Finding 11: The zero-waste positioning generates no revenue in the company’s own model</w:t>
      </w:r>
    </w:p>
    <w:p>
      <w:pPr>
        <w:spacing w:after="140" w:line="300"/>
      </w:pPr>
      <w:r>
        <w:rPr>
          <w:rFonts w:ascii="Open Sans" w:cs="Open Sans" w:eastAsia="Open Sans" w:hAnsi="Open Sans"/>
          <w:color w:val="222222"/>
          <w:sz w:val="21"/>
          <w:szCs w:val="21"/>
        </w:rPr>
        <w:t xml:space="preserve">The plan positions the business as a zero-waste operation producing crude oil, refined oil, kernel oil, kernel cake and nutshell. The revenue model contains a single line for one product. No revenue is attributed to the by-products.</w:t>
      </w:r>
    </w:p>
    <w:p>
      <w:pPr>
        <w:spacing w:after="140" w:line="300"/>
      </w:pPr>
      <w:r>
        <w:rPr>
          <w:rFonts w:ascii="Open Sans" w:cs="Open Sans" w:eastAsia="Open Sans" w:hAnsi="Open Sans"/>
          <w:color w:val="222222"/>
          <w:sz w:val="21"/>
          <w:szCs w:val="21"/>
        </w:rPr>
        <w:t xml:space="preserve">Either the by-product revenue exists and is missing from the model, in which case the plan understates the business, or it does not exist, in which case the zero-waste claim is marketing rather than operations. Both need resolving.</w:t>
      </w:r>
    </w:p>
    <w:p>
      <w:pPr>
        <w:pStyle w:val="Heading2"/>
        <w:spacing w:after="100" w:before="240"/>
      </w:pPr>
      <w:r>
        <w:rPr>
          <w:rFonts w:ascii="Montserrat" w:cs="Montserrat" w:eastAsia="Montserrat" w:hAnsi="Montserrat"/>
          <w:b/>
          <w:bCs/>
          <w:color w:val="1F5E3B"/>
          <w:sz w:val="23"/>
          <w:szCs w:val="23"/>
        </w:rPr>
        <w:t xml:space="preserve">Finding 12: The revenue model has no defined unit and no defined period</w:t>
      </w:r>
    </w:p>
    <w:p>
      <w:pPr>
        <w:spacing w:after="140" w:line="300"/>
      </w:pPr>
      <w:r>
        <w:rPr>
          <w:rFonts w:ascii="Open Sans" w:cs="Open Sans" w:eastAsia="Open Sans" w:hAnsi="Open Sans"/>
          <w:color w:val="222222"/>
          <w:sz w:val="21"/>
          <w:szCs w:val="21"/>
        </w:rPr>
        <w:t xml:space="preserve">Revenue is stated as a quantity of “pieces” at a flat price. A piece may be a drum, a gallon, a bottle or a carton; the documents do not say. A “cycle” is never given a duration, so the three cycles cannot be converted into an annual figure or compared with the throughput claim. Without a unit and a period, the revenue model cannot be tested by anyone, including the company itself.</w:t>
      </w:r>
    </w:p>
    <w:p>
      <w:pPr>
        <w:pStyle w:val="Heading2"/>
        <w:spacing w:after="100" w:before="240"/>
      </w:pPr>
      <w:r>
        <w:rPr>
          <w:rFonts w:ascii="Montserrat" w:cs="Montserrat" w:eastAsia="Montserrat" w:hAnsi="Montserrat"/>
          <w:b/>
          <w:bCs/>
          <w:color w:val="1F5E3B"/>
          <w:sz w:val="23"/>
          <w:szCs w:val="23"/>
        </w:rPr>
        <w:t xml:space="preserve">Finding 13: A large share of fixed capital is unexplained</w:t>
      </w:r>
    </w:p>
    <w:p>
      <w:pPr>
        <w:spacing w:after="140" w:line="300"/>
      </w:pPr>
      <w:r>
        <w:rPr>
          <w:rFonts w:ascii="Open Sans" w:cs="Open Sans" w:eastAsia="Open Sans" w:hAnsi="Open Sans"/>
          <w:color w:val="222222"/>
          <w:sz w:val="21"/>
          <w:szCs w:val="21"/>
        </w:rPr>
        <w:t xml:space="preserve">More than a third of the fixed capital is allocated to a borehole and reverse osmosis water treatment. Nothing in the plan explains why an oil palm mill requires it. Either there is an unstated water or beverage activity, the process needs water treatment for a reason that should be documented, or the allocation is misplaced.</w:t>
      </w:r>
    </w:p>
    <w:p>
      <w:pPr>
        <w:spacing w:after="140" w:line="300"/>
      </w:pPr>
      <w:r>
        <w:rPr>
          <w:rFonts w:ascii="Open Sans" w:cs="Open Sans" w:eastAsia="Open Sans" w:hAnsi="Open Sans"/>
          <w:color w:val="222222"/>
          <w:sz w:val="21"/>
          <w:szCs w:val="21"/>
        </w:rPr>
        <w:t xml:space="preserve">The financials also contain no depreciation on fixed assets, no interest or repayment schedule and no tax line, despite the PEST analysis naming a change in tax rate as a live economic risk.</w:t>
      </w:r>
    </w:p>
    <w:p>
      <w:pPr>
        <w:pStyle w:val="Heading2"/>
        <w:spacing w:after="100" w:before="240"/>
      </w:pPr>
      <w:r>
        <w:rPr>
          <w:rFonts w:ascii="Montserrat" w:cs="Montserrat" w:eastAsia="Montserrat" w:hAnsi="Montserrat"/>
          <w:b/>
          <w:bCs/>
          <w:color w:val="1F5E3B"/>
          <w:sz w:val="23"/>
          <w:szCs w:val="23"/>
        </w:rPr>
        <w:t xml:space="preserve">Finding 14: The chemical-free claim conflicts with the company’s own risk assessment</w:t>
      </w:r>
    </w:p>
    <w:p>
      <w:pPr>
        <w:spacing w:after="140" w:line="300"/>
      </w:pPr>
      <w:r>
        <w:rPr>
          <w:rFonts w:ascii="Open Sans" w:cs="Open Sans" w:eastAsia="Open Sans" w:hAnsi="Open Sans"/>
          <w:color w:val="222222"/>
          <w:sz w:val="21"/>
          <w:szCs w:val="21"/>
        </w:rPr>
        <w:t xml:space="preserve">The mission is to produce chemical-free palm oil. The risk assessment lists chemical application as the principal health risk, and the product range includes refined palm oil, which typically involves processing agents. If the chemical-free claim is used in marketing, particularly to hospitals, schools and prisons, it must be defined precisely and substantiated, or it becomes a regulatory exposure rather than a selling point.</w:t>
      </w:r>
    </w:p>
    <w:p>
      <w:pPr>
        <w:pStyle w:val="Heading2"/>
        <w:spacing w:after="100" w:before="240"/>
      </w:pPr>
      <w:r>
        <w:rPr>
          <w:rFonts w:ascii="Montserrat" w:cs="Montserrat" w:eastAsia="Montserrat" w:hAnsi="Montserrat"/>
          <w:b/>
          <w:bCs/>
          <w:color w:val="1F5E3B"/>
          <w:sz w:val="23"/>
          <w:szCs w:val="23"/>
        </w:rPr>
        <w:t xml:space="preserve">Finding 15: Operational footprint and contact details do not support the target market</w:t>
      </w:r>
    </w:p>
    <w:p>
      <w:pPr>
        <w:spacing w:after="140" w:line="300"/>
      </w:pPr>
      <w:r>
        <w:rPr>
          <w:rFonts w:ascii="Open Sans" w:cs="Open Sans" w:eastAsia="Open Sans" w:hAnsi="Open Sans"/>
          <w:color w:val="222222"/>
          <w:sz w:val="21"/>
          <w:szCs w:val="21"/>
        </w:rPr>
        <w:t xml:space="preserve">The company profile records operations in two regions; the business plan describes activity in one district only, and no asset, site or staff in the second region appears in any document. The registered contact addresses are personal email accounts, and insurance registration is still in progress against fixed assets and a heat-and-press process.</w:t>
      </w:r>
    </w:p>
    <w:p>
      <w:pPr>
        <w:spacing w:after="140" w:line="300"/>
      </w:pPr>
      <w:r>
        <w:rPr>
          <w:rFonts w:ascii="Open Sans" w:cs="Open Sans" w:eastAsia="Open Sans" w:hAnsi="Open Sans"/>
          <w:color w:val="222222"/>
          <w:sz w:val="21"/>
          <w:szCs w:val="21"/>
        </w:rPr>
        <w:t xml:space="preserve">Institutional buyers procure through formal tender. Personal email addresses, unevidenced locations and absent insurance are the details that remove a supplier at pre-qualification, before price is ever discussed.</w:t>
      </w:r>
    </w:p>
    <w:p>
      <w:pPr>
        <w:pStyle w:val="Heading2"/>
        <w:spacing w:after="100" w:before="240"/>
      </w:pPr>
      <w:r>
        <w:rPr>
          <w:rFonts w:ascii="Montserrat" w:cs="Montserrat" w:eastAsia="Montserrat" w:hAnsi="Montserrat"/>
          <w:b/>
          <w:bCs/>
          <w:color w:val="1F5E3B"/>
          <w:sz w:val="23"/>
          <w:szCs w:val="23"/>
        </w:rPr>
        <w:t xml:space="preserve">Finding 16: Asked what it costs to produce one unit, the founder did not know</w:t>
      </w:r>
    </w:p>
    <w:p>
      <w:pPr>
        <w:spacing w:after="140" w:line="300"/>
      </w:pPr>
      <w:r>
        <w:rPr>
          <w:rFonts w:ascii="Open Sans" w:cs="Open Sans" w:eastAsia="Open Sans" w:hAnsi="Open Sans"/>
          <w:color w:val="222222"/>
          <w:sz w:val="21"/>
          <w:szCs w:val="21"/>
        </w:rPr>
        <w:t xml:space="preserve">Asked directly in the structured interview what it costs to produce one unit of product, the founder answered that he did not know. This is the most important answer gathered in the interview. It is not AVAC’s interpretation; it independently confirms the root cause identified from the documents alone in Findings 1, 11, 12 and 13.</w:t>
      </w:r>
    </w:p>
    <w:p>
      <w:pPr>
        <w:pStyle w:val="Heading2"/>
        <w:spacing w:after="100" w:before="240"/>
      </w:pPr>
      <w:r>
        <w:rPr>
          <w:rFonts w:ascii="Montserrat" w:cs="Montserrat" w:eastAsia="Montserrat" w:hAnsi="Montserrat"/>
          <w:b/>
          <w:bCs/>
          <w:color w:val="1F5E3B"/>
          <w:sz w:val="23"/>
          <w:szCs w:val="23"/>
        </w:rPr>
        <w:t xml:space="preserve">Finding 17: A single unfulfilled order broke a customer relationship</w:t>
      </w:r>
    </w:p>
    <w:p>
      <w:pPr>
        <w:spacing w:after="140" w:line="300"/>
      </w:pPr>
      <w:r>
        <w:rPr>
          <w:rFonts w:ascii="Open Sans" w:cs="Open Sans" w:eastAsia="Open Sans" w:hAnsi="Open Sans"/>
          <w:color w:val="222222"/>
          <w:sz w:val="21"/>
          <w:szCs w:val="21"/>
        </w:rPr>
        <w:t xml:space="preserve">The founder described, unprompted, a buyer order the business could not fill. Product was sourced from a third party to cover the gap, the buyer was dissatisfied with what arrived, and the relationship ended. This is exactly the failure mode implied by Findings 6 and 10, now confirmed as a real, costly event rather than a theoretical risk. No quality-check standard exists, so there is no way to know how often this happens.</w:t>
      </w:r>
    </w:p>
    <w:p>
      <w:pPr>
        <w:pStyle w:val="Heading2"/>
        <w:spacing w:after="100" w:before="240"/>
      </w:pPr>
      <w:r>
        <w:rPr>
          <w:rFonts w:ascii="Montserrat" w:cs="Montserrat" w:eastAsia="Montserrat" w:hAnsi="Montserrat"/>
          <w:b/>
          <w:bCs/>
          <w:color w:val="1F5E3B"/>
          <w:sz w:val="23"/>
          <w:szCs w:val="23"/>
        </w:rPr>
        <w:t xml:space="preserve">Finding 18: Current staffing does not support the claimed throughput</w:t>
      </w:r>
    </w:p>
    <w:p>
      <w:pPr>
        <w:spacing w:after="140" w:line="300"/>
      </w:pPr>
      <w:r>
        <w:rPr>
          <w:rFonts w:ascii="Open Sans" w:cs="Open Sans" w:eastAsia="Open Sans" w:hAnsi="Open Sans"/>
          <w:color w:val="222222"/>
          <w:sz w:val="21"/>
          <w:szCs w:val="21"/>
        </w:rPr>
        <w:t xml:space="preserve">The founder described a team of four: the founder, one person combining secretarial and processing duties, and two part-time staff. On paper, that team runs the operation the business plan describes, and the founder’s three-year ambition is larger still. A four-person team, half of it part-time, cannot run a mill at either scale. This independently confirms Finding 2.</w:t>
      </w:r>
    </w:p>
    <w:p>
      <w:pPr>
        <w:pStyle w:val="Heading2"/>
        <w:spacing w:after="100" w:before="240"/>
      </w:pPr>
      <w:r>
        <w:rPr>
          <w:rFonts w:ascii="Montserrat" w:cs="Montserrat" w:eastAsia="Montserrat" w:hAnsi="Montserrat"/>
          <w:b/>
          <w:bCs/>
          <w:color w:val="1F5E3B"/>
          <w:sz w:val="23"/>
          <w:szCs w:val="23"/>
        </w:rPr>
        <w:t xml:space="preserve">Finding 19: The business runs order-to-process, not continuous production</w:t>
      </w:r>
    </w:p>
    <w:p>
      <w:pPr>
        <w:spacing w:after="140" w:line="300"/>
      </w:pPr>
      <w:r>
        <w:rPr>
          <w:rFonts w:ascii="Open Sans" w:cs="Open Sans" w:eastAsia="Open Sans" w:hAnsi="Open Sans"/>
          <w:color w:val="222222"/>
          <w:sz w:val="21"/>
          <w:szCs w:val="21"/>
        </w:rPr>
        <w:t xml:space="preserve">Asked how often stock is reconciled against production and sales, the founder explained there is no ongoing reconciliation because the mill runs only when there is a confirmed order. This is a third description of the operating model, different from both the company profile and the business plan. Order-to-process is not wrong in itself, and many small processors work this way, but it must be stated consistently because it changes the entire capital and staffing case.</w:t>
      </w:r>
    </w:p>
    <w:p>
      <w:pPr>
        <w:pStyle w:val="Heading2"/>
        <w:spacing w:after="100" w:before="240"/>
      </w:pPr>
      <w:r>
        <w:rPr>
          <w:rFonts w:ascii="Montserrat" w:cs="Montserrat" w:eastAsia="Montserrat" w:hAnsi="Montserrat"/>
          <w:b/>
          <w:bCs/>
          <w:color w:val="1F5E3B"/>
          <w:sz w:val="23"/>
          <w:szCs w:val="23"/>
        </w:rPr>
        <w:t xml:space="preserve">Finding 20: Prices are set by undercutting the market, with no known cost floor</w:t>
      </w:r>
    </w:p>
    <w:p>
      <w:pPr>
        <w:spacing w:after="140" w:line="300"/>
      </w:pPr>
      <w:r>
        <w:rPr>
          <w:rFonts w:ascii="Open Sans" w:cs="Open Sans" w:eastAsia="Open Sans" w:hAnsi="Open Sans"/>
          <w:color w:val="222222"/>
          <w:sz w:val="21"/>
          <w:szCs w:val="21"/>
        </w:rPr>
        <w:t xml:space="preserve">Asked how price is decided, the founder said he checks the prevailing market price and prices below it. Combined with Finding 16, the business is discounting against a benchmark it does not control, with no visibility of whether the discounted price covers its own cost. From the founder’s own account, there is no way to know whether any given sale is profitable.</w:t>
      </w:r>
    </w:p>
    <w:p>
      <w:pPr>
        <w:pStyle w:val="Heading2"/>
        <w:spacing w:after="100" w:before="240"/>
      </w:pPr>
      <w:r>
        <w:rPr>
          <w:rFonts w:ascii="Montserrat" w:cs="Montserrat" w:eastAsia="Montserrat" w:hAnsi="Montserrat"/>
          <w:b/>
          <w:bCs/>
          <w:color w:val="1F5E3B"/>
          <w:sz w:val="23"/>
          <w:szCs w:val="23"/>
        </w:rPr>
        <w:t xml:space="preserve">Finding 21: Growth ambition, capital plan and execution history do not yet line up</w:t>
      </w:r>
    </w:p>
    <w:p>
      <w:pPr>
        <w:spacing w:after="140" w:line="300"/>
      </w:pPr>
      <w:r>
        <w:rPr>
          <w:rFonts w:ascii="Open Sans" w:cs="Open Sans" w:eastAsia="Open Sans" w:hAnsi="Open Sans"/>
          <w:color w:val="222222"/>
          <w:sz w:val="21"/>
          <w:szCs w:val="21"/>
        </w:rPr>
        <w:t xml:space="preserve">The founder’s three-year ambition is an export-ready business on a modern processing plant. Asked about the last major growth attempt, he cited lack of full-time commitment, lack of focus and inadequate capital. Asked how he would use new capital today, the answer was certifications, general investment and opening a business account: not a costed plan tied to the ambition. The ambition is credible and the self-assessment is candid, but between here and there sits every gap already identified.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C89B3C" w:sz="24"/>
              <w:bottom w:val="none" w:color="FFFFFF" w:sz="0"/>
              <w:right w:val="none" w:color="FFFFFF" w:sz="0"/>
            </w:tcBorders>
            <w:shd w:fill="F7F5EF" w:color="auto" w:val="clear"/>
            <w:tcMar>
              <w:top w:type="dxa" w:w="120"/>
              <w:left w:type="dxa" w:w="180"/>
              <w:bottom w:type="dxa" w:w="120"/>
              <w:right w:type="dxa" w:w="180"/>
            </w:tcMar>
          </w:tcPr>
          <w:p>
            <w:pPr>
              <w:spacing w:after="60"/>
            </w:pPr>
            <w:r>
              <w:rPr>
                <w:rFonts w:ascii="Montserrat" w:cs="Montserrat" w:eastAsia="Montserrat" w:hAnsi="Montserrat"/>
                <w:b/>
                <w:bCs/>
                <w:color w:val="C89B3C"/>
                <w:sz w:val="16"/>
                <w:szCs w:val="16"/>
              </w:rPr>
              <w:t xml:space="preserve">READ TOGETHER WITH THE INTERVIEW’S CLOSING QUESTION</w:t>
            </w:r>
          </w:p>
          <w:p>
            <w:pPr>
              <w:spacing w:after="60" w:line="290"/>
            </w:pPr>
            <w:r>
              <w:rPr>
                <w:rFonts w:ascii="Open Sans" w:cs="Open Sans" w:eastAsia="Open Sans" w:hAnsi="Open Sans"/>
                <w:color w:val="222222"/>
                <w:sz w:val="21"/>
                <w:szCs w:val="21"/>
              </w:rPr>
              <w:t xml:space="preserve">Asked what had not been covered, the founder raised branding and marketing himself. This is an area AVAC’s Market Access Booster addresses directly, and a natural second conversation once the costing and production system is in place.</w:t>
            </w:r>
          </w:p>
        </w:tc>
      </w:tr>
    </w:tbl>
    <w:p>
      <w:r>
        <w:br w:type="page"/>
      </w:r>
    </w:p>
    <w:p>
      <w:pPr>
        <w:pStyle w:val="Heading1"/>
        <w:spacing w:after="160" w:before="360"/>
      </w:pPr>
      <w:r>
        <w:rPr>
          <w:rFonts w:ascii="Montserrat" w:cs="Montserrat" w:eastAsia="Montserrat" w:hAnsi="Montserrat"/>
          <w:b/>
          <w:bCs/>
          <w:color w:val="1F5E3B"/>
          <w:sz w:val="30"/>
          <w:szCs w:val="30"/>
        </w:rPr>
        <w:t xml:space="preserve">4. Root Cause</w:t>
      </w:r>
    </w:p>
    <w:p>
      <w:pPr>
        <w:spacing w:after="140" w:line="300"/>
      </w:pPr>
      <w:r>
        <w:rPr>
          <w:rFonts w:ascii="Open Sans" w:cs="Open Sans" w:eastAsia="Open Sans" w:hAnsi="Open Sans"/>
          <w:b/>
          <w:bCs/>
          <w:color w:val="222222"/>
          <w:sz w:val="21"/>
          <w:szCs w:val="21"/>
        </w:rPr>
        <w:t xml:space="preserve">Twenty-one findings, one cause.</w:t>
      </w:r>
    </w:p>
    <w:p>
      <w:pPr>
        <w:spacing w:after="140" w:line="300"/>
      </w:pPr>
      <w:r>
        <w:rPr>
          <w:rFonts w:ascii="Open Sans" w:cs="Open Sans" w:eastAsia="Open Sans" w:hAnsi="Open Sans"/>
          <w:color w:val="222222"/>
          <w:sz w:val="21"/>
          <w:szCs w:val="21"/>
        </w:rPr>
        <w:t xml:space="preserve">The business is not short of effort, market or intent. It is short of a management system. Every finding above is downstream of a single absence: there is no routine by which what happens in the field and the mill is written down, converted into a cost, and used to make the next decision. The founder confirmed this himself when asked the single most revealing question in the interview.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none" w:color="FFFFFF" w:sz="0"/>
              <w:left w:val="single" w:color="1F5E3B" w:sz="24"/>
              <w:bottom w:val="none" w:color="FFFFFF" w:sz="0"/>
              <w:right w:val="none" w:color="FFFFFF" w:sz="0"/>
            </w:tcBorders>
            <w:shd w:fill="F7F5EF" w:color="auto" w:val="clear"/>
            <w:tcMar>
              <w:top w:type="dxa" w:w="120"/>
              <w:left w:type="dxa" w:w="180"/>
              <w:bottom w:type="dxa" w:w="120"/>
              <w:right w:type="dxa" w:w="180"/>
            </w:tcMar>
          </w:tcPr>
          <w:p>
            <w:pPr>
              <w:spacing w:after="60"/>
            </w:pPr>
            <w:r>
              <w:rPr>
                <w:rFonts w:ascii="Montserrat" w:cs="Montserrat" w:eastAsia="Montserrat" w:hAnsi="Montserrat"/>
                <w:b/>
                <w:bCs/>
                <w:color w:val="1F5E3B"/>
                <w:sz w:val="16"/>
                <w:szCs w:val="16"/>
              </w:rPr>
              <w:t xml:space="preserve">PROSPERITY SUFFOCATION</w:t>
            </w:r>
          </w:p>
          <w:p>
            <w:pPr>
              <w:spacing w:after="60" w:line="290"/>
            </w:pPr>
            <w:r>
              <w:rPr>
                <w:rFonts w:ascii="Open Sans" w:cs="Open Sans" w:eastAsia="Open Sans" w:hAnsi="Open Sans"/>
                <w:color w:val="222222"/>
                <w:sz w:val="21"/>
                <w:szCs w:val="21"/>
              </w:rPr>
              <w:t xml:space="preserve">This is the condition AVAC calls Prosperity Suffocation: an operation that is genuinely producing and selling, yet cannot convert that activity into retained profit, because nobody in the business can say what anything costs. Training does not resolve it. Additional capital does not resolve it, and frequently accelerates the loss. Only a system resolves it.</w:t>
            </w:r>
          </w:p>
        </w:tc>
      </w:tr>
    </w:tbl>
    <w:p>
      <w:pPr>
        <w:pStyle w:val="Heading1"/>
        <w:spacing w:after="160" w:before="360"/>
      </w:pPr>
      <w:r>
        <w:rPr>
          <w:rFonts w:ascii="Montserrat" w:cs="Montserrat" w:eastAsia="Montserrat" w:hAnsi="Montserrat"/>
          <w:b/>
          <w:bCs/>
          <w:color w:val="1F5E3B"/>
          <w:sz w:val="30"/>
          <w:szCs w:val="30"/>
        </w:rPr>
        <w:t xml:space="preserve">5. Recommendations</w:t>
      </w:r>
    </w:p>
    <w:p>
      <w:pPr>
        <w:spacing w:after="140" w:line="300"/>
      </w:pPr>
      <w:r>
        <w:rPr>
          <w:rFonts w:ascii="Open Sans" w:cs="Open Sans" w:eastAsia="Open Sans" w:hAnsi="Open Sans"/>
          <w:i/>
          <w:iCs/>
          <w:color w:val="6B7280"/>
          <w:sz w:val="21"/>
          <w:szCs w:val="21"/>
        </w:rPr>
        <w:t xml:space="preserve">Ranked by return on effort. Items 1 to 3 need no capital and can be completed within 30 days.</w:t>
      </w:r>
    </w:p>
    <w:p>
      <w:pPr>
        <w:pStyle w:val="Heading2"/>
        <w:spacing w:after="100" w:before="240"/>
      </w:pPr>
      <w:r>
        <w:rPr>
          <w:rFonts w:ascii="Montserrat" w:cs="Montserrat" w:eastAsia="Montserrat" w:hAnsi="Montserrat"/>
          <w:b/>
          <w:bCs/>
          <w:color w:val="1F5E3B"/>
          <w:sz w:val="23"/>
          <w:szCs w:val="23"/>
        </w:rPr>
        <w:t xml:space="preserve">R1. Install a unit costing sheet</w:t>
      </w:r>
    </w:p>
    <w:p>
      <w:pPr>
        <w:spacing w:after="80"/>
      </w:pPr>
      <w:r>
        <w:rPr>
          <w:rFonts w:ascii="Open Sans" w:cs="Open Sans" w:eastAsia="Open Sans" w:hAnsi="Open Sans"/>
          <w:b/>
          <w:bCs/>
          <w:color w:val="C89B3C"/>
          <w:sz w:val="18"/>
          <w:szCs w:val="18"/>
        </w:rPr>
        <w:t xml:space="preserve">Timing: Weeks 1 to 4   ·   Capital required: None</w:t>
      </w:r>
    </w:p>
    <w:p>
      <w:pPr>
        <w:spacing w:after="140" w:line="300"/>
      </w:pPr>
      <w:r>
        <w:rPr>
          <w:rFonts w:ascii="Open Sans" w:cs="Open Sans" w:eastAsia="Open Sans" w:hAnsi="Open Sans"/>
          <w:color w:val="222222"/>
          <w:sz w:val="21"/>
          <w:szCs w:val="21"/>
        </w:rPr>
        <w:t xml:space="preserve">Build one sheet that converts a tonne of FFB into a cost per litre and cost per drum of finished oil, covering fruit, fuel, electricity, labour, packaging and transport. Every price quoted after this point is set from that sheet, never from the market rate alone.</w:t>
      </w:r>
    </w:p>
    <w:p>
      <w:pPr>
        <w:pStyle w:val="Heading2"/>
        <w:spacing w:after="100" w:before="240"/>
      </w:pPr>
      <w:r>
        <w:rPr>
          <w:rFonts w:ascii="Montserrat" w:cs="Montserrat" w:eastAsia="Montserrat" w:hAnsi="Montserrat"/>
          <w:b/>
          <w:bCs/>
          <w:color w:val="1F5E3B"/>
          <w:sz w:val="23"/>
          <w:szCs w:val="23"/>
        </w:rPr>
        <w:t xml:space="preserve">R2. Start a daily FFB and oil output log</w:t>
      </w:r>
    </w:p>
    <w:p>
      <w:pPr>
        <w:spacing w:after="80"/>
      </w:pPr>
      <w:r>
        <w:rPr>
          <w:rFonts w:ascii="Open Sans" w:cs="Open Sans" w:eastAsia="Open Sans" w:hAnsi="Open Sans"/>
          <w:b/>
          <w:bCs/>
          <w:color w:val="C89B3C"/>
          <w:sz w:val="18"/>
          <w:szCs w:val="18"/>
        </w:rPr>
        <w:t xml:space="preserve">Timing: Weeks 1 to 6   ·   Capital required: None</w:t>
      </w:r>
    </w:p>
    <w:p>
      <w:pPr>
        <w:spacing w:after="140" w:line="300"/>
      </w:pPr>
      <w:r>
        <w:rPr>
          <w:rFonts w:ascii="Open Sans" w:cs="Open Sans" w:eastAsia="Open Sans" w:hAnsi="Open Sans"/>
          <w:color w:val="222222"/>
          <w:sz w:val="21"/>
          <w:szCs w:val="21"/>
        </w:rPr>
        <w:t xml:space="preserve">One page per day: FFB received (own and purchased), tonnes processed, litres of crude and kernel oil produced, kernel cake produced, downtime hours. Extraction rate is calculated weekly from this. A paper book is enough; a spreadsheet is better.</w:t>
      </w:r>
    </w:p>
    <w:p>
      <w:pPr>
        <w:pStyle w:val="Heading2"/>
        <w:spacing w:after="100" w:before="240"/>
      </w:pPr>
      <w:r>
        <w:rPr>
          <w:rFonts w:ascii="Montserrat" w:cs="Montserrat" w:eastAsia="Montserrat" w:hAnsi="Montserrat"/>
          <w:b/>
          <w:bCs/>
          <w:color w:val="1F5E3B"/>
          <w:sz w:val="23"/>
          <w:szCs w:val="23"/>
        </w:rPr>
        <w:t xml:space="preserve">R3. Re-price the product range to cost plus margin</w:t>
      </w:r>
    </w:p>
    <w:p>
      <w:pPr>
        <w:spacing w:after="80"/>
      </w:pPr>
      <w:r>
        <w:rPr>
          <w:rFonts w:ascii="Open Sans" w:cs="Open Sans" w:eastAsia="Open Sans" w:hAnsi="Open Sans"/>
          <w:b/>
          <w:bCs/>
          <w:color w:val="C89B3C"/>
          <w:sz w:val="18"/>
          <w:szCs w:val="18"/>
        </w:rPr>
        <w:t xml:space="preserve">Timing: Weeks 2 to 4   ·   Capital required: None</w:t>
      </w:r>
    </w:p>
    <w:p>
      <w:pPr>
        <w:spacing w:after="140" w:line="300"/>
      </w:pPr>
      <w:r>
        <w:rPr>
          <w:rFonts w:ascii="Open Sans" w:cs="Open Sans" w:eastAsia="Open Sans" w:hAnsi="Open Sans"/>
          <w:color w:val="222222"/>
          <w:sz w:val="21"/>
          <w:szCs w:val="21"/>
        </w:rPr>
        <w:t xml:space="preserve">Once R1 produces a defensible unit cost, reset prices to that cost plus a stated margin, and index them so they move with input cost. The flat price across three cycles is the direct cause of Finding 1.</w:t>
      </w:r>
    </w:p>
    <w:p>
      <w:pPr>
        <w:pStyle w:val="Heading2"/>
        <w:spacing w:after="100" w:before="240"/>
      </w:pPr>
      <w:r>
        <w:rPr>
          <w:rFonts w:ascii="Montserrat" w:cs="Montserrat" w:eastAsia="Montserrat" w:hAnsi="Montserrat"/>
          <w:b/>
          <w:bCs/>
          <w:color w:val="1F5E3B"/>
          <w:sz w:val="23"/>
          <w:szCs w:val="23"/>
        </w:rPr>
        <w:t xml:space="preserve">R4. Meter energy and review the tariff band</w:t>
      </w:r>
    </w:p>
    <w:p>
      <w:pPr>
        <w:spacing w:after="80"/>
      </w:pPr>
      <w:r>
        <w:rPr>
          <w:rFonts w:ascii="Open Sans" w:cs="Open Sans" w:eastAsia="Open Sans" w:hAnsi="Open Sans"/>
          <w:b/>
          <w:bCs/>
          <w:color w:val="C89B3C"/>
          <w:sz w:val="18"/>
          <w:szCs w:val="18"/>
        </w:rPr>
        <w:t xml:space="preserve">Timing: Weeks 4 to 6   ·   Capital required: Low: meter cost</w:t>
      </w:r>
    </w:p>
    <w:p>
      <w:pPr>
        <w:spacing w:after="140" w:line="300"/>
      </w:pPr>
      <w:r>
        <w:rPr>
          <w:rFonts w:ascii="Open Sans" w:cs="Open Sans" w:eastAsia="Open Sans" w:hAnsi="Open Sans"/>
          <w:color w:val="222222"/>
          <w:sz w:val="21"/>
          <w:szCs w:val="21"/>
        </w:rPr>
        <w:t xml:space="preserve">Take a dedicated mill meter reading over one full week and compare consumption against the tariff band the business is on. Determine whether the electricity figure is a data error, a tariff error or a genuine efficiency problem.</w:t>
      </w:r>
    </w:p>
    <w:p>
      <w:pPr>
        <w:pStyle w:val="Heading2"/>
        <w:spacing w:after="100" w:before="240"/>
      </w:pPr>
      <w:r>
        <w:rPr>
          <w:rFonts w:ascii="Montserrat" w:cs="Montserrat" w:eastAsia="Montserrat" w:hAnsi="Montserrat"/>
          <w:b/>
          <w:bCs/>
          <w:color w:val="1F5E3B"/>
          <w:sz w:val="23"/>
          <w:szCs w:val="23"/>
        </w:rPr>
        <w:t xml:space="preserve">R5. Put outgrower supply on paper</w:t>
      </w:r>
    </w:p>
    <w:p>
      <w:pPr>
        <w:spacing w:after="80"/>
      </w:pPr>
      <w:r>
        <w:rPr>
          <w:rFonts w:ascii="Open Sans" w:cs="Open Sans" w:eastAsia="Open Sans" w:hAnsi="Open Sans"/>
          <w:b/>
          <w:bCs/>
          <w:color w:val="C89B3C"/>
          <w:sz w:val="18"/>
          <w:szCs w:val="18"/>
        </w:rPr>
        <w:t xml:space="preserve">Timing: Weeks 6 to 10   ·   Capital required: None</w:t>
      </w:r>
    </w:p>
    <w:p>
      <w:pPr>
        <w:spacing w:after="140" w:line="300"/>
      </w:pPr>
      <w:r>
        <w:rPr>
          <w:rFonts w:ascii="Open Sans" w:cs="Open Sans" w:eastAsia="Open Sans" w:hAnsi="Open Sans"/>
          <w:color w:val="222222"/>
          <w:sz w:val="21"/>
          <w:szCs w:val="21"/>
        </w:rPr>
        <w:t xml:space="preserve">A one-page supply agreement per outgrower: volume, quality standard, price basis, payment terms and duration. This turns an informal relationship into a budgetable input and removes the largest single risk of the next three years.</w:t>
      </w:r>
    </w:p>
    <w:p>
      <w:pPr>
        <w:pStyle w:val="Heading2"/>
        <w:spacing w:after="100" w:before="240"/>
      </w:pPr>
      <w:r>
        <w:rPr>
          <w:rFonts w:ascii="Montserrat" w:cs="Montserrat" w:eastAsia="Montserrat" w:hAnsi="Montserrat"/>
          <w:b/>
          <w:bCs/>
          <w:color w:val="1F5E3B"/>
          <w:sz w:val="23"/>
          <w:szCs w:val="23"/>
        </w:rPr>
        <w:t xml:space="preserve">R6. Produce monthly management accounts</w:t>
      </w:r>
    </w:p>
    <w:p>
      <w:pPr>
        <w:spacing w:after="80"/>
      </w:pPr>
      <w:r>
        <w:rPr>
          <w:rFonts w:ascii="Open Sans" w:cs="Open Sans" w:eastAsia="Open Sans" w:hAnsi="Open Sans"/>
          <w:b/>
          <w:bCs/>
          <w:color w:val="C89B3C"/>
          <w:sz w:val="18"/>
          <w:szCs w:val="18"/>
        </w:rPr>
        <w:t xml:space="preserve">Timing: Weeks 8 to 12   ·   Capital required: None</w:t>
      </w:r>
    </w:p>
    <w:p>
      <w:pPr>
        <w:spacing w:after="140" w:line="300"/>
      </w:pPr>
      <w:r>
        <w:rPr>
          <w:rFonts w:ascii="Open Sans" w:cs="Open Sans" w:eastAsia="Open Sans" w:hAnsi="Open Sans"/>
          <w:color w:val="222222"/>
          <w:sz w:val="21"/>
          <w:szCs w:val="21"/>
        </w:rPr>
        <w:t xml:space="preserve">A single monthly page: revenue by product, cost by line, gross margin and cash position. This is the first document a bank, grant assessor or investor asks for, and it follows automatically once R1 and R2 are running.</w:t>
      </w:r>
    </w:p>
    <w:p>
      <w:pPr>
        <w:pStyle w:val="Heading2"/>
        <w:spacing w:after="100" w:before="240"/>
      </w:pPr>
      <w:r>
        <w:rPr>
          <w:rFonts w:ascii="Montserrat" w:cs="Montserrat" w:eastAsia="Montserrat" w:hAnsi="Montserrat"/>
          <w:b/>
          <w:bCs/>
          <w:color w:val="1F5E3B"/>
          <w:sz w:val="23"/>
          <w:szCs w:val="23"/>
        </w:rPr>
        <w:t xml:space="preserve">R7. Close the food safety and quality documentation gap</w:t>
      </w:r>
    </w:p>
    <w:p>
      <w:pPr>
        <w:spacing w:after="80"/>
      </w:pPr>
      <w:r>
        <w:rPr>
          <w:rFonts w:ascii="Open Sans" w:cs="Open Sans" w:eastAsia="Open Sans" w:hAnsi="Open Sans"/>
          <w:b/>
          <w:bCs/>
          <w:color w:val="C89B3C"/>
          <w:sz w:val="18"/>
          <w:szCs w:val="18"/>
        </w:rPr>
        <w:t xml:space="preserve">Timing: Weeks 10 to 14   ·   Capital required: Moderate: statutory fees</w:t>
      </w:r>
    </w:p>
    <w:p>
      <w:pPr>
        <w:spacing w:after="140" w:line="300"/>
      </w:pPr>
      <w:r>
        <w:rPr>
          <w:rFonts w:ascii="Open Sans" w:cs="Open Sans" w:eastAsia="Open Sans" w:hAnsi="Open Sans"/>
          <w:color w:val="222222"/>
          <w:sz w:val="21"/>
          <w:szCs w:val="21"/>
        </w:rPr>
        <w:t xml:space="preserve">Complete and document food safety product registration and the associated facility requirements. Without it, the institutional buyer segment named in the plan is unreachable.</w:t>
      </w:r>
    </w:p>
    <w:p>
      <w:pPr>
        <w:pStyle w:val="Heading2"/>
        <w:spacing w:after="100" w:before="240"/>
      </w:pPr>
      <w:r>
        <w:rPr>
          <w:rFonts w:ascii="Montserrat" w:cs="Montserrat" w:eastAsia="Montserrat" w:hAnsi="Montserrat"/>
          <w:b/>
          <w:bCs/>
          <w:color w:val="1F5E3B"/>
          <w:sz w:val="23"/>
          <w:szCs w:val="23"/>
        </w:rPr>
        <w:t xml:space="preserve">R8. Reconcile and reissue the business plan</w:t>
      </w:r>
    </w:p>
    <w:p>
      <w:pPr>
        <w:spacing w:after="80"/>
      </w:pPr>
      <w:r>
        <w:rPr>
          <w:rFonts w:ascii="Open Sans" w:cs="Open Sans" w:eastAsia="Open Sans" w:hAnsi="Open Sans"/>
          <w:b/>
          <w:bCs/>
          <w:color w:val="C89B3C"/>
          <w:sz w:val="18"/>
          <w:szCs w:val="18"/>
        </w:rPr>
        <w:t xml:space="preserve">Timing: Weeks 10 to 14   ·   Capital required: None</w:t>
      </w:r>
    </w:p>
    <w:p>
      <w:pPr>
        <w:spacing w:after="140" w:line="300"/>
      </w:pPr>
      <w:r>
        <w:rPr>
          <w:rFonts w:ascii="Open Sans" w:cs="Open Sans" w:eastAsia="Open Sans" w:hAnsi="Open Sans"/>
          <w:color w:val="222222"/>
          <w:sz w:val="21"/>
          <w:szCs w:val="21"/>
        </w:rPr>
        <w:t xml:space="preserve">Resolve the throughput contradiction; align the company profile with the business plan on actual operating status; define the revenue unit and cycle period; add by-product revenue lines; explain or reallocate the water treatment capital; correct the inconsistent entries; and withdraw all prior copies.</w:t>
      </w:r>
    </w:p>
    <w:p>
      <w:pPr>
        <w:pStyle w:val="Heading1"/>
        <w:spacing w:after="160" w:before="360"/>
      </w:pPr>
      <w:r>
        <w:rPr>
          <w:rFonts w:ascii="Montserrat" w:cs="Montserrat" w:eastAsia="Montserrat" w:hAnsi="Montserrat"/>
          <w:b/>
          <w:bCs/>
          <w:color w:val="1F5E3B"/>
          <w:sz w:val="30"/>
          <w:szCs w:val="30"/>
        </w:rPr>
        <w:t xml:space="preserve">6. 90-Day Implementation Roadmap</w:t>
      </w:r>
    </w:p>
    <w:p>
      <w:pPr>
        <w:spacing w:after="140" w:line="300"/>
      </w:pPr>
      <w:r>
        <w:rPr>
          <w:rFonts w:ascii="Open Sans" w:cs="Open Sans" w:eastAsia="Open Sans" w:hAnsi="Open Sans"/>
          <w:color w:val="222222"/>
          <w:sz w:val="21"/>
          <w:szCs w:val="21"/>
        </w:rPr>
        <w:t xml:space="preserve">Cost and production records come first; everything else depends on them.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1100"/>
        <w:gridCol w:w="3626"/>
      </w:tblGrid>
      <w:tr>
        <w:trPr>
          <w:tblHeader/>
        </w:trPr>
        <w:tc>
          <w:tcPr>
            <w:tcW w:type="dxa" w:w="2600"/>
            <w:tcBorders>
              <w:top w:val="single" w:color="BFBFBF" w:sz="4"/>
              <w:left w:val="single" w:color="BFBFBF" w:sz="4"/>
              <w:bottom w:val="single" w:color="BFBFBF" w:sz="4"/>
              <w:right w:val="single" w:color="BFBFBF" w:sz="4"/>
            </w:tcBorders>
            <w:shd w:fill="1F5E3B" w:color="auto" w:val="clear"/>
            <w:tcMar>
              <w:top w:type="dxa" w:w="70"/>
              <w:left w:type="dxa" w:w="110"/>
              <w:bottom w:type="dxa" w:w="70"/>
              <w:right w:type="dxa" w:w="110"/>
            </w:tcMar>
          </w:tcPr>
          <w:p>
            <w:r>
              <w:rPr>
                <w:rFonts w:ascii="Montserrat" w:cs="Montserrat" w:eastAsia="Montserrat" w:hAnsi="Montserrat"/>
                <w:b/>
                <w:bCs/>
                <w:color w:val="FFFFFF"/>
                <w:sz w:val="17"/>
                <w:szCs w:val="17"/>
              </w:rPr>
              <w:t xml:space="preserve">Recommendation</w:t>
            </w:r>
          </w:p>
        </w:tc>
        <w:tc>
          <w:tcPr>
            <w:tcW w:type="dxa" w:w="1700"/>
            <w:tcBorders>
              <w:top w:val="single" w:color="BFBFBF" w:sz="4"/>
              <w:left w:val="single" w:color="BFBFBF" w:sz="4"/>
              <w:bottom w:val="single" w:color="BFBFBF" w:sz="4"/>
              <w:right w:val="single" w:color="BFBFBF" w:sz="4"/>
            </w:tcBorders>
            <w:shd w:fill="1F5E3B" w:color="auto" w:val="clear"/>
            <w:tcMar>
              <w:top w:type="dxa" w:w="70"/>
              <w:left w:type="dxa" w:w="110"/>
              <w:bottom w:type="dxa" w:w="70"/>
              <w:right w:type="dxa" w:w="110"/>
            </w:tcMar>
          </w:tcPr>
          <w:p>
            <w:r>
              <w:rPr>
                <w:rFonts w:ascii="Montserrat" w:cs="Montserrat" w:eastAsia="Montserrat" w:hAnsi="Montserrat"/>
                <w:b/>
                <w:bCs/>
                <w:color w:val="FFFFFF"/>
                <w:sz w:val="17"/>
                <w:szCs w:val="17"/>
              </w:rPr>
              <w:t xml:space="preserve">Owner</w:t>
            </w:r>
          </w:p>
        </w:tc>
        <w:tc>
          <w:tcPr>
            <w:tcW w:type="dxa" w:w="1100"/>
            <w:tcBorders>
              <w:top w:val="single" w:color="BFBFBF" w:sz="4"/>
              <w:left w:val="single" w:color="BFBFBF" w:sz="4"/>
              <w:bottom w:val="single" w:color="BFBFBF" w:sz="4"/>
              <w:right w:val="single" w:color="BFBFBF" w:sz="4"/>
            </w:tcBorders>
            <w:shd w:fill="1F5E3B" w:color="auto" w:val="clear"/>
            <w:tcMar>
              <w:top w:type="dxa" w:w="70"/>
              <w:left w:type="dxa" w:w="110"/>
              <w:bottom w:type="dxa" w:w="70"/>
              <w:right w:type="dxa" w:w="110"/>
            </w:tcMar>
          </w:tcPr>
          <w:p>
            <w:r>
              <w:rPr>
                <w:rFonts w:ascii="Montserrat" w:cs="Montserrat" w:eastAsia="Montserrat" w:hAnsi="Montserrat"/>
                <w:b/>
                <w:bCs/>
                <w:color w:val="FFFFFF"/>
                <w:sz w:val="17"/>
                <w:szCs w:val="17"/>
              </w:rPr>
              <w:t xml:space="preserve">Review</w:t>
            </w:r>
          </w:p>
        </w:tc>
        <w:tc>
          <w:tcPr>
            <w:tcW w:type="dxa" w:w="3626"/>
            <w:tcBorders>
              <w:top w:val="single" w:color="BFBFBF" w:sz="4"/>
              <w:left w:val="single" w:color="BFBFBF" w:sz="4"/>
              <w:bottom w:val="single" w:color="BFBFBF" w:sz="4"/>
              <w:right w:val="single" w:color="BFBFBF" w:sz="4"/>
            </w:tcBorders>
            <w:shd w:fill="1F5E3B" w:color="auto" w:val="clear"/>
            <w:tcMar>
              <w:top w:type="dxa" w:w="70"/>
              <w:left w:type="dxa" w:w="110"/>
              <w:bottom w:type="dxa" w:w="70"/>
              <w:right w:type="dxa" w:w="110"/>
            </w:tcMar>
          </w:tcPr>
          <w:p>
            <w:r>
              <w:rPr>
                <w:rFonts w:ascii="Montserrat" w:cs="Montserrat" w:eastAsia="Montserrat" w:hAnsi="Montserrat"/>
                <w:b/>
                <w:bCs/>
                <w:color w:val="FFFFFF"/>
                <w:sz w:val="17"/>
                <w:szCs w:val="17"/>
              </w:rPr>
              <w:t xml:space="preserve">Evidence of completion</w:t>
            </w:r>
          </w:p>
        </w:tc>
      </w:tr>
      <w:tr>
        <w:trPr>
          <w:tblHeader w:val="false"/>
        </w:trPr>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Open Sans" w:cs="Open Sans" w:eastAsia="Open Sans" w:hAnsi="Open Sans"/>
                <w:b w:val="false"/>
                <w:bCs w:val="false"/>
                <w:color w:val="222222"/>
                <w:sz w:val="19"/>
                <w:szCs w:val="19"/>
              </w:rPr>
              <w:t xml:space="preserve">R1 Unit costing sheet</w:t>
            </w: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Open Sans" w:cs="Open Sans" w:eastAsia="Open Sans" w:hAnsi="Open Sans"/>
                <w:b w:val="false"/>
                <w:bCs w:val="false"/>
                <w:color w:val="222222"/>
                <w:sz w:val="19"/>
                <w:szCs w:val="19"/>
              </w:rPr>
              <w:t xml:space="preserve">Founder / Accountant</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Open Sans" w:cs="Open Sans" w:eastAsia="Open Sans" w:hAnsi="Open Sans"/>
                <w:b w:val="false"/>
                <w:bCs w:val="false"/>
                <w:color w:val="222222"/>
                <w:sz w:val="19"/>
                <w:szCs w:val="19"/>
              </w:rPr>
              <w:t xml:space="preserve">Week 4</w:t>
            </w:r>
          </w:p>
        </w:tc>
        <w:tc>
          <w:tcPr>
            <w:tcW w:type="dxa" w:w="36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Open Sans" w:cs="Open Sans" w:eastAsia="Open Sans" w:hAnsi="Open Sans"/>
                <w:b w:val="false"/>
                <w:bCs w:val="false"/>
                <w:color w:val="222222"/>
                <w:sz w:val="19"/>
                <w:szCs w:val="19"/>
              </w:rPr>
              <w:t xml:space="preserve">Signed cost sheet showing cost per litre and per drum</w:t>
            </w:r>
          </w:p>
        </w:tc>
      </w:tr>
      <w:tr>
        <w:trPr>
          <w:tblHeader w:val="false"/>
        </w:trPr>
        <w:tc>
          <w:tcPr>
            <w:tcW w:type="dxa" w:w="2600"/>
            <w:tcBorders>
              <w:top w:val="single" w:color="BFBFBF" w:sz="4"/>
              <w:left w:val="single" w:color="BFBFBF" w:sz="4"/>
              <w:bottom w:val="single" w:color="BFBFBF" w:sz="4"/>
              <w:right w:val="single" w:color="BFBFBF" w:sz="4"/>
            </w:tcBorders>
            <w:shd w:fill="F7F5EF" w:color="auto" w:val="clear"/>
            <w:tcMar>
              <w:top w:type="dxa" w:w="70"/>
              <w:left w:type="dxa" w:w="110"/>
              <w:bottom w:type="dxa" w:w="70"/>
              <w:right w:type="dxa" w:w="110"/>
            </w:tcMar>
          </w:tcPr>
          <w:p>
            <w:r>
              <w:rPr>
                <w:rFonts w:ascii="Open Sans" w:cs="Open Sans" w:eastAsia="Open Sans" w:hAnsi="Open Sans"/>
                <w:b w:val="false"/>
                <w:bCs w:val="false"/>
                <w:color w:val="222222"/>
                <w:sz w:val="19"/>
                <w:szCs w:val="19"/>
              </w:rPr>
              <w:t xml:space="preserve">R2 Daily production log</w:t>
            </w:r>
          </w:p>
        </w:tc>
        <w:tc>
          <w:tcPr>
            <w:tcW w:type="dxa" w:w="1700"/>
            <w:tcBorders>
              <w:top w:val="single" w:color="BFBFBF" w:sz="4"/>
              <w:left w:val="single" w:color="BFBFBF" w:sz="4"/>
              <w:bottom w:val="single" w:color="BFBFBF" w:sz="4"/>
              <w:right w:val="single" w:color="BFBFBF" w:sz="4"/>
            </w:tcBorders>
            <w:shd w:fill="F7F5EF" w:color="auto" w:val="clear"/>
            <w:tcMar>
              <w:top w:type="dxa" w:w="70"/>
              <w:left w:type="dxa" w:w="110"/>
              <w:bottom w:type="dxa" w:w="70"/>
              <w:right w:type="dxa" w:w="110"/>
            </w:tcMar>
          </w:tcPr>
          <w:p>
            <w:r>
              <w:rPr>
                <w:rFonts w:ascii="Open Sans" w:cs="Open Sans" w:eastAsia="Open Sans" w:hAnsi="Open Sans"/>
                <w:b w:val="false"/>
                <w:bCs w:val="false"/>
                <w:color w:val="222222"/>
                <w:sz w:val="19"/>
                <w:szCs w:val="19"/>
              </w:rPr>
              <w:t xml:space="preserve">Production Officer</w:t>
            </w:r>
          </w:p>
        </w:tc>
        <w:tc>
          <w:tcPr>
            <w:tcW w:type="dxa" w:w="1100"/>
            <w:tcBorders>
              <w:top w:val="single" w:color="BFBFBF" w:sz="4"/>
              <w:left w:val="single" w:color="BFBFBF" w:sz="4"/>
              <w:bottom w:val="single" w:color="BFBFBF" w:sz="4"/>
              <w:right w:val="single" w:color="BFBFBF" w:sz="4"/>
            </w:tcBorders>
            <w:shd w:fill="F7F5EF" w:color="auto" w:val="clear"/>
            <w:tcMar>
              <w:top w:type="dxa" w:w="70"/>
              <w:left w:type="dxa" w:w="110"/>
              <w:bottom w:type="dxa" w:w="70"/>
              <w:right w:type="dxa" w:w="110"/>
            </w:tcMar>
          </w:tcPr>
          <w:p>
            <w:r>
              <w:rPr>
                <w:rFonts w:ascii="Open Sans" w:cs="Open Sans" w:eastAsia="Open Sans" w:hAnsi="Open Sans"/>
                <w:b w:val="false"/>
                <w:bCs w:val="false"/>
                <w:color w:val="222222"/>
                <w:sz w:val="19"/>
                <w:szCs w:val="19"/>
              </w:rPr>
              <w:t xml:space="preserve">Week 6</w:t>
            </w:r>
          </w:p>
        </w:tc>
        <w:tc>
          <w:tcPr>
            <w:tcW w:type="dxa" w:w="3626"/>
            <w:tcBorders>
              <w:top w:val="single" w:color="BFBFBF" w:sz="4"/>
              <w:left w:val="single" w:color="BFBFBF" w:sz="4"/>
              <w:bottom w:val="single" w:color="BFBFBF" w:sz="4"/>
              <w:right w:val="single" w:color="BFBFBF" w:sz="4"/>
            </w:tcBorders>
            <w:shd w:fill="F7F5EF" w:color="auto" w:val="clear"/>
            <w:tcMar>
              <w:top w:type="dxa" w:w="70"/>
              <w:left w:type="dxa" w:w="110"/>
              <w:bottom w:type="dxa" w:w="70"/>
              <w:right w:type="dxa" w:w="110"/>
            </w:tcMar>
          </w:tcPr>
          <w:p>
            <w:r>
              <w:rPr>
                <w:rFonts w:ascii="Open Sans" w:cs="Open Sans" w:eastAsia="Open Sans" w:hAnsi="Open Sans"/>
                <w:b w:val="false"/>
                <w:bCs w:val="false"/>
                <w:color w:val="222222"/>
                <w:sz w:val="19"/>
                <w:szCs w:val="19"/>
              </w:rPr>
              <w:t xml:space="preserve">Six weeks of completed daily entries; weekly OER calculated</w:t>
            </w:r>
          </w:p>
        </w:tc>
      </w:tr>
      <w:tr>
        <w:trPr>
          <w:tblHeader w:val="false"/>
        </w:trPr>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Open Sans" w:cs="Open Sans" w:eastAsia="Open Sans" w:hAnsi="Open Sans"/>
                <w:b w:val="false"/>
                <w:bCs w:val="false"/>
                <w:color w:val="222222"/>
                <w:sz w:val="19"/>
                <w:szCs w:val="19"/>
              </w:rPr>
              <w:t xml:space="preserve">R3 Re-pricing</w:t>
            </w: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Open Sans" w:cs="Open Sans" w:eastAsia="Open Sans" w:hAnsi="Open Sans"/>
                <w:b w:val="false"/>
                <w:bCs w:val="false"/>
                <w:color w:val="222222"/>
                <w:sz w:val="19"/>
                <w:szCs w:val="19"/>
              </w:rPr>
              <w:t xml:space="preserve">Founder</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Open Sans" w:cs="Open Sans" w:eastAsia="Open Sans" w:hAnsi="Open Sans"/>
                <w:b w:val="false"/>
                <w:bCs w:val="false"/>
                <w:color w:val="222222"/>
                <w:sz w:val="19"/>
                <w:szCs w:val="19"/>
              </w:rPr>
              <w:t xml:space="preserve">Week 4</w:t>
            </w:r>
          </w:p>
        </w:tc>
        <w:tc>
          <w:tcPr>
            <w:tcW w:type="dxa" w:w="36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Open Sans" w:cs="Open Sans" w:eastAsia="Open Sans" w:hAnsi="Open Sans"/>
                <w:b w:val="false"/>
                <w:bCs w:val="false"/>
                <w:color w:val="222222"/>
                <w:sz w:val="19"/>
                <w:szCs w:val="19"/>
              </w:rPr>
              <w:t xml:space="preserve">Published price list traceable to the cost sheet</w:t>
            </w:r>
          </w:p>
        </w:tc>
      </w:tr>
      <w:tr>
        <w:trPr>
          <w:tblHeader w:val="false"/>
        </w:trPr>
        <w:tc>
          <w:tcPr>
            <w:tcW w:type="dxa" w:w="2600"/>
            <w:tcBorders>
              <w:top w:val="single" w:color="BFBFBF" w:sz="4"/>
              <w:left w:val="single" w:color="BFBFBF" w:sz="4"/>
              <w:bottom w:val="single" w:color="BFBFBF" w:sz="4"/>
              <w:right w:val="single" w:color="BFBFBF" w:sz="4"/>
            </w:tcBorders>
            <w:shd w:fill="F7F5EF" w:color="auto" w:val="clear"/>
            <w:tcMar>
              <w:top w:type="dxa" w:w="70"/>
              <w:left w:type="dxa" w:w="110"/>
              <w:bottom w:type="dxa" w:w="70"/>
              <w:right w:type="dxa" w:w="110"/>
            </w:tcMar>
          </w:tcPr>
          <w:p>
            <w:r>
              <w:rPr>
                <w:rFonts w:ascii="Open Sans" w:cs="Open Sans" w:eastAsia="Open Sans" w:hAnsi="Open Sans"/>
                <w:b w:val="false"/>
                <w:bCs w:val="false"/>
                <w:color w:val="222222"/>
                <w:sz w:val="19"/>
                <w:szCs w:val="19"/>
              </w:rPr>
              <w:t xml:space="preserve">R4 Energy review</w:t>
            </w:r>
          </w:p>
        </w:tc>
        <w:tc>
          <w:tcPr>
            <w:tcW w:type="dxa" w:w="1700"/>
            <w:tcBorders>
              <w:top w:val="single" w:color="BFBFBF" w:sz="4"/>
              <w:left w:val="single" w:color="BFBFBF" w:sz="4"/>
              <w:bottom w:val="single" w:color="BFBFBF" w:sz="4"/>
              <w:right w:val="single" w:color="BFBFBF" w:sz="4"/>
            </w:tcBorders>
            <w:shd w:fill="F7F5EF" w:color="auto" w:val="clear"/>
            <w:tcMar>
              <w:top w:type="dxa" w:w="70"/>
              <w:left w:type="dxa" w:w="110"/>
              <w:bottom w:type="dxa" w:w="70"/>
              <w:right w:type="dxa" w:w="110"/>
            </w:tcMar>
          </w:tcPr>
          <w:p>
            <w:r>
              <w:rPr>
                <w:rFonts w:ascii="Open Sans" w:cs="Open Sans" w:eastAsia="Open Sans" w:hAnsi="Open Sans"/>
                <w:b w:val="false"/>
                <w:bCs w:val="false"/>
                <w:color w:val="222222"/>
                <w:sz w:val="19"/>
                <w:szCs w:val="19"/>
              </w:rPr>
              <w:t xml:space="preserve">Production Officer</w:t>
            </w:r>
          </w:p>
        </w:tc>
        <w:tc>
          <w:tcPr>
            <w:tcW w:type="dxa" w:w="1100"/>
            <w:tcBorders>
              <w:top w:val="single" w:color="BFBFBF" w:sz="4"/>
              <w:left w:val="single" w:color="BFBFBF" w:sz="4"/>
              <w:bottom w:val="single" w:color="BFBFBF" w:sz="4"/>
              <w:right w:val="single" w:color="BFBFBF" w:sz="4"/>
            </w:tcBorders>
            <w:shd w:fill="F7F5EF" w:color="auto" w:val="clear"/>
            <w:tcMar>
              <w:top w:type="dxa" w:w="70"/>
              <w:left w:type="dxa" w:w="110"/>
              <w:bottom w:type="dxa" w:w="70"/>
              <w:right w:type="dxa" w:w="110"/>
            </w:tcMar>
          </w:tcPr>
          <w:p>
            <w:r>
              <w:rPr>
                <w:rFonts w:ascii="Open Sans" w:cs="Open Sans" w:eastAsia="Open Sans" w:hAnsi="Open Sans"/>
                <w:b w:val="false"/>
                <w:bCs w:val="false"/>
                <w:color w:val="222222"/>
                <w:sz w:val="19"/>
                <w:szCs w:val="19"/>
              </w:rPr>
              <w:t xml:space="preserve">Week 6</w:t>
            </w:r>
          </w:p>
        </w:tc>
        <w:tc>
          <w:tcPr>
            <w:tcW w:type="dxa" w:w="3626"/>
            <w:tcBorders>
              <w:top w:val="single" w:color="BFBFBF" w:sz="4"/>
              <w:left w:val="single" w:color="BFBFBF" w:sz="4"/>
              <w:bottom w:val="single" w:color="BFBFBF" w:sz="4"/>
              <w:right w:val="single" w:color="BFBFBF" w:sz="4"/>
            </w:tcBorders>
            <w:shd w:fill="F7F5EF" w:color="auto" w:val="clear"/>
            <w:tcMar>
              <w:top w:type="dxa" w:w="70"/>
              <w:left w:type="dxa" w:w="110"/>
              <w:bottom w:type="dxa" w:w="70"/>
              <w:right w:type="dxa" w:w="110"/>
            </w:tcMar>
          </w:tcPr>
          <w:p>
            <w:r>
              <w:rPr>
                <w:rFonts w:ascii="Open Sans" w:cs="Open Sans" w:eastAsia="Open Sans" w:hAnsi="Open Sans"/>
                <w:b w:val="false"/>
                <w:bCs w:val="false"/>
                <w:color w:val="222222"/>
                <w:sz w:val="19"/>
                <w:szCs w:val="19"/>
              </w:rPr>
              <w:t xml:space="preserve">Meter readings plus current tariff schedule on file</w:t>
            </w:r>
          </w:p>
        </w:tc>
      </w:tr>
      <w:tr>
        <w:trPr>
          <w:tblHeader w:val="false"/>
        </w:trPr>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Open Sans" w:cs="Open Sans" w:eastAsia="Open Sans" w:hAnsi="Open Sans"/>
                <w:b w:val="false"/>
                <w:bCs w:val="false"/>
                <w:color w:val="222222"/>
                <w:sz w:val="19"/>
                <w:szCs w:val="19"/>
              </w:rPr>
              <w:t xml:space="preserve">R5 Outgrower agreements</w:t>
            </w: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Open Sans" w:cs="Open Sans" w:eastAsia="Open Sans" w:hAnsi="Open Sans"/>
                <w:b w:val="false"/>
                <w:bCs w:val="false"/>
                <w:color w:val="222222"/>
                <w:sz w:val="19"/>
                <w:szCs w:val="19"/>
              </w:rPr>
              <w:t xml:space="preserve">Founder</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Open Sans" w:cs="Open Sans" w:eastAsia="Open Sans" w:hAnsi="Open Sans"/>
                <w:b w:val="false"/>
                <w:bCs w:val="false"/>
                <w:color w:val="222222"/>
                <w:sz w:val="19"/>
                <w:szCs w:val="19"/>
              </w:rPr>
              <w:t xml:space="preserve">Week 10</w:t>
            </w:r>
          </w:p>
        </w:tc>
        <w:tc>
          <w:tcPr>
            <w:tcW w:type="dxa" w:w="36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Open Sans" w:cs="Open Sans" w:eastAsia="Open Sans" w:hAnsi="Open Sans"/>
                <w:b w:val="false"/>
                <w:bCs w:val="false"/>
                <w:color w:val="222222"/>
                <w:sz w:val="19"/>
                <w:szCs w:val="19"/>
              </w:rPr>
              <w:t xml:space="preserve">Signed one-page agreement per active outgrower</w:t>
            </w:r>
          </w:p>
        </w:tc>
      </w:tr>
      <w:tr>
        <w:trPr>
          <w:tblHeader w:val="false"/>
        </w:trPr>
        <w:tc>
          <w:tcPr>
            <w:tcW w:type="dxa" w:w="2600"/>
            <w:tcBorders>
              <w:top w:val="single" w:color="BFBFBF" w:sz="4"/>
              <w:left w:val="single" w:color="BFBFBF" w:sz="4"/>
              <w:bottom w:val="single" w:color="BFBFBF" w:sz="4"/>
              <w:right w:val="single" w:color="BFBFBF" w:sz="4"/>
            </w:tcBorders>
            <w:shd w:fill="F7F5EF" w:color="auto" w:val="clear"/>
            <w:tcMar>
              <w:top w:type="dxa" w:w="70"/>
              <w:left w:type="dxa" w:w="110"/>
              <w:bottom w:type="dxa" w:w="70"/>
              <w:right w:type="dxa" w:w="110"/>
            </w:tcMar>
          </w:tcPr>
          <w:p>
            <w:r>
              <w:rPr>
                <w:rFonts w:ascii="Open Sans" w:cs="Open Sans" w:eastAsia="Open Sans" w:hAnsi="Open Sans"/>
                <w:b w:val="false"/>
                <w:bCs w:val="false"/>
                <w:color w:val="222222"/>
                <w:sz w:val="19"/>
                <w:szCs w:val="19"/>
              </w:rPr>
              <w:t xml:space="preserve">R6 Management accounts</w:t>
            </w:r>
          </w:p>
        </w:tc>
        <w:tc>
          <w:tcPr>
            <w:tcW w:type="dxa" w:w="1700"/>
            <w:tcBorders>
              <w:top w:val="single" w:color="BFBFBF" w:sz="4"/>
              <w:left w:val="single" w:color="BFBFBF" w:sz="4"/>
              <w:bottom w:val="single" w:color="BFBFBF" w:sz="4"/>
              <w:right w:val="single" w:color="BFBFBF" w:sz="4"/>
            </w:tcBorders>
            <w:shd w:fill="F7F5EF" w:color="auto" w:val="clear"/>
            <w:tcMar>
              <w:top w:type="dxa" w:w="70"/>
              <w:left w:type="dxa" w:w="110"/>
              <w:bottom w:type="dxa" w:w="70"/>
              <w:right w:type="dxa" w:w="110"/>
            </w:tcMar>
          </w:tcPr>
          <w:p>
            <w:r>
              <w:rPr>
                <w:rFonts w:ascii="Open Sans" w:cs="Open Sans" w:eastAsia="Open Sans" w:hAnsi="Open Sans"/>
                <w:b w:val="false"/>
                <w:bCs w:val="false"/>
                <w:color w:val="222222"/>
                <w:sz w:val="19"/>
                <w:szCs w:val="19"/>
              </w:rPr>
              <w:t xml:space="preserve">Accountant</w:t>
            </w:r>
          </w:p>
        </w:tc>
        <w:tc>
          <w:tcPr>
            <w:tcW w:type="dxa" w:w="1100"/>
            <w:tcBorders>
              <w:top w:val="single" w:color="BFBFBF" w:sz="4"/>
              <w:left w:val="single" w:color="BFBFBF" w:sz="4"/>
              <w:bottom w:val="single" w:color="BFBFBF" w:sz="4"/>
              <w:right w:val="single" w:color="BFBFBF" w:sz="4"/>
            </w:tcBorders>
            <w:shd w:fill="F7F5EF" w:color="auto" w:val="clear"/>
            <w:tcMar>
              <w:top w:type="dxa" w:w="70"/>
              <w:left w:type="dxa" w:w="110"/>
              <w:bottom w:type="dxa" w:w="70"/>
              <w:right w:type="dxa" w:w="110"/>
            </w:tcMar>
          </w:tcPr>
          <w:p>
            <w:r>
              <w:rPr>
                <w:rFonts w:ascii="Open Sans" w:cs="Open Sans" w:eastAsia="Open Sans" w:hAnsi="Open Sans"/>
                <w:b w:val="false"/>
                <w:bCs w:val="false"/>
                <w:color w:val="222222"/>
                <w:sz w:val="19"/>
                <w:szCs w:val="19"/>
              </w:rPr>
              <w:t xml:space="preserve">Week 12</w:t>
            </w:r>
          </w:p>
        </w:tc>
        <w:tc>
          <w:tcPr>
            <w:tcW w:type="dxa" w:w="3626"/>
            <w:tcBorders>
              <w:top w:val="single" w:color="BFBFBF" w:sz="4"/>
              <w:left w:val="single" w:color="BFBFBF" w:sz="4"/>
              <w:bottom w:val="single" w:color="BFBFBF" w:sz="4"/>
              <w:right w:val="single" w:color="BFBFBF" w:sz="4"/>
            </w:tcBorders>
            <w:shd w:fill="F7F5EF" w:color="auto" w:val="clear"/>
            <w:tcMar>
              <w:top w:type="dxa" w:w="70"/>
              <w:left w:type="dxa" w:w="110"/>
              <w:bottom w:type="dxa" w:w="70"/>
              <w:right w:type="dxa" w:w="110"/>
            </w:tcMar>
          </w:tcPr>
          <w:p>
            <w:r>
              <w:rPr>
                <w:rFonts w:ascii="Open Sans" w:cs="Open Sans" w:eastAsia="Open Sans" w:hAnsi="Open Sans"/>
                <w:b w:val="false"/>
                <w:bCs w:val="false"/>
                <w:color w:val="222222"/>
                <w:sz w:val="19"/>
                <w:szCs w:val="19"/>
              </w:rPr>
              <w:t xml:space="preserve">First monthly account pack produced</w:t>
            </w:r>
          </w:p>
        </w:tc>
      </w:tr>
      <w:tr>
        <w:trPr>
          <w:tblHeader w:val="false"/>
        </w:trPr>
        <w:tc>
          <w:tcPr>
            <w:tcW w:type="dxa" w:w="26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Open Sans" w:cs="Open Sans" w:eastAsia="Open Sans" w:hAnsi="Open Sans"/>
                <w:b w:val="false"/>
                <w:bCs w:val="false"/>
                <w:color w:val="222222"/>
                <w:sz w:val="19"/>
                <w:szCs w:val="19"/>
              </w:rPr>
              <w:t xml:space="preserve">R7 Food safety documentation</w:t>
            </w:r>
          </w:p>
        </w:tc>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Open Sans" w:cs="Open Sans" w:eastAsia="Open Sans" w:hAnsi="Open Sans"/>
                <w:b w:val="false"/>
                <w:bCs w:val="false"/>
                <w:color w:val="222222"/>
                <w:sz w:val="19"/>
                <w:szCs w:val="19"/>
              </w:rPr>
              <w:t xml:space="preserve">Secretary</w:t>
            </w:r>
          </w:p>
        </w:tc>
        <w:tc>
          <w:tcPr>
            <w:tcW w:type="dxa" w:w="11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Open Sans" w:cs="Open Sans" w:eastAsia="Open Sans" w:hAnsi="Open Sans"/>
                <w:b w:val="false"/>
                <w:bCs w:val="false"/>
                <w:color w:val="222222"/>
                <w:sz w:val="19"/>
                <w:szCs w:val="19"/>
              </w:rPr>
              <w:t xml:space="preserve">Week 14</w:t>
            </w:r>
          </w:p>
        </w:tc>
        <w:tc>
          <w:tcPr>
            <w:tcW w:type="dxa" w:w="36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Open Sans" w:cs="Open Sans" w:eastAsia="Open Sans" w:hAnsi="Open Sans"/>
                <w:b w:val="false"/>
                <w:bCs w:val="false"/>
                <w:color w:val="222222"/>
                <w:sz w:val="19"/>
                <w:szCs w:val="19"/>
              </w:rPr>
              <w:t xml:space="preserve">Registration correspondence and status on file</w:t>
            </w:r>
          </w:p>
        </w:tc>
      </w:tr>
      <w:tr>
        <w:trPr>
          <w:tblHeader w:val="false"/>
        </w:trPr>
        <w:tc>
          <w:tcPr>
            <w:tcW w:type="dxa" w:w="2600"/>
            <w:tcBorders>
              <w:top w:val="single" w:color="BFBFBF" w:sz="4"/>
              <w:left w:val="single" w:color="BFBFBF" w:sz="4"/>
              <w:bottom w:val="single" w:color="BFBFBF" w:sz="4"/>
              <w:right w:val="single" w:color="BFBFBF" w:sz="4"/>
            </w:tcBorders>
            <w:shd w:fill="F7F5EF" w:color="auto" w:val="clear"/>
            <w:tcMar>
              <w:top w:type="dxa" w:w="70"/>
              <w:left w:type="dxa" w:w="110"/>
              <w:bottom w:type="dxa" w:w="70"/>
              <w:right w:type="dxa" w:w="110"/>
            </w:tcMar>
          </w:tcPr>
          <w:p>
            <w:r>
              <w:rPr>
                <w:rFonts w:ascii="Open Sans" w:cs="Open Sans" w:eastAsia="Open Sans" w:hAnsi="Open Sans"/>
                <w:b w:val="false"/>
                <w:bCs w:val="false"/>
                <w:color w:val="222222"/>
                <w:sz w:val="19"/>
                <w:szCs w:val="19"/>
              </w:rPr>
              <w:t xml:space="preserve">R8 Plan reissue</w:t>
            </w:r>
          </w:p>
        </w:tc>
        <w:tc>
          <w:tcPr>
            <w:tcW w:type="dxa" w:w="1700"/>
            <w:tcBorders>
              <w:top w:val="single" w:color="BFBFBF" w:sz="4"/>
              <w:left w:val="single" w:color="BFBFBF" w:sz="4"/>
              <w:bottom w:val="single" w:color="BFBFBF" w:sz="4"/>
              <w:right w:val="single" w:color="BFBFBF" w:sz="4"/>
            </w:tcBorders>
            <w:shd w:fill="F7F5EF" w:color="auto" w:val="clear"/>
            <w:tcMar>
              <w:top w:type="dxa" w:w="70"/>
              <w:left w:type="dxa" w:w="110"/>
              <w:bottom w:type="dxa" w:w="70"/>
              <w:right w:type="dxa" w:w="110"/>
            </w:tcMar>
          </w:tcPr>
          <w:p>
            <w:r>
              <w:rPr>
                <w:rFonts w:ascii="Open Sans" w:cs="Open Sans" w:eastAsia="Open Sans" w:hAnsi="Open Sans"/>
                <w:b w:val="false"/>
                <w:bCs w:val="false"/>
                <w:color w:val="222222"/>
                <w:sz w:val="19"/>
                <w:szCs w:val="19"/>
              </w:rPr>
              <w:t xml:space="preserve">Founder</w:t>
            </w:r>
          </w:p>
        </w:tc>
        <w:tc>
          <w:tcPr>
            <w:tcW w:type="dxa" w:w="1100"/>
            <w:tcBorders>
              <w:top w:val="single" w:color="BFBFBF" w:sz="4"/>
              <w:left w:val="single" w:color="BFBFBF" w:sz="4"/>
              <w:bottom w:val="single" w:color="BFBFBF" w:sz="4"/>
              <w:right w:val="single" w:color="BFBFBF" w:sz="4"/>
            </w:tcBorders>
            <w:shd w:fill="F7F5EF" w:color="auto" w:val="clear"/>
            <w:tcMar>
              <w:top w:type="dxa" w:w="70"/>
              <w:left w:type="dxa" w:w="110"/>
              <w:bottom w:type="dxa" w:w="70"/>
              <w:right w:type="dxa" w:w="110"/>
            </w:tcMar>
          </w:tcPr>
          <w:p>
            <w:r>
              <w:rPr>
                <w:rFonts w:ascii="Open Sans" w:cs="Open Sans" w:eastAsia="Open Sans" w:hAnsi="Open Sans"/>
                <w:b w:val="false"/>
                <w:bCs w:val="false"/>
                <w:color w:val="222222"/>
                <w:sz w:val="19"/>
                <w:szCs w:val="19"/>
              </w:rPr>
              <w:t xml:space="preserve">Week 14</w:t>
            </w:r>
          </w:p>
        </w:tc>
        <w:tc>
          <w:tcPr>
            <w:tcW w:type="dxa" w:w="3626"/>
            <w:tcBorders>
              <w:top w:val="single" w:color="BFBFBF" w:sz="4"/>
              <w:left w:val="single" w:color="BFBFBF" w:sz="4"/>
              <w:bottom w:val="single" w:color="BFBFBF" w:sz="4"/>
              <w:right w:val="single" w:color="BFBFBF" w:sz="4"/>
            </w:tcBorders>
            <w:shd w:fill="F7F5EF" w:color="auto" w:val="clear"/>
            <w:tcMar>
              <w:top w:type="dxa" w:w="70"/>
              <w:left w:type="dxa" w:w="110"/>
              <w:bottom w:type="dxa" w:w="70"/>
              <w:right w:type="dxa" w:w="110"/>
            </w:tcMar>
          </w:tcPr>
          <w:p>
            <w:r>
              <w:rPr>
                <w:rFonts w:ascii="Open Sans" w:cs="Open Sans" w:eastAsia="Open Sans" w:hAnsi="Open Sans"/>
                <w:b w:val="false"/>
                <w:bCs w:val="false"/>
                <w:color w:val="222222"/>
                <w:sz w:val="19"/>
                <w:szCs w:val="19"/>
              </w:rPr>
              <w:t xml:space="preserve">Version-controlled plan; prior copies withdrawn</w:t>
            </w:r>
          </w:p>
        </w:tc>
      </w:tr>
    </w:tbl>
    <w:p>
      <w:pPr>
        <w:pStyle w:val="Heading2"/>
        <w:spacing w:after="100" w:before="240"/>
      </w:pPr>
      <w:r>
        <w:rPr>
          <w:rFonts w:ascii="Montserrat" w:cs="Montserrat" w:eastAsia="Montserrat" w:hAnsi="Montserrat"/>
          <w:b/>
          <w:bCs/>
          <w:color w:val="1F5E3B"/>
          <w:sz w:val="23"/>
          <w:szCs w:val="23"/>
        </w:rPr>
        <w:t xml:space="preserve">Measures of success at 90 days</w:t>
      </w:r>
    </w:p>
    <w:p>
      <w:pPr>
        <w:pStyle w:val="ListParagraph"/>
        <w:numPr>
          <w:ilvl w:val="0"/>
          <w:numId w:val="2"/>
        </w:numPr>
        <w:spacing w:after="80" w:line="290"/>
      </w:pPr>
      <w:r>
        <w:rPr>
          <w:rFonts w:ascii="Open Sans" w:cs="Open Sans" w:eastAsia="Open Sans" w:hAnsi="Open Sans"/>
          <w:color w:val="222222"/>
          <w:sz w:val="21"/>
          <w:szCs w:val="21"/>
        </w:rPr>
        <w:t xml:space="preserve">The founder can state the cost of producing one drum of oil, and show the working.</w:t>
      </w:r>
    </w:p>
    <w:p>
      <w:pPr>
        <w:pStyle w:val="ListParagraph"/>
        <w:numPr>
          <w:ilvl w:val="0"/>
          <w:numId w:val="2"/>
        </w:numPr>
        <w:spacing w:after="80" w:line="290"/>
      </w:pPr>
      <w:r>
        <w:rPr>
          <w:rFonts w:ascii="Open Sans" w:cs="Open Sans" w:eastAsia="Open Sans" w:hAnsi="Open Sans"/>
          <w:color w:val="222222"/>
          <w:sz w:val="21"/>
          <w:szCs w:val="21"/>
        </w:rPr>
        <w:t xml:space="preserve">Extraction rate is calculated every week from a written record.</w:t>
      </w:r>
    </w:p>
    <w:p>
      <w:pPr>
        <w:pStyle w:val="ListParagraph"/>
        <w:numPr>
          <w:ilvl w:val="0"/>
          <w:numId w:val="2"/>
        </w:numPr>
        <w:spacing w:after="80" w:line="290"/>
      </w:pPr>
      <w:r>
        <w:rPr>
          <w:rFonts w:ascii="Open Sans" w:cs="Open Sans" w:eastAsia="Open Sans" w:hAnsi="Open Sans"/>
          <w:color w:val="222222"/>
          <w:sz w:val="21"/>
          <w:szCs w:val="21"/>
        </w:rPr>
        <w:t xml:space="preserve">Every product price is traceable to a cost line.</w:t>
      </w:r>
    </w:p>
    <w:p>
      <w:pPr>
        <w:pStyle w:val="ListParagraph"/>
        <w:numPr>
          <w:ilvl w:val="0"/>
          <w:numId w:val="2"/>
        </w:numPr>
        <w:spacing w:after="80" w:line="290"/>
      </w:pPr>
      <w:r>
        <w:rPr>
          <w:rFonts w:ascii="Open Sans" w:cs="Open Sans" w:eastAsia="Open Sans" w:hAnsi="Open Sans"/>
          <w:color w:val="222222"/>
          <w:sz w:val="21"/>
          <w:szCs w:val="21"/>
        </w:rPr>
        <w:t xml:space="preserve">Every active outgrower relationship is on paper.</w:t>
      </w:r>
    </w:p>
    <w:p>
      <w:pPr>
        <w:pStyle w:val="ListParagraph"/>
        <w:numPr>
          <w:ilvl w:val="0"/>
          <w:numId w:val="2"/>
        </w:numPr>
        <w:spacing w:after="80" w:line="290"/>
      </w:pPr>
      <w:r>
        <w:rPr>
          <w:rFonts w:ascii="Open Sans" w:cs="Open Sans" w:eastAsia="Open Sans" w:hAnsi="Open Sans"/>
          <w:color w:val="222222"/>
          <w:sz w:val="21"/>
          <w:szCs w:val="21"/>
        </w:rPr>
        <w:t xml:space="preserve">One monthly management account pack has been produced without external help.</w:t>
      </w:r>
    </w:p>
    <w:p>
      <w:pPr>
        <w:pStyle w:val="Heading1"/>
        <w:spacing w:after="160" w:before="360"/>
      </w:pPr>
      <w:r>
        <w:rPr>
          <w:rFonts w:ascii="Montserrat" w:cs="Montserrat" w:eastAsia="Montserrat" w:hAnsi="Montserrat"/>
          <w:b/>
          <w:bCs/>
          <w:color w:val="1F5E3B"/>
          <w:sz w:val="30"/>
          <w:szCs w:val="30"/>
        </w:rPr>
        <w:t xml:space="preserve">7. Limitations of This Report</w:t>
      </w:r>
    </w:p>
    <w:p>
      <w:pPr>
        <w:spacing w:after="140" w:line="300"/>
      </w:pPr>
      <w:r>
        <w:rPr>
          <w:rFonts w:ascii="Open Sans" w:cs="Open Sans" w:eastAsia="Open Sans" w:hAnsi="Open Sans"/>
          <w:color w:val="222222"/>
          <w:sz w:val="21"/>
          <w:szCs w:val="21"/>
        </w:rPr>
        <w:t xml:space="preserve">This diagnostic was delivered as a free pilot, based on a structured interview and a review of client documents. It is deliberately transparent about what it does not know.</w:t>
      </w:r>
    </w:p>
    <w:p>
      <w:pPr>
        <w:pStyle w:val="ListParagraph"/>
        <w:numPr>
          <w:ilvl w:val="0"/>
          <w:numId w:val="2"/>
        </w:numPr>
        <w:spacing w:after="80" w:line="290"/>
      </w:pPr>
      <w:r>
        <w:rPr>
          <w:rFonts w:ascii="Open Sans" w:cs="Open Sans" w:eastAsia="Open Sans" w:hAnsi="Open Sans"/>
          <w:color w:val="222222"/>
          <w:sz w:val="21"/>
          <w:szCs w:val="21"/>
        </w:rPr>
        <w:t xml:space="preserve">No site visit, mill inspection or plantation walk-through formed part of this engagement. This was agreed in advance and is not an omission.</w:t>
      </w:r>
    </w:p>
    <w:p>
      <w:pPr>
        <w:pStyle w:val="ListParagraph"/>
        <w:numPr>
          <w:ilvl w:val="0"/>
          <w:numId w:val="2"/>
        </w:numPr>
        <w:spacing w:after="80" w:line="290"/>
      </w:pPr>
      <w:r>
        <w:rPr>
          <w:rFonts w:ascii="Open Sans" w:cs="Open Sans" w:eastAsia="Open Sans" w:hAnsi="Open Sans"/>
          <w:color w:val="222222"/>
          <w:sz w:val="21"/>
          <w:szCs w:val="21"/>
        </w:rPr>
        <w:t xml:space="preserve">Statements made by the founder in the interview are recorded as reported; AVAC has not independently verified them.</w:t>
      </w:r>
    </w:p>
    <w:p>
      <w:pPr>
        <w:pStyle w:val="ListParagraph"/>
        <w:numPr>
          <w:ilvl w:val="0"/>
          <w:numId w:val="2"/>
        </w:numPr>
        <w:spacing w:after="80" w:line="290"/>
      </w:pPr>
      <w:r>
        <w:rPr>
          <w:rFonts w:ascii="Open Sans" w:cs="Open Sans" w:eastAsia="Open Sans" w:hAnsi="Open Sans"/>
          <w:color w:val="222222"/>
          <w:sz w:val="21"/>
          <w:szCs w:val="21"/>
        </w:rPr>
        <w:t xml:space="preserve">Only the founder was interviewed. AVAC’s interview guide recommends 8 to 12 roles for a full picture, so operational and financial answers reflect a single perspective.</w:t>
      </w:r>
    </w:p>
    <w:p>
      <w:pPr>
        <w:pStyle w:val="ListParagraph"/>
        <w:numPr>
          <w:ilvl w:val="0"/>
          <w:numId w:val="2"/>
        </w:numPr>
        <w:spacing w:after="80" w:line="290"/>
      </w:pPr>
      <w:r>
        <w:rPr>
          <w:rFonts w:ascii="Open Sans" w:cs="Open Sans" w:eastAsia="Open Sans" w:hAnsi="Open Sans"/>
          <w:color w:val="222222"/>
          <w:sz w:val="21"/>
          <w:szCs w:val="21"/>
        </w:rPr>
        <w:t xml:space="preserve">No transaction-level record (sales ledger, purchase receipt, bank statement) was reviewed.</w:t>
      </w:r>
    </w:p>
    <w:p>
      <w:pPr>
        <w:pStyle w:val="ListParagraph"/>
        <w:numPr>
          <w:ilvl w:val="0"/>
          <w:numId w:val="2"/>
        </w:numPr>
        <w:spacing w:after="80" w:line="290"/>
      </w:pPr>
      <w:r>
        <w:rPr>
          <w:rFonts w:ascii="Open Sans" w:cs="Open Sans" w:eastAsia="Open Sans" w:hAnsi="Open Sans"/>
          <w:color w:val="222222"/>
          <w:sz w:val="21"/>
          <w:szCs w:val="21"/>
        </w:rPr>
        <w:t xml:space="preserve">The business plan appears to describe a planned rather than an actual operation. Actual current volumes, prices and costs are unknown to AVAC.</w:t>
      </w:r>
    </w:p>
    <w:p>
      <w:pPr>
        <w:pStyle w:val="ListParagraph"/>
        <w:numPr>
          <w:ilvl w:val="0"/>
          <w:numId w:val="2"/>
        </w:numPr>
        <w:spacing w:after="80" w:line="290"/>
      </w:pPr>
      <w:r>
        <w:rPr>
          <w:rFonts w:ascii="Open Sans" w:cs="Open Sans" w:eastAsia="Open Sans" w:hAnsi="Open Sans"/>
          <w:color w:val="222222"/>
          <w:sz w:val="21"/>
          <w:szCs w:val="21"/>
        </w:rPr>
        <w:t xml:space="preserve">All improvement values are indicative estimates modelled on the client’s own cost lines. They are not measured results and must not be quoted as such.</w:t>
      </w:r>
    </w:p>
    <w:p>
      <w:pPr>
        <w:pStyle w:val="ListParagraph"/>
        <w:numPr>
          <w:ilvl w:val="0"/>
          <w:numId w:val="2"/>
        </w:numPr>
        <w:spacing w:after="80" w:line="290"/>
      </w:pPr>
      <w:r>
        <w:rPr>
          <w:rFonts w:ascii="Open Sans" w:cs="Open Sans" w:eastAsia="Open Sans" w:hAnsi="Open Sans"/>
          <w:color w:val="222222"/>
          <w:sz w:val="21"/>
          <w:szCs w:val="21"/>
        </w:rPr>
        <w:t xml:space="preserve">Findings 1 to 3 and 8 to 14 are arithmetic or documentary. Findings 16 to 21 come from the founder’s own words in the interview. Findings 4 to 7 and 15 still require confirmation on site.</w:t>
      </w:r>
    </w:p>
    <w:p>
      <w:pPr>
        <w:spacing w:after="140" w:line="300"/>
      </w:pPr>
      <w:r>
        <w:rPr>
          <w:rFonts w:ascii="Open Sans" w:cs="Open Sans" w:eastAsia="Open Sans" w:hAnsi="Open Sans"/>
          <w:b/>
          <w:bCs/>
          <w:color w:val="222222"/>
          <w:sz w:val="21"/>
          <w:szCs w:val="21"/>
        </w:rPr>
        <w:t xml:space="preserve">A site visit and records review would convert Findings 4 to 7 from documented to verified, and produce the baseline against which the 90-day roadmap is measured. That work sits outside this pilot.</w:t>
      </w:r>
    </w:p>
    <w:p>
      <w:pPr>
        <w:pStyle w:val="Heading1"/>
        <w:spacing w:after="160" w:before="360"/>
      </w:pPr>
      <w:r>
        <w:rPr>
          <w:rFonts w:ascii="Montserrat" w:cs="Montserrat" w:eastAsia="Montserrat" w:hAnsi="Montserrat"/>
          <w:b/>
          <w:bCs/>
          <w:color w:val="1F5E3B"/>
          <w:sz w:val="30"/>
          <w:szCs w:val="30"/>
        </w:rPr>
        <w:t xml:space="preserve">8. Scope of Next Engagement</w:t>
      </w:r>
    </w:p>
    <w:p>
      <w:pPr>
        <w:spacing w:after="140" w:line="300"/>
      </w:pPr>
      <w:r>
        <w:rPr>
          <w:rFonts w:ascii="Open Sans" w:cs="Open Sans" w:eastAsia="Open Sans" w:hAnsi="Open Sans"/>
          <w:color w:val="222222"/>
          <w:sz w:val="21"/>
          <w:szCs w:val="21"/>
        </w:rPr>
        <w:t xml:space="preserve">This pilot was provided at no charge. The work below is the paid continuation; each item is scoped and quoted separately.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BFBFBF" w:sz="4"/>
              <w:left w:val="single" w:color="BFBFBF" w:sz="4"/>
              <w:bottom w:val="single" w:color="BFBFBF" w:sz="4"/>
              <w:right w:val="single" w:color="BFBFBF" w:sz="4"/>
            </w:tcBorders>
            <w:shd w:fill="1F5E3B" w:color="auto" w:val="clear"/>
            <w:tcMar>
              <w:top w:type="dxa" w:w="70"/>
              <w:left w:type="dxa" w:w="110"/>
              <w:bottom w:type="dxa" w:w="70"/>
              <w:right w:type="dxa" w:w="110"/>
            </w:tcMar>
          </w:tcPr>
          <w:p>
            <w:r>
              <w:rPr>
                <w:rFonts w:ascii="Montserrat" w:cs="Montserrat" w:eastAsia="Montserrat" w:hAnsi="Montserrat"/>
                <w:b/>
                <w:bCs/>
                <w:color w:val="FFFFFF"/>
                <w:sz w:val="17"/>
                <w:szCs w:val="17"/>
              </w:rPr>
              <w:t xml:space="preserve">Offer</w:t>
            </w:r>
          </w:p>
        </w:tc>
        <w:tc>
          <w:tcPr>
            <w:tcW w:type="dxa" w:w="6026"/>
            <w:tcBorders>
              <w:top w:val="single" w:color="BFBFBF" w:sz="4"/>
              <w:left w:val="single" w:color="BFBFBF" w:sz="4"/>
              <w:bottom w:val="single" w:color="BFBFBF" w:sz="4"/>
              <w:right w:val="single" w:color="BFBFBF" w:sz="4"/>
            </w:tcBorders>
            <w:shd w:fill="1F5E3B" w:color="auto" w:val="clear"/>
            <w:tcMar>
              <w:top w:type="dxa" w:w="70"/>
              <w:left w:type="dxa" w:w="110"/>
              <w:bottom w:type="dxa" w:w="70"/>
              <w:right w:type="dxa" w:w="110"/>
            </w:tcMar>
          </w:tcPr>
          <w:p>
            <w:r>
              <w:rPr>
                <w:rFonts w:ascii="Montserrat" w:cs="Montserrat" w:eastAsia="Montserrat" w:hAnsi="Montserrat"/>
                <w:b/>
                <w:bCs/>
                <w:color w:val="FFFFFF"/>
                <w:sz w:val="17"/>
                <w:szCs w:val="17"/>
              </w:rPr>
              <w:t xml:space="preserve">What it addresses</w:t>
            </w:r>
          </w:p>
        </w:tc>
      </w:tr>
      <w:tr>
        <w:trPr>
          <w:tblHeader w:val="false"/>
        </w:trPr>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Open Sans" w:cs="Open Sans" w:eastAsia="Open Sans" w:hAnsi="Open Sans"/>
                <w:b w:val="false"/>
                <w:bCs w:val="false"/>
                <w:color w:val="222222"/>
                <w:sz w:val="19"/>
                <w:szCs w:val="19"/>
              </w:rPr>
              <w:t xml:space="preserve">The Agri-Performance Diagnostic™: full engagement</w:t>
            </w:r>
          </w:p>
        </w:tc>
        <w:tc>
          <w:tcPr>
            <w:tcW w:type="dxa" w:w="60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Open Sans" w:cs="Open Sans" w:eastAsia="Open Sans" w:hAnsi="Open Sans"/>
                <w:b w:val="false"/>
                <w:bCs w:val="false"/>
                <w:color w:val="222222"/>
                <w:sz w:val="19"/>
                <w:szCs w:val="19"/>
              </w:rPr>
              <w:t xml:space="preserve">Verification of Findings 4 to 7 on site; installation of the costing system (R1), production record system (R2) and management account pack (R6); governance and role definition</w:t>
            </w:r>
          </w:p>
        </w:tc>
      </w:tr>
      <w:tr>
        <w:trPr>
          <w:tblHeader w:val="false"/>
        </w:trPr>
        <w:tc>
          <w:tcPr>
            <w:tcW w:type="dxa" w:w="3000"/>
            <w:tcBorders>
              <w:top w:val="single" w:color="BFBFBF" w:sz="4"/>
              <w:left w:val="single" w:color="BFBFBF" w:sz="4"/>
              <w:bottom w:val="single" w:color="BFBFBF" w:sz="4"/>
              <w:right w:val="single" w:color="BFBFBF" w:sz="4"/>
            </w:tcBorders>
            <w:shd w:fill="F7F5EF" w:color="auto" w:val="clear"/>
            <w:tcMar>
              <w:top w:type="dxa" w:w="70"/>
              <w:left w:type="dxa" w:w="110"/>
              <w:bottom w:type="dxa" w:w="70"/>
              <w:right w:type="dxa" w:w="110"/>
            </w:tcMar>
          </w:tcPr>
          <w:p>
            <w:r>
              <w:rPr>
                <w:rFonts w:ascii="Open Sans" w:cs="Open Sans" w:eastAsia="Open Sans" w:hAnsi="Open Sans"/>
                <w:b w:val="false"/>
                <w:bCs w:val="false"/>
                <w:color w:val="222222"/>
                <w:sz w:val="19"/>
                <w:szCs w:val="19"/>
              </w:rPr>
              <w:t xml:space="preserve">The Funding-Ready Pack™</w:t>
            </w:r>
          </w:p>
        </w:tc>
        <w:tc>
          <w:tcPr>
            <w:tcW w:type="dxa" w:w="6026"/>
            <w:tcBorders>
              <w:top w:val="single" w:color="BFBFBF" w:sz="4"/>
              <w:left w:val="single" w:color="BFBFBF" w:sz="4"/>
              <w:bottom w:val="single" w:color="BFBFBF" w:sz="4"/>
              <w:right w:val="single" w:color="BFBFBF" w:sz="4"/>
            </w:tcBorders>
            <w:shd w:fill="F7F5EF" w:color="auto" w:val="clear"/>
            <w:tcMar>
              <w:top w:type="dxa" w:w="70"/>
              <w:left w:type="dxa" w:w="110"/>
              <w:bottom w:type="dxa" w:w="70"/>
              <w:right w:type="dxa" w:w="110"/>
            </w:tcMar>
          </w:tcPr>
          <w:p>
            <w:r>
              <w:rPr>
                <w:rFonts w:ascii="Open Sans" w:cs="Open Sans" w:eastAsia="Open Sans" w:hAnsi="Open Sans"/>
                <w:b w:val="false"/>
                <w:bCs w:val="false"/>
                <w:color w:val="222222"/>
                <w:sz w:val="19"/>
                <w:szCs w:val="19"/>
              </w:rPr>
              <w:t xml:space="preserve">Reconciliation and reissue of the business plan (R8) against verified numbers; a funder-ready financial model and supporting documentation</w:t>
            </w:r>
          </w:p>
        </w:tc>
      </w:tr>
      <w:tr>
        <w:trPr>
          <w:tblHeader w:val="false"/>
        </w:trPr>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Open Sans" w:cs="Open Sans" w:eastAsia="Open Sans" w:hAnsi="Open Sans"/>
                <w:b w:val="false"/>
                <w:bCs w:val="false"/>
                <w:color w:val="222222"/>
                <w:sz w:val="19"/>
                <w:szCs w:val="19"/>
              </w:rPr>
              <w:t xml:space="preserve">The Market Access Booster™</w:t>
            </w:r>
          </w:p>
        </w:tc>
        <w:tc>
          <w:tcPr>
            <w:tcW w:type="dxa" w:w="6026"/>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Open Sans" w:cs="Open Sans" w:eastAsia="Open Sans" w:hAnsi="Open Sans"/>
                <w:b w:val="false"/>
                <w:bCs w:val="false"/>
                <w:color w:val="222222"/>
                <w:sz w:val="19"/>
                <w:szCs w:val="19"/>
              </w:rPr>
              <w:t xml:space="preserve">Outgrower supply agreements (R5); food safety and quality documentation for institutional buyers (R7); buyer engagement for schools, hospitals and prisons</w:t>
            </w:r>
          </w:p>
        </w:tc>
      </w:tr>
    </w:tbl>
    <w:p>
      <w:pPr>
        <w:spacing w:after="120"/>
      </w:pPr>
    </w:p>
    <w:p>
      <w:pPr>
        <w:spacing w:after="140" w:line="300"/>
      </w:pPr>
      <w:r>
        <w:rPr>
          <w:rFonts w:ascii="Open Sans" w:cs="Open Sans" w:eastAsia="Open Sans" w:hAnsi="Open Sans"/>
          <w:b/>
          <w:bCs/>
          <w:color w:val="222222"/>
          <w:sz w:val="21"/>
          <w:szCs w:val="21"/>
        </w:rPr>
        <w:t xml:space="preserve">AVAC’s recommendation is to proceed with the full Agri-Performance Diagnostic™ first. </w:t>
      </w:r>
      <w:r>
        <w:rPr>
          <w:rFonts w:ascii="Open Sans" w:cs="Open Sans" w:eastAsia="Open Sans" w:hAnsi="Open Sans"/>
          <w:color w:val="222222"/>
          <w:sz w:val="21"/>
          <w:szCs w:val="21"/>
        </w:rPr>
        <w:t xml:space="preserve">The Funding-Ready Pack and Market Access work both depend on numbers that do not yet exist. Preparing a funding application before the costing system is installed would repeat the error identified in Finding 1 at greater expense.</w:t>
      </w:r>
    </w:p>
    <w:p>
      <w:pPr>
        <w:pBdr>
          <w:bottom w:val="single" w:color="C89B3C" w:sz="8" w:space="1"/>
        </w:pBdr>
        <w:spacing w:after="200"/>
      </w:pPr>
    </w:p>
    <w:p>
      <w:pPr>
        <w:spacing w:after="140" w:line="300"/>
      </w:pPr>
      <w:r>
        <w:rPr>
          <w:rFonts w:ascii="Open Sans" w:cs="Open Sans" w:eastAsia="Open Sans" w:hAnsi="Open Sans"/>
          <w:color w:val="6B7280"/>
          <w:sz w:val="19"/>
          <w:szCs w:val="19"/>
        </w:rPr>
        <w:t xml:space="preserve">Prepared by Sule Abdul Rahman, Principal Consultant, AgriValue Advisory Consult</w:t>
      </w:r>
    </w:p>
    <w:sectPr>
      <w:headerReference w:type="default" r:id="rId7"/>
      <w:footerReference w:type="default" r:id="rId8"/>
      <w:pgSz w:w="11906" w:h="16838" w:orient="portrait"/>
      <w:pgMar w:top="13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Open Sans" w:cs="Open Sans" w:eastAsia="Open Sans" w:hAnsi="Open Sans"/>
        <w:i/>
        <w:iCs/>
        <w:color w:val="6B7280"/>
        <w:sz w:val="15"/>
        <w:szCs w:val="15"/>
      </w:rPr>
      <w:t xml:space="preserve">Turning agriculture into structured, profitable, and scalable business systems.   ·   Page </w:t>
    </w:r>
    <w:r>
      <w:rPr>
        <w:rFonts w:ascii="Open Sans" w:cs="Open Sans" w:eastAsia="Open Sans" w:hAnsi="Open Sans"/>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5E3B" w:sz="6" w:space="4"/>
      </w:pBdr>
      <w:tabs>
        <w:tab w:val="right" w:pos="9026"/>
      </w:tabs>
    </w:pPr>
    <w:r>
      <w:rPr>
        <w:rFonts w:ascii="Montserrat" w:cs="Montserrat" w:eastAsia="Montserrat" w:hAnsi="Montserrat"/>
        <w:b/>
        <w:bCs/>
        <w:color w:val="1F5E3B"/>
        <w:sz w:val="15"/>
        <w:szCs w:val="15"/>
      </w:rPr>
      <w:t xml:space="preserve">AGRIVALUE ADVISORY CONSULT</w:t>
    </w:r>
    <w:r>
      <w:rPr>
        <w:rFonts w:ascii="Open Sans" w:cs="Open Sans" w:eastAsia="Open Sans" w:hAnsi="Open Sans"/>
        <w:color w:val="6B7280"/>
        <w:sz w:val="15"/>
        <w:szCs w:val="15"/>
      </w:rPr>
      <w:t xml:space="preserve">	Systems Diagnostic Report · Anonymised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rPr>
        <w:color w:val="C89B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Open Sans" w:cs="Open Sans" w:eastAsia="Open Sans" w:hAnsi="Open Sans"/>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Montserrat" w:cs="Montserrat" w:eastAsia="Montserrat" w:hAnsi="Montserrat"/>
      <w:b/>
      <w:bCs/>
      <w:color w:val="1F5E3B"/>
      <w:sz w:val="30"/>
      <w:szCs w:val="30"/>
    </w:rPr>
  </w:style>
  <w:style w:type="paragraph" w:styleId="Heading2">
    <w:name w:val="Heading 2"/>
    <w:basedOn w:val="Normal"/>
    <w:next w:val="Normal"/>
    <w:qFormat/>
    <w:pPr>
      <w:outlineLvl w:val="1"/>
    </w:pPr>
    <w:rPr>
      <w:rFonts w:ascii="Montserrat" w:cs="Montserrat" w:eastAsia="Montserrat" w:hAnsi="Montserrat"/>
      <w:b/>
      <w:bCs/>
      <w:color w:val="1F5E3B"/>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Systems Diagnostic Report: Oil Palm Processor (Anonymised)</dc:title>
  <dc:creator>AgriValue Advisory Consult</dc:creator>
  <cp:lastModifiedBy>Un-named</cp:lastModifiedBy>
  <cp:revision>1</cp:revision>
  <dcterms:created xsi:type="dcterms:W3CDTF">2026-10-04T14:23:48.240Z</dcterms:created>
  <dcterms:modified xsi:type="dcterms:W3CDTF">2026-10-04T14:23:48.241Z</dcterms:modified>
</cp:coreProperties>
</file>

<file path=docProps/custom.xml><?xml version="1.0" encoding="utf-8"?>
<Properties xmlns="http://schemas.openxmlformats.org/officeDocument/2006/custom-properties" xmlns:vt="http://schemas.openxmlformats.org/officeDocument/2006/docPropsVTypes"/>
</file>