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0D1F3D"/>
          <w:sz w:val="44"/>
        </w:rPr>
        <w:t>A Safety-Interlocked, Trigger-Driven Architecture for Fully Autonomous UAV Dispatch with Verified Command Delivery</w:t>
      </w:r>
    </w:p>
    <w:p/>
    <w:p>
      <w:pPr>
        <w:jc w:val="center"/>
      </w:pPr>
      <w:r>
        <w:rPr>
          <w:rFonts w:ascii="Calibri" w:hAnsi="Calibri"/>
          <w:b/>
          <w:color w:val="101010"/>
          <w:sz w:val="24"/>
        </w:rPr>
        <w:t>Author:</w:t>
      </w:r>
      <w:r>
        <w:rPr>
          <w:rFonts w:ascii="Calibri" w:hAnsi="Calibri"/>
          <w:color w:val="101010"/>
          <w:sz w:val="24"/>
        </w:rPr>
        <w:t xml:space="preserve"> </w:t>
      </w:r>
      <w:r>
        <w:rPr>
          <w:rFonts w:ascii="Calibri" w:hAnsi="Calibri"/>
          <w:i/>
          <w:color w:val="101010"/>
          <w:sz w:val="24"/>
        </w:rPr>
        <w:t>(to be filled in)</w:t>
      </w:r>
    </w:p>
    <w:p>
      <w:pPr>
        <w:jc w:val="center"/>
      </w:pPr>
      <w:r>
        <w:rPr>
          <w:rFonts w:ascii="Calibri" w:hAnsi="Calibri"/>
          <w:b/>
          <w:color w:val="101010"/>
          <w:sz w:val="24"/>
        </w:rPr>
        <w:t>Affiliation:</w:t>
      </w:r>
      <w:r>
        <w:rPr>
          <w:rFonts w:ascii="Calibri" w:hAnsi="Calibri"/>
          <w:color w:val="101010"/>
          <w:sz w:val="24"/>
        </w:rPr>
        <w:t xml:space="preserve"> </w:t>
      </w:r>
      <w:r>
        <w:rPr>
          <w:rFonts w:ascii="Calibri" w:hAnsi="Calibri"/>
          <w:i/>
          <w:color w:val="101010"/>
          <w:sz w:val="24"/>
        </w:rPr>
        <w:t>(to be filled in)</w:t>
      </w:r>
    </w:p>
    <w:p>
      <w:pPr>
        <w:jc w:val="center"/>
      </w:pPr>
      <w:r>
        <w:rPr>
          <w:rFonts w:ascii="Calibri" w:hAnsi="Calibri"/>
          <w:b/>
          <w:color w:val="101010"/>
          <w:sz w:val="24"/>
        </w:rPr>
        <w:t>Repository:</w:t>
      </w:r>
      <w:r>
        <w:rPr>
          <w:rFonts w:ascii="Calibri" w:hAnsi="Calibri"/>
          <w:color w:val="101010"/>
          <w:sz w:val="24"/>
        </w:rPr>
        <w:t xml:space="preserve"> </w:t>
      </w:r>
      <w:r>
        <w:rPr>
          <w:rFonts w:ascii="Calibri" w:hAnsi="Calibri"/>
          <w:color w:val="0563C1"/>
          <w:sz w:val="24"/>
          <w:u w:val="single"/>
        </w:rPr>
        <w:t>https://github.com/SV-1411/drone.git</w:t>
      </w:r>
    </w:p>
    <w:p>
      <w:pPr>
        <w:jc w:val="center"/>
      </w:pPr>
      <w:r>
        <w:rPr>
          <w:rFonts w:ascii="Calibri" w:hAnsi="Calibri"/>
          <w:b/>
          <w:color w:val="101010"/>
          <w:sz w:val="24"/>
        </w:rPr>
        <w:t>Date:</w:t>
      </w:r>
      <w:r>
        <w:rPr>
          <w:rFonts w:ascii="Calibri" w:hAnsi="Calibri"/>
          <w:color w:val="101010"/>
          <w:sz w:val="24"/>
        </w:rPr>
        <w:t xml:space="preserve"> 2026-06-11</w:t>
      </w:r>
    </w:p>
    <w:p>
      <w:pPr>
        <w:jc w:val="center"/>
      </w:pPr>
      <w:r>
        <w:rPr>
          <w:rFonts w:ascii="Calibri" w:hAnsi="Calibri"/>
          <w:b/>
          <w:color w:val="101010"/>
          <w:sz w:val="24"/>
        </w:rPr>
        <w:t>Status:</w:t>
      </w:r>
      <w:r>
        <w:rPr>
          <w:rFonts w:ascii="Calibri" w:hAnsi="Calibri"/>
          <w:color w:val="101010"/>
          <w:sz w:val="24"/>
        </w:rPr>
        <w:t xml:space="preserve"> Pre-print, open-source release (v2 — supersedes the 2026-06-06 draft)</w:t>
      </w:r>
    </w:p>
    <w:p>
      <w:r>
        <w:br w:type="page"/>
      </w:r>
    </w:p>
    <w:p>
      <w:pPr>
        <w:keepNext/>
        <w:spacing w:before="280" w:after="120"/>
      </w:pPr>
      <w:r>
        <w:rPr>
          <w:rFonts w:ascii="Calibri" w:hAnsi="Calibri"/>
          <w:b/>
          <w:i w:val="0"/>
          <w:color w:val="1F3A5F"/>
          <w:sz w:val="26"/>
        </w:rPr>
        <w:t>Abstract</w:t>
      </w:r>
    </w:p>
    <w:p>
      <w:pPr>
        <w:spacing w:line="360" w:lineRule="auto" w:after="120"/>
        <w:jc w:val="both"/>
      </w:pPr>
      <w:r>
        <w:rPr>
          <w:rFonts w:ascii="Times New Roman" w:hAnsi="Times New Roman"/>
          <w:color w:val="101010"/>
          <w:sz w:val="22"/>
        </w:rPr>
        <w:t xml:space="preserve">Autonomous response to external events — a sensor alarm, an emergency call, an inspection schedule — requires an unmanned aerial vehicle (UAV) to fly from its base to a designated coordinate with no human piloting. The under-examined failure class in such systems is not navigation but </w:t>
      </w:r>
      <w:r>
        <w:rPr>
          <w:rFonts w:ascii="Times New Roman" w:hAnsi="Times New Roman"/>
          <w:i/>
          <w:color w:val="101010"/>
          <w:sz w:val="22"/>
        </w:rPr>
        <w:t>command delivery</w:t>
      </w:r>
      <w:r>
        <w:rPr>
          <w:rFonts w:ascii="Times New Roman" w:hAnsi="Times New Roman"/>
          <w:color w:val="101010"/>
          <w:sz w:val="22"/>
        </w:rPr>
        <w:t xml:space="preserve">: autopilot firmware can silently reject or drop the very mode-change commands that implement an emergency response, and a dispatch service that trusts a single command transmission can strand an airborne aircraft. This paper presents a complete, open-source dispatch architecture built around three safety mechanisms implemented in the companion-computer layer above the ArduPilot autopilot [1]: (i) a </w:t>
      </w:r>
      <w:r>
        <w:rPr>
          <w:rFonts w:ascii="Times New Roman" w:hAnsi="Times New Roman"/>
          <w:b/>
          <w:color w:val="101010"/>
          <w:sz w:val="22"/>
        </w:rPr>
        <w:t>verified mode-transition protocol</w:t>
      </w:r>
      <w:r>
        <w:rPr>
          <w:rFonts w:ascii="Times New Roman" w:hAnsi="Times New Roman"/>
          <w:color w:val="101010"/>
          <w:sz w:val="22"/>
        </w:rPr>
        <w:t xml:space="preserve"> that issues a flight-mode change through a high-level API, then re-issues it through two raw MAVLink [2] encodings on a sub-second cadence until the autopilot's HEARTBEAT stream confirms adoption; (ii) a </w:t>
      </w:r>
      <w:r>
        <w:rPr>
          <w:rFonts w:ascii="Times New Roman" w:hAnsi="Times New Roman"/>
          <w:b/>
          <w:color w:val="101010"/>
          <w:sz w:val="22"/>
        </w:rPr>
        <w:t>landing-interlocked mission queue</w:t>
      </w:r>
      <w:r>
        <w:rPr>
          <w:rFonts w:ascii="Times New Roman" w:hAnsi="Times New Roman"/>
          <w:color w:val="101010"/>
          <w:sz w:val="22"/>
        </w:rPr>
        <w:t xml:space="preserve"> in which any abort path blocks until the airframe has demonstrably landed and disarmed, and a new mission refuses to launch against an armed vehicle; and (iii) a </w:t>
      </w:r>
      <w:r>
        <w:rPr>
          <w:rFonts w:ascii="Times New Roman" w:hAnsi="Times New Roman"/>
          <w:b/>
          <w:color w:val="101010"/>
          <w:sz w:val="22"/>
        </w:rPr>
        <w:t>debounced, severity-ordered failsafe arbiter</w:t>
      </w:r>
      <w:r>
        <w:rPr>
          <w:rFonts w:ascii="Times New Roman" w:hAnsi="Times New Roman"/>
          <w:color w:val="101010"/>
          <w:sz w:val="22"/>
        </w:rPr>
        <w:t xml:space="preserve"> in which a LAND demand is never downgraded, single-sample sensor glitches cannot trigger a landing, and escalation is honoured even mid-return. The system comprises an HTTP/JSON trigger surface, a priority mission queue, a twelve-state mission executor, and a real-time map dashboard. We validate it with a two-tier methodology: a 37-case unit suite over the safety logic, and end-to-end Software-In-The-Loop (SITL) flights in which the full stack dispatches an ArduCopter [1] simulation 896 m to a target, achieving 0.4–0.6 m terminal accuracy against a 5 m tolerance and returning to within 0.2 m of home across six missions. The complete implementation, test harness, and documentation are published in the repository above.</w:t>
      </w:r>
    </w:p>
    <w:p>
      <w:pPr>
        <w:spacing w:line="360" w:lineRule="auto" w:after="120"/>
        <w:jc w:val="both"/>
      </w:pPr>
      <w:r>
        <w:rPr>
          <w:rFonts w:ascii="Times New Roman" w:hAnsi="Times New Roman"/>
          <w:b/>
          <w:color w:val="101010"/>
          <w:sz w:val="22"/>
        </w:rPr>
        <w:t>Keywords:</w:t>
      </w:r>
      <w:r>
        <w:rPr>
          <w:rFonts w:ascii="Times New Roman" w:hAnsi="Times New Roman"/>
          <w:color w:val="101010"/>
          <w:sz w:val="22"/>
        </w:rPr>
        <w:t xml:space="preserve"> autonomous UAV; MAVLink; ArduPilot; safety interlock; command verification; failsafe arbitration; trigger-based dispatch; software-in-the-loop validation.</w:t>
      </w:r>
    </w:p>
    <w:p>
      <w:pPr>
        <w:keepNext/>
        <w:spacing w:before="280" w:after="120"/>
      </w:pPr>
      <w:r>
        <w:rPr>
          <w:rFonts w:ascii="Calibri" w:hAnsi="Calibri"/>
          <w:b/>
          <w:i w:val="0"/>
          <w:color w:val="1F3A5F"/>
          <w:sz w:val="26"/>
        </w:rPr>
        <w:t>1. Introduction</w:t>
      </w:r>
    </w:p>
    <w:p>
      <w:pPr>
        <w:spacing w:line="360" w:lineRule="auto" w:after="120"/>
        <w:jc w:val="both"/>
      </w:pPr>
      <w:r>
        <w:rPr>
          <w:rFonts w:ascii="Times New Roman" w:hAnsi="Times New Roman"/>
          <w:color w:val="101010"/>
          <w:sz w:val="22"/>
        </w:rPr>
        <w:t xml:space="preserve">The airframe is no longer the hard part of small-UAV autonomy. Commodity flight controllers running open-source ArduPilot firmware [1] hold position, navigate waypoint sequences, and execute return-to-launch (RTL) recoveries without operator input. What remains immature is the </w:t>
      </w:r>
      <w:r>
        <w:rPr>
          <w:rFonts w:ascii="Times New Roman" w:hAnsi="Times New Roman"/>
          <w:i/>
          <w:color w:val="101010"/>
          <w:sz w:val="22"/>
        </w:rPr>
        <w:t>operational layer</w:t>
      </w:r>
      <w:r>
        <w:rPr>
          <w:rFonts w:ascii="Times New Roman" w:hAnsi="Times New Roman"/>
          <w:color w:val="101010"/>
          <w:sz w:val="22"/>
        </w:rPr>
        <w:t xml:space="preserve"> above the autopilot: the software that turns an external event into a flight, supervises it, and guarantees a safe outcome when something goes wrong. The dominant ground-control stations — Mission Planner and QGroundControl — are built around an interactive human pilot and offer no first-class machine-to-machine dispatch surface.</w:t>
      </w:r>
    </w:p>
    <w:p>
      <w:pPr>
        <w:spacing w:line="360" w:lineRule="auto" w:after="120"/>
        <w:jc w:val="both"/>
      </w:pPr>
      <w:r>
        <w:rPr>
          <w:rFonts w:ascii="Times New Roman" w:hAnsi="Times New Roman"/>
          <w:color w:val="101010"/>
          <w:sz w:val="22"/>
        </w:rPr>
        <w:t>The engineering content of that operational layer is easy to underestimate, because its hard problems only appear in failure cases. Three observations from this work motivate the architecture we present:</w:t>
      </w:r>
    </w:p>
    <w:p>
      <w:pPr>
        <w:spacing w:line="360" w:lineRule="auto" w:after="60"/>
        <w:ind w:left="360"/>
        <w:jc w:val="both"/>
      </w:pPr>
      <w:r>
        <w:rPr>
          <w:rFonts w:ascii="Times New Roman" w:hAnsi="Times New Roman"/>
          <w:color w:val="101010"/>
          <w:sz w:val="22"/>
        </w:rPr>
        <w:t xml:space="preserve">1. </w:t>
      </w:r>
      <w:r>
        <w:rPr>
          <w:rFonts w:ascii="Times New Roman" w:hAnsi="Times New Roman"/>
          <w:b/>
          <w:color w:val="101010"/>
          <w:sz w:val="22"/>
        </w:rPr>
        <w:t>Mode commands are not reliably delivered.</w:t>
      </w:r>
      <w:r>
        <w:rPr>
          <w:rFonts w:ascii="Times New Roman" w:hAnsi="Times New Roman"/>
          <w:color w:val="101010"/>
          <w:sz w:val="22"/>
        </w:rPr>
        <w:t xml:space="preserve"> During development we</w:t>
      </w:r>
    </w:p>
    <w:p>
      <w:pPr>
        <w:spacing w:line="360" w:lineRule="auto" w:after="120"/>
        <w:jc w:val="both"/>
      </w:pPr>
      <w:r>
        <w:rPr>
          <w:rFonts w:ascii="Times New Roman" w:hAnsi="Times New Roman"/>
          <w:color w:val="101010"/>
          <w:sz w:val="22"/>
        </w:rPr>
        <w:t xml:space="preserve">found that the standard DroneKit [3] idiom for entering GUIDED mode is silently ignored by the ArduCopter 3.3 SITL build [5] under common conditions: the client library reports success while the autopilot remains in STABILIZE, and the subsequent takeoff command becomes a no-op. In a piloted workflow a human notices and retries; in an autonomous dispatch loop, an unverified mode change is a stranded or misbehaving aircraft. Crucially, the </w:t>
      </w:r>
      <w:r>
        <w:rPr>
          <w:rFonts w:ascii="Times New Roman" w:hAnsi="Times New Roman"/>
          <w:i/>
          <w:color w:val="101010"/>
          <w:sz w:val="22"/>
        </w:rPr>
        <w:t>same</w:t>
      </w:r>
      <w:r>
        <w:rPr>
          <w:rFonts w:ascii="Times New Roman" w:hAnsi="Times New Roman"/>
          <w:color w:val="101010"/>
          <w:sz w:val="22"/>
        </w:rPr>
        <w:t xml:space="preserve"> unverified pathway is typically used for emergency commands (RTL, LAND), which is exactly where silent failure is least tolerable.</w:t>
      </w:r>
    </w:p>
    <w:p>
      <w:pPr>
        <w:spacing w:line="360" w:lineRule="auto" w:after="60"/>
        <w:ind w:left="360"/>
        <w:jc w:val="both"/>
      </w:pPr>
      <w:r>
        <w:rPr>
          <w:rFonts w:ascii="Times New Roman" w:hAnsi="Times New Roman"/>
          <w:color w:val="101010"/>
          <w:sz w:val="22"/>
        </w:rPr>
        <w:t xml:space="preserve">2. </w:t>
      </w:r>
      <w:r>
        <w:rPr>
          <w:rFonts w:ascii="Times New Roman" w:hAnsi="Times New Roman"/>
          <w:b/>
          <w:color w:val="101010"/>
          <w:sz w:val="22"/>
        </w:rPr>
        <w:t>Serial mission execution needs a landing interlock.</w:t>
      </w:r>
      <w:r>
        <w:rPr>
          <w:rFonts w:ascii="Times New Roman" w:hAnsi="Times New Roman"/>
          <w:color w:val="101010"/>
          <w:sz w:val="22"/>
        </w:rPr>
        <w:t xml:space="preserve"> A dispatch</w:t>
      </w:r>
    </w:p>
    <w:p>
      <w:pPr>
        <w:spacing w:line="360" w:lineRule="auto" w:after="120"/>
        <w:jc w:val="both"/>
      </w:pPr>
      <w:r>
        <w:rPr>
          <w:rFonts w:ascii="Times New Roman" w:hAnsi="Times New Roman"/>
          <w:color w:val="101010"/>
          <w:sz w:val="22"/>
        </w:rPr>
        <w:t xml:space="preserve">queue that starts mission </w:t>
      </w:r>
      <w:r>
        <w:rPr>
          <w:rFonts w:ascii="Times New Roman" w:hAnsi="Times New Roman"/>
          <w:i/>
          <w:color w:val="101010"/>
          <w:sz w:val="22"/>
        </w:rPr>
        <w:t>N+1</w:t>
      </w:r>
      <w:r>
        <w:rPr>
          <w:rFonts w:ascii="Times New Roman" w:hAnsi="Times New Roman"/>
          <w:color w:val="101010"/>
          <w:sz w:val="22"/>
        </w:rPr>
        <w:t xml:space="preserve"> when mission </w:t>
      </w:r>
      <w:r>
        <w:rPr>
          <w:rFonts w:ascii="Times New Roman" w:hAnsi="Times New Roman"/>
          <w:i/>
          <w:color w:val="101010"/>
          <w:sz w:val="22"/>
        </w:rPr>
        <w:t>N</w:t>
      </w:r>
      <w:r>
        <w:rPr>
          <w:rFonts w:ascii="Times New Roman" w:hAnsi="Times New Roman"/>
          <w:color w:val="101010"/>
          <w:sz w:val="22"/>
        </w:rPr>
        <w:t xml:space="preserve"> "ends" is unsafe unless "ends" provably includes </w:t>
      </w:r>
      <w:r>
        <w:rPr>
          <w:rFonts w:ascii="Times New Roman" w:hAnsi="Times New Roman"/>
          <w:i/>
          <w:color w:val="101010"/>
          <w:sz w:val="22"/>
        </w:rPr>
        <w:t>the aircraft being on the ground, disarmed</w:t>
      </w:r>
      <w:r>
        <w:rPr>
          <w:rFonts w:ascii="Times New Roman" w:hAnsi="Times New Roman"/>
          <w:color w:val="101010"/>
          <w:sz w:val="22"/>
        </w:rPr>
        <w:t>. An abort path that merely commands RTL and returns control to the queue can hand an airborne vehicle to the next mission's arm-and-takeoff sequence, with undefined results.</w:t>
      </w:r>
    </w:p>
    <w:p>
      <w:pPr>
        <w:spacing w:line="360" w:lineRule="auto" w:after="60"/>
        <w:ind w:left="360"/>
        <w:jc w:val="both"/>
      </w:pPr>
      <w:r>
        <w:rPr>
          <w:rFonts w:ascii="Times New Roman" w:hAnsi="Times New Roman"/>
          <w:color w:val="101010"/>
          <w:sz w:val="22"/>
        </w:rPr>
        <w:t xml:space="preserve">3. </w:t>
      </w:r>
      <w:r>
        <w:rPr>
          <w:rFonts w:ascii="Times New Roman" w:hAnsi="Times New Roman"/>
          <w:b/>
          <w:color w:val="101010"/>
          <w:sz w:val="22"/>
        </w:rPr>
        <w:t>Failsafe policy needs arbitration semantics, not just triggers.</w:t>
      </w:r>
    </w:p>
    <w:p>
      <w:pPr>
        <w:spacing w:line="360" w:lineRule="auto" w:after="120"/>
        <w:jc w:val="both"/>
      </w:pPr>
      <w:r>
        <w:rPr>
          <w:rFonts w:ascii="Times New Roman" w:hAnsi="Times New Roman"/>
          <w:color w:val="101010"/>
          <w:sz w:val="22"/>
        </w:rPr>
        <w:t xml:space="preserve">Battery, GPS, geofence, and timeout monitors interact: a critical- battery LAND demand must override an in-progress low-battery RTL — even after the return has begun; a one-sample GPS dropout must </w:t>
      </w:r>
      <w:r>
        <w:rPr>
          <w:rFonts w:ascii="Times New Roman" w:hAnsi="Times New Roman"/>
          <w:i/>
          <w:color w:val="101010"/>
          <w:sz w:val="22"/>
        </w:rPr>
        <w:t>not</w:t>
      </w:r>
      <w:r>
        <w:rPr>
          <w:rFonts w:ascii="Times New Roman" w:hAnsi="Times New Roman"/>
          <w:color w:val="101010"/>
          <w:sz w:val="22"/>
        </w:rPr>
        <w:t xml:space="preserve"> land the aircraft in place; and a triggered failsafe must not be re-emitted at the polling rate.</w:t>
      </w:r>
    </w:p>
    <w:p>
      <w:pPr>
        <w:spacing w:line="360" w:lineRule="auto" w:after="120"/>
        <w:jc w:val="both"/>
      </w:pPr>
      <w:r>
        <w:rPr>
          <w:rFonts w:ascii="Times New Roman" w:hAnsi="Times New Roman"/>
          <w:color w:val="101010"/>
          <w:sz w:val="22"/>
        </w:rPr>
        <w:t>This paper's contribution is an end-to-end reference architecture and open-source implementation that addresses all three, validated in SITL. Specifically:</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A verified mode-transition protocol</w:t>
      </w:r>
      <w:r>
        <w:rPr>
          <w:rFonts w:ascii="Times New Roman" w:hAnsi="Times New Roman"/>
          <w:color w:val="101010"/>
          <w:sz w:val="22"/>
        </w:rPr>
        <w:t xml:space="preserve"> (§4.2) layering the DroneKit</w:t>
      </w:r>
    </w:p>
    <w:p>
      <w:pPr>
        <w:spacing w:line="360" w:lineRule="auto" w:after="120"/>
        <w:jc w:val="both"/>
      </w:pPr>
      <w:r>
        <w:rPr>
          <w:rFonts w:ascii="Times New Roman" w:hAnsi="Times New Roman"/>
          <w:color w:val="101010"/>
          <w:sz w:val="22"/>
        </w:rPr>
        <w:t xml:space="preserve">setter, the MAVLink </w:t>
      </w:r>
      <w:r>
        <w:rPr>
          <w:rFonts w:ascii="Consolas" w:hAnsi="Consolas"/>
          <w:color w:val="101010"/>
          <w:sz w:val="22"/>
        </w:rPr>
        <w:t>COMMAND_LONG</w:t>
      </w:r>
      <w:r>
        <w:rPr>
          <w:rFonts w:ascii="Times New Roman" w:hAnsi="Times New Roman"/>
          <w:color w:val="101010"/>
          <w:sz w:val="22"/>
        </w:rPr>
        <w:t>/</w:t>
      </w:r>
      <w:r>
        <w:rPr>
          <w:rFonts w:ascii="Consolas" w:hAnsi="Consolas"/>
          <w:color w:val="101010"/>
          <w:sz w:val="22"/>
        </w:rPr>
        <w:t>MAV_CMD_DO_SET_MODE</w:t>
      </w:r>
      <w:r>
        <w:rPr>
          <w:rFonts w:ascii="Times New Roman" w:hAnsi="Times New Roman"/>
          <w:color w:val="101010"/>
          <w:sz w:val="22"/>
        </w:rPr>
        <w:t xml:space="preserve"> encoding, and the legacy </w:t>
      </w:r>
      <w:r>
        <w:rPr>
          <w:rFonts w:ascii="Consolas" w:hAnsi="Consolas"/>
          <w:color w:val="101010"/>
          <w:sz w:val="22"/>
        </w:rPr>
        <w:t>SET_MODE</w:t>
      </w:r>
      <w:r>
        <w:rPr>
          <w:rFonts w:ascii="Times New Roman" w:hAnsi="Times New Roman"/>
          <w:color w:val="101010"/>
          <w:sz w:val="22"/>
        </w:rPr>
        <w:t xml:space="preserve"> message under a confirmation loop driven by the autopilot's own HEARTBEAT-derived mode report, with bounded retry and a cross-action fallback (RTL ⇄ LAND) on the abort path.</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A landing-interlocked dispatch pipeline</w:t>
      </w:r>
      <w:r>
        <w:rPr>
          <w:rFonts w:ascii="Times New Roman" w:hAnsi="Times New Roman"/>
          <w:color w:val="101010"/>
          <w:sz w:val="22"/>
        </w:rPr>
        <w:t xml:space="preserve"> (§4.3) with five gates:</w:t>
      </w:r>
    </w:p>
    <w:p>
      <w:pPr>
        <w:spacing w:line="360" w:lineRule="auto" w:after="120"/>
        <w:jc w:val="both"/>
      </w:pPr>
      <w:r>
        <w:rPr>
          <w:rFonts w:ascii="Times New Roman" w:hAnsi="Times New Roman"/>
          <w:color w:val="101010"/>
          <w:sz w:val="22"/>
        </w:rPr>
        <w:t>edge validation (including geofence containment of the requested target), bounded queue admission, a pre-flight disarm check, in-flight guards (failsafe poll, stall detection, operator cancel), and an abort guarantee that blocks the queue until touchdown and disarm.</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A debounced, severity-ordered failsafe arbiter</w:t>
      </w:r>
      <w:r>
        <w:rPr>
          <w:rFonts w:ascii="Times New Roman" w:hAnsi="Times New Roman"/>
          <w:color w:val="101010"/>
          <w:sz w:val="22"/>
        </w:rPr>
        <w:t xml:space="preserve"> (§4.4) with</w:t>
      </w:r>
    </w:p>
    <w:p>
      <w:pPr>
        <w:spacing w:line="360" w:lineRule="auto" w:after="120"/>
        <w:jc w:val="both"/>
      </w:pPr>
      <w:r>
        <w:rPr>
          <w:rFonts w:ascii="Times New Roman" w:hAnsi="Times New Roman"/>
          <w:color w:val="101010"/>
          <w:sz w:val="22"/>
        </w:rPr>
        <w:t>fire-once semantics, monotone severity (LAND ≻ RTL, never downgraded), N-sample debounce on GPS loss, and mid-RTL escalation.</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A two-tier validation methodology</w:t>
      </w:r>
      <w:r>
        <w:rPr>
          <w:rFonts w:ascii="Times New Roman" w:hAnsi="Times New Roman"/>
          <w:color w:val="101010"/>
          <w:sz w:val="22"/>
        </w:rPr>
        <w:t xml:space="preserve"> (§5): a fast, deterministic unit</w:t>
      </w:r>
    </w:p>
    <w:p>
      <w:pPr>
        <w:spacing w:line="360" w:lineRule="auto" w:after="120"/>
        <w:jc w:val="both"/>
      </w:pPr>
      <w:r>
        <w:rPr>
          <w:rFonts w:ascii="Times New Roman" w:hAnsi="Times New Roman"/>
          <w:color w:val="101010"/>
          <w:sz w:val="22"/>
        </w:rPr>
        <w:t>suite (37 cases) over the safety logic using a synthetic vehicle, plus an end-to-end SITL acceptance flight asserting eight mission properties, including return-to-home as a required check.</w:t>
      </w:r>
    </w:p>
    <w:p>
      <w:pPr>
        <w:spacing w:line="360" w:lineRule="auto" w:after="120"/>
        <w:jc w:val="both"/>
      </w:pPr>
      <w:r>
        <w:rPr>
          <w:rFonts w:ascii="Times New Roman" w:hAnsi="Times New Roman"/>
          <w:color w:val="101010"/>
          <w:sz w:val="22"/>
        </w:rPr>
        <w:t>Section 2 surveys background and related systems, including the patent landscape for trigger-dispatched UAVs. Section 3 describes the architecture. Section 4 details the safety mechanisms. Section 5 defines the evaluation protocol; Section 6 reports results. Section 7 discusses the path to real hardware and limitations. Section 8 concludes.</w:t>
      </w:r>
    </w:p>
    <w:p>
      <w:pPr>
        <w:keepNext/>
        <w:spacing w:before="280" w:after="120"/>
      </w:pPr>
      <w:r>
        <w:rPr>
          <w:rFonts w:ascii="Calibri" w:hAnsi="Calibri"/>
          <w:b/>
          <w:i w:val="0"/>
          <w:color w:val="1F3A5F"/>
          <w:sz w:val="26"/>
        </w:rPr>
        <w:t>2. Background and Related Work</w:t>
      </w:r>
    </w:p>
    <w:p>
      <w:pPr>
        <w:keepNext/>
        <w:spacing w:before="200" w:after="120"/>
      </w:pPr>
      <w:r>
        <w:rPr>
          <w:rFonts w:ascii="Calibri" w:hAnsi="Calibri"/>
          <w:b/>
          <w:i/>
          <w:color w:val="1F3A5F"/>
          <w:sz w:val="23"/>
        </w:rPr>
        <w:t>2.1 ArduPilot and MAVLink</w:t>
      </w:r>
    </w:p>
    <w:p>
      <w:pPr>
        <w:spacing w:line="360" w:lineRule="auto" w:after="120"/>
        <w:jc w:val="both"/>
      </w:pPr>
      <w:r>
        <w:rPr>
          <w:rFonts w:ascii="Times New Roman" w:hAnsi="Times New Roman"/>
          <w:color w:val="101010"/>
          <w:sz w:val="22"/>
        </w:rPr>
        <w:t xml:space="preserve">ArduPilot [1] is a mature open-source autopilot targeting multirotor (Copter), fixed-wing (Plane), ground (Rover), and marine vehicles. It exposes telemetry and control through </w:t>
      </w:r>
      <w:r>
        <w:rPr>
          <w:rFonts w:ascii="Times New Roman" w:hAnsi="Times New Roman"/>
          <w:b/>
          <w:color w:val="101010"/>
          <w:sz w:val="22"/>
        </w:rPr>
        <w:t>MAVLink</w:t>
      </w:r>
      <w:r>
        <w:rPr>
          <w:rFonts w:ascii="Times New Roman" w:hAnsi="Times New Roman"/>
          <w:color w:val="101010"/>
          <w:sz w:val="22"/>
        </w:rPr>
        <w:t xml:space="preserve"> [2], a compact binary protocol designed for low-bandwidth radio links. Our system communicates with the autopilot exclusively through MAVLink; everything above it is transport-agnostic, so the same code drives a TCP-connected simulator and a UART-connected Pixhawk [12].</w:t>
      </w:r>
    </w:p>
    <w:p>
      <w:pPr>
        <w:keepNext/>
        <w:spacing w:before="200" w:after="120"/>
      </w:pPr>
      <w:r>
        <w:rPr>
          <w:rFonts w:ascii="Calibri" w:hAnsi="Calibri"/>
          <w:b/>
          <w:i/>
          <w:color w:val="1F3A5F"/>
          <w:sz w:val="23"/>
        </w:rPr>
        <w:t>2.2 Software-in-the-loop simulation</w:t>
      </w:r>
    </w:p>
    <w:p>
      <w:pPr>
        <w:spacing w:line="360" w:lineRule="auto" w:after="120"/>
        <w:jc w:val="both"/>
      </w:pPr>
      <w:r>
        <w:rPr>
          <w:rFonts w:ascii="Times New Roman" w:hAnsi="Times New Roman"/>
          <w:color w:val="101010"/>
          <w:sz w:val="22"/>
        </w:rPr>
        <w:t xml:space="preserve">ArduPilot's SITL build runs the autopilot firmware as a host process with simulated dynamics, exposing the same MAVLink surface as real hardware [1]. We use the </w:t>
      </w:r>
      <w:r>
        <w:rPr>
          <w:rFonts w:ascii="Consolas" w:hAnsi="Consolas"/>
          <w:color w:val="101010"/>
          <w:sz w:val="22"/>
        </w:rPr>
        <w:t>dronekit-sitl</w:t>
      </w:r>
      <w:r>
        <w:rPr>
          <w:rFonts w:ascii="Times New Roman" w:hAnsi="Times New Roman"/>
          <w:color w:val="101010"/>
          <w:sz w:val="22"/>
        </w:rPr>
        <w:t xml:space="preserve"> package [5], which ships prebuilt ArduCopter binaries; on Windows the only available Copter build is 3.3 (2015). That vintage turned out to be methodologically useful: it forced the command-delivery problem (§4.2) into the open, since modern firmware masks it more often. We discuss version threats in §7.2.</w:t>
      </w:r>
    </w:p>
    <w:p>
      <w:pPr>
        <w:keepNext/>
        <w:spacing w:before="200" w:after="120"/>
      </w:pPr>
      <w:r>
        <w:rPr>
          <w:rFonts w:ascii="Calibri" w:hAnsi="Calibri"/>
          <w:b/>
          <w:i/>
          <w:color w:val="1F3A5F"/>
          <w:sz w:val="23"/>
        </w:rPr>
        <w:t>2.3 Ground-control software and companion-computer stacks</w:t>
      </w:r>
    </w:p>
    <w:p>
      <w:pPr>
        <w:spacing w:line="360" w:lineRule="auto" w:after="120"/>
        <w:jc w:val="both"/>
      </w:pPr>
      <w:r>
        <w:rPr>
          <w:rFonts w:ascii="Times New Roman" w:hAnsi="Times New Roman"/>
          <w:color w:val="101010"/>
          <w:sz w:val="22"/>
        </w:rPr>
        <w:t>Mission Planner and QGroundControl are interactive GCS applications; both can script missions but neither separates a machine-facing dispatch surface from the autonomy logic and the viewer. Research stacks built on ROS 2 + MAVROS provide rich tooling at the cost of a heavy dependency footprint that is awkward on Raspberry-Pi-class companions. Our stack deliberately limits itself to Python's standard concurrency primitives, FastAPI [6]/Uvicorn [7] for the HTTP surface, and React [8] + Leaflet [10] over OpenStreetMap [11] for the viewer, so that the whole dispatch layer deploys in a single virtual environment on a stock Linux image.</w:t>
      </w:r>
    </w:p>
    <w:p>
      <w:pPr>
        <w:keepNext/>
        <w:spacing w:before="200" w:after="120"/>
      </w:pPr>
      <w:r>
        <w:rPr>
          <w:rFonts w:ascii="Calibri" w:hAnsi="Calibri"/>
          <w:b/>
          <w:i/>
          <w:color w:val="1F3A5F"/>
          <w:sz w:val="23"/>
        </w:rPr>
        <w:t>2.4 The trigger-dispatch patent landscape</w:t>
      </w:r>
    </w:p>
    <w:p>
      <w:pPr>
        <w:spacing w:line="360" w:lineRule="auto" w:after="120"/>
        <w:jc w:val="both"/>
      </w:pPr>
      <w:r>
        <w:rPr>
          <w:rFonts w:ascii="Times New Roman" w:hAnsi="Times New Roman"/>
          <w:color w:val="101010"/>
          <w:sz w:val="22"/>
        </w:rPr>
        <w:t xml:space="preserve">The </w:t>
      </w:r>
      <w:r>
        <w:rPr>
          <w:rFonts w:ascii="Times New Roman" w:hAnsi="Times New Roman"/>
          <w:i/>
          <w:color w:val="101010"/>
          <w:sz w:val="22"/>
        </w:rPr>
        <w:t>concept</w:t>
      </w:r>
      <w:r>
        <w:rPr>
          <w:rFonts w:ascii="Times New Roman" w:hAnsi="Times New Roman"/>
          <w:color w:val="101010"/>
          <w:sz w:val="22"/>
        </w:rPr>
        <w:t xml:space="preserve"> of launching a UAV to a GPS coordinate in response to an external trigger is well-trodden in the patent literature. US 10,216,181 B2 describes a rescue UAV launched by a sensor-generated trigger toward a recorded GPS location; US 10,089,889 B2 describes UAV dispatch initiated by emergency-call events with self-guided flight to the scene; US 12,184,803 B2 covers emergency dispatch with diagnostics reporting; and a family of delivery patents (e.g. US 9,573,684 B2, US 10,737,782 B2) covers dispatch-and-return logistics loops. ArduPilot's own documentation [1] establishes battery, geofence, and GCS-loss failsafes as long-standing practice at the firmware level. We therefore make </w:t>
      </w:r>
      <w:r>
        <w:rPr>
          <w:rFonts w:ascii="Times New Roman" w:hAnsi="Times New Roman"/>
          <w:b/>
          <w:color w:val="101010"/>
          <w:sz w:val="22"/>
        </w:rPr>
        <w:t>no novelty claim for trigger-to-coordinate dispatch as such</w:t>
      </w:r>
      <w:r>
        <w:rPr>
          <w:rFonts w:ascii="Times New Roman" w:hAnsi="Times New Roman"/>
          <w:color w:val="101010"/>
          <w:sz w:val="22"/>
        </w:rPr>
        <w:t>. The mechanisms of §4 — verified mode transition above an unmodified autopilot, the landing interlock as a queue-admission invariant, and companion-level failsafe arbitration semantics — are, to our knowledge, not described in that literature; a separate patentability analysis is included in the project's documentation set.</w:t>
      </w:r>
    </w:p>
    <w:p>
      <w:pPr>
        <w:keepNext/>
        <w:spacing w:before="200" w:after="120"/>
      </w:pPr>
      <w:r>
        <w:rPr>
          <w:rFonts w:ascii="Calibri" w:hAnsi="Calibri"/>
          <w:b/>
          <w:i/>
          <w:color w:val="1F3A5F"/>
          <w:sz w:val="23"/>
        </w:rPr>
        <w:t>2.5 DroneKit on modern Python</w:t>
      </w:r>
    </w:p>
    <w:p>
      <w:pPr>
        <w:spacing w:line="360" w:lineRule="auto" w:after="120"/>
        <w:jc w:val="both"/>
      </w:pPr>
      <w:r>
        <w:rPr>
          <w:rFonts w:ascii="Times New Roman" w:hAnsi="Times New Roman"/>
          <w:color w:val="101010"/>
          <w:sz w:val="22"/>
        </w:rPr>
        <w:t xml:space="preserve">DroneKit-Python 2.9.2 [3], the last released version, predates Python 3.10 and imports </w:t>
      </w:r>
      <w:r>
        <w:rPr>
          <w:rFonts w:ascii="Consolas" w:hAnsi="Consolas"/>
          <w:color w:val="101010"/>
          <w:sz w:val="22"/>
        </w:rPr>
        <w:t>collections.MutableMapping</w:t>
      </w:r>
      <w:r>
        <w:rPr>
          <w:rFonts w:ascii="Times New Roman" w:hAnsi="Times New Roman"/>
          <w:color w:val="101010"/>
          <w:sz w:val="22"/>
        </w:rPr>
        <w:t xml:space="preserve">, relocated to </w:t>
      </w:r>
      <w:r>
        <w:rPr>
          <w:rFonts w:ascii="Consolas" w:hAnsi="Consolas"/>
          <w:color w:val="101010"/>
          <w:sz w:val="22"/>
        </w:rPr>
        <w:t>collections.abc</w:t>
      </w:r>
      <w:r>
        <w:rPr>
          <w:rFonts w:ascii="Times New Roman" w:hAnsi="Times New Roman"/>
          <w:color w:val="101010"/>
          <w:sz w:val="22"/>
        </w:rPr>
        <w:t xml:space="preserve"> [14]. We restore the aliases before import (§4.1). This is a known community workaround; we document it because reproducibility of the whole stack depends on it.</w:t>
      </w:r>
    </w:p>
    <w:p>
      <w:pPr>
        <w:keepNext/>
        <w:spacing w:before="280" w:after="120"/>
      </w:pPr>
      <w:r>
        <w:rPr>
          <w:rFonts w:ascii="Calibri" w:hAnsi="Calibri"/>
          <w:b/>
          <w:i w:val="0"/>
          <w:color w:val="1F3A5F"/>
          <w:sz w:val="26"/>
        </w:rPr>
        <w:t>3. System Architecture</w:t>
      </w:r>
    </w:p>
    <w:p>
      <w:pPr>
        <w:jc w:val="center"/>
      </w:pPr>
      <w:r>
        <w:drawing>
          <wp:inline xmlns:a="http://schemas.openxmlformats.org/drawingml/2006/main" xmlns:pic="http://schemas.openxmlformats.org/drawingml/2006/picture">
            <wp:extent cx="5669280" cy="311314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3113144"/>
                    </a:xfrm>
                    <a:prstGeom prst="rect"/>
                  </pic:spPr>
                </pic:pic>
              </a:graphicData>
            </a:graphic>
          </wp:inline>
        </w:drawing>
      </w:r>
    </w:p>
    <w:p>
      <w:pPr>
        <w:jc w:val="center"/>
      </w:pPr>
      <w:r>
        <w:rPr>
          <w:rFonts w:ascii="Calibri" w:hAnsi="Calibri"/>
          <w:i/>
          <w:color w:val="555B63"/>
          <w:sz w:val="18"/>
        </w:rPr>
        <w:t>Figure 1 — Component architecture</w:t>
      </w:r>
    </w:p>
    <w:p>
      <w:pPr>
        <w:spacing w:line="360" w:lineRule="auto" w:after="120"/>
        <w:jc w:val="both"/>
      </w:pPr>
      <w:r>
        <w:rPr>
          <w:rFonts w:ascii="Times New Roman" w:hAnsi="Times New Roman"/>
          <w:i/>
          <w:color w:val="101010"/>
          <w:sz w:val="22"/>
        </w:rPr>
        <w:t>Figure 1. Component architecture. The dashboard never speaks MAVLink; the flight core never serves HTTP. The trigger API is the only component that holds both ends.</w:t>
      </w:r>
    </w:p>
    <w:p>
      <w:pPr>
        <w:keepNext/>
        <w:spacing w:before="200" w:after="120"/>
      </w:pPr>
      <w:r>
        <w:rPr>
          <w:rFonts w:ascii="Calibri" w:hAnsi="Calibri"/>
          <w:b/>
          <w:i/>
          <w:color w:val="1F3A5F"/>
          <w:sz w:val="23"/>
        </w:rPr>
        <w:t>3.1 flight_core</w:t>
      </w:r>
    </w:p>
    <w:p>
      <w:pPr>
        <w:spacing w:line="360" w:lineRule="auto" w:after="120"/>
        <w:jc w:val="both"/>
      </w:pPr>
      <w:r>
        <w:rPr>
          <w:rFonts w:ascii="Times New Roman" w:hAnsi="Times New Roman"/>
          <w:color w:val="101010"/>
          <w:sz w:val="22"/>
        </w:rPr>
        <w:t>The mission executor is a twelve-state machine (</w:t>
      </w:r>
      <w:r>
        <w:rPr>
          <w:rFonts w:ascii="Consolas" w:hAnsi="Consolas"/>
          <w:color w:val="101010"/>
          <w:sz w:val="22"/>
        </w:rPr>
        <w:t>IDLE</w:t>
      </w:r>
      <w:r>
        <w:rPr>
          <w:rFonts w:ascii="Times New Roman" w:hAnsi="Times New Roman"/>
          <w:color w:val="101010"/>
          <w:sz w:val="22"/>
        </w:rPr>
        <w:t xml:space="preserve">, </w:t>
      </w:r>
      <w:r>
        <w:rPr>
          <w:rFonts w:ascii="Consolas" w:hAnsi="Consolas"/>
          <w:color w:val="101010"/>
          <w:sz w:val="22"/>
        </w:rPr>
        <w:t>CONNECTING</w:t>
      </w:r>
      <w:r>
        <w:rPr>
          <w:rFonts w:ascii="Times New Roman" w:hAnsi="Times New Roman"/>
          <w:color w:val="101010"/>
          <w:sz w:val="22"/>
        </w:rPr>
        <w:t xml:space="preserve">, </w:t>
      </w:r>
      <w:r>
        <w:rPr>
          <w:rFonts w:ascii="Consolas" w:hAnsi="Consolas"/>
          <w:color w:val="101010"/>
          <w:sz w:val="22"/>
        </w:rPr>
        <w:t>WAITING_GPS</w:t>
      </w:r>
      <w:r>
        <w:rPr>
          <w:rFonts w:ascii="Times New Roman" w:hAnsi="Times New Roman"/>
          <w:color w:val="101010"/>
          <w:sz w:val="22"/>
        </w:rPr>
        <w:t xml:space="preserve">, </w:t>
      </w:r>
      <w:r>
        <w:rPr>
          <w:rFonts w:ascii="Consolas" w:hAnsi="Consolas"/>
          <w:color w:val="101010"/>
          <w:sz w:val="22"/>
        </w:rPr>
        <w:t>ARMING</w:t>
      </w:r>
      <w:r>
        <w:rPr>
          <w:rFonts w:ascii="Times New Roman" w:hAnsi="Times New Roman"/>
          <w:color w:val="101010"/>
          <w:sz w:val="22"/>
        </w:rPr>
        <w:t xml:space="preserve">, </w:t>
      </w:r>
      <w:r>
        <w:rPr>
          <w:rFonts w:ascii="Consolas" w:hAnsi="Consolas"/>
          <w:color w:val="101010"/>
          <w:sz w:val="22"/>
        </w:rPr>
        <w:t>TAKEOFF</w:t>
      </w:r>
      <w:r>
        <w:rPr>
          <w:rFonts w:ascii="Times New Roman" w:hAnsi="Times New Roman"/>
          <w:color w:val="101010"/>
          <w:sz w:val="22"/>
        </w:rPr>
        <w:t xml:space="preserve">, </w:t>
      </w:r>
      <w:r>
        <w:rPr>
          <w:rFonts w:ascii="Consolas" w:hAnsi="Consolas"/>
          <w:color w:val="101010"/>
          <w:sz w:val="22"/>
        </w:rPr>
        <w:t>ENROUTE</w:t>
      </w:r>
      <w:r>
        <w:rPr>
          <w:rFonts w:ascii="Times New Roman" w:hAnsi="Times New Roman"/>
          <w:color w:val="101010"/>
          <w:sz w:val="22"/>
        </w:rPr>
        <w:t xml:space="preserve">, </w:t>
      </w:r>
      <w:r>
        <w:rPr>
          <w:rFonts w:ascii="Consolas" w:hAnsi="Consolas"/>
          <w:color w:val="101010"/>
          <w:sz w:val="22"/>
        </w:rPr>
        <w:t>HOVERING</w:t>
      </w:r>
      <w:r>
        <w:rPr>
          <w:rFonts w:ascii="Times New Roman" w:hAnsi="Times New Roman"/>
          <w:color w:val="101010"/>
          <w:sz w:val="22"/>
        </w:rPr>
        <w:t xml:space="preserve">, </w:t>
      </w:r>
      <w:r>
        <w:rPr>
          <w:rFonts w:ascii="Consolas" w:hAnsi="Consolas"/>
          <w:color w:val="101010"/>
          <w:sz w:val="22"/>
        </w:rPr>
        <w:t>RTL</w:t>
      </w:r>
      <w:r>
        <w:rPr>
          <w:rFonts w:ascii="Times New Roman" w:hAnsi="Times New Roman"/>
          <w:color w:val="101010"/>
          <w:sz w:val="22"/>
        </w:rPr>
        <w:t xml:space="preserve">, </w:t>
      </w:r>
      <w:r>
        <w:rPr>
          <w:rFonts w:ascii="Consolas" w:hAnsi="Consolas"/>
          <w:color w:val="101010"/>
          <w:sz w:val="22"/>
        </w:rPr>
        <w:t>LANDED</w:t>
      </w:r>
      <w:r>
        <w:rPr>
          <w:rFonts w:ascii="Times New Roman" w:hAnsi="Times New Roman"/>
          <w:color w:val="101010"/>
          <w:sz w:val="22"/>
        </w:rPr>
        <w:t xml:space="preserve">, </w:t>
      </w:r>
      <w:r>
        <w:rPr>
          <w:rFonts w:ascii="Consolas" w:hAnsi="Consolas"/>
          <w:color w:val="101010"/>
          <w:sz w:val="22"/>
        </w:rPr>
        <w:t>COMPLETED</w:t>
      </w:r>
      <w:r>
        <w:rPr>
          <w:rFonts w:ascii="Times New Roman" w:hAnsi="Times New Roman"/>
          <w:color w:val="101010"/>
          <w:sz w:val="22"/>
        </w:rPr>
        <w:t xml:space="preserve">, </w:t>
      </w:r>
      <w:r>
        <w:rPr>
          <w:rFonts w:ascii="Consolas" w:hAnsi="Consolas"/>
          <w:color w:val="101010"/>
          <w:sz w:val="22"/>
        </w:rPr>
        <w:t>ABORTED</w:t>
      </w:r>
      <w:r>
        <w:rPr>
          <w:rFonts w:ascii="Times New Roman" w:hAnsi="Times New Roman"/>
          <w:color w:val="101010"/>
          <w:sz w:val="22"/>
        </w:rPr>
        <w:t xml:space="preserve">, </w:t>
      </w:r>
      <w:r>
        <w:rPr>
          <w:rFonts w:ascii="Consolas" w:hAnsi="Consolas"/>
          <w:color w:val="101010"/>
          <w:sz w:val="22"/>
        </w:rPr>
        <w:t>FAILED</w:t>
      </w:r>
      <w:r>
        <w:rPr>
          <w:rFonts w:ascii="Times New Roman" w:hAnsi="Times New Roman"/>
          <w:color w:val="101010"/>
          <w:sz w:val="22"/>
        </w:rPr>
        <w:t>); every transition is logged with a wall-clock timestamp and no state waits for human input (Figure 2). Supporting modules provide the MAVLink connection layer with retry and the Python-3.10+ shim (</w:t>
      </w:r>
      <w:r>
        <w:rPr>
          <w:rFonts w:ascii="Consolas" w:hAnsi="Consolas"/>
          <w:color w:val="101010"/>
          <w:sz w:val="22"/>
        </w:rPr>
        <w:t>mavlink_interface.py</w:t>
      </w:r>
      <w:r>
        <w:rPr>
          <w:rFonts w:ascii="Times New Roman" w:hAnsi="Times New Roman"/>
          <w:color w:val="101010"/>
          <w:sz w:val="22"/>
        </w:rPr>
        <w:t>), the failsafe arbiter (</w:t>
      </w:r>
      <w:r>
        <w:rPr>
          <w:rFonts w:ascii="Consolas" w:hAnsi="Consolas"/>
          <w:color w:val="101010"/>
          <w:sz w:val="22"/>
        </w:rPr>
        <w:t>failsafe_handler.py</w:t>
      </w:r>
      <w:r>
        <w:rPr>
          <w:rFonts w:ascii="Times New Roman" w:hAnsi="Times New Roman"/>
          <w:color w:val="101010"/>
          <w:sz w:val="22"/>
        </w:rPr>
        <w:t>, §4.4), and an environment-driven frozen configuration (</w:t>
      </w:r>
      <w:r>
        <w:rPr>
          <w:rFonts w:ascii="Consolas" w:hAnsi="Consolas"/>
          <w:color w:val="101010"/>
          <w:sz w:val="22"/>
        </w:rPr>
        <w:t>config.py</w:t>
      </w:r>
      <w:r>
        <w:rPr>
          <w:rFonts w:ascii="Times New Roman" w:hAnsi="Times New Roman"/>
          <w:color w:val="101010"/>
          <w:sz w:val="22"/>
        </w:rPr>
        <w:t>) constructed at process start so identical code runs in SITL, Docker, and on a companion computer.</w:t>
      </w:r>
    </w:p>
    <w:p>
      <w:pPr>
        <w:jc w:val="center"/>
      </w:pPr>
      <w:r>
        <w:drawing>
          <wp:inline xmlns:a="http://schemas.openxmlformats.org/drawingml/2006/main" xmlns:pic="http://schemas.openxmlformats.org/drawingml/2006/picture">
            <wp:extent cx="5669280" cy="3218171"/>
            <wp:docPr id="2" name="Picture 2"/>
            <wp:cNvGraphicFramePr>
              <a:graphicFrameLocks noChangeAspect="1"/>
            </wp:cNvGraphicFramePr>
            <a:graphic>
              <a:graphicData uri="http://schemas.openxmlformats.org/drawingml/2006/picture">
                <pic:pic>
                  <pic:nvPicPr>
                    <pic:cNvPr id="0" name="state_machine.png"/>
                    <pic:cNvPicPr/>
                  </pic:nvPicPr>
                  <pic:blipFill>
                    <a:blip r:embed="rId11"/>
                    <a:stretch>
                      <a:fillRect/>
                    </a:stretch>
                  </pic:blipFill>
                  <pic:spPr>
                    <a:xfrm>
                      <a:off x="0" y="0"/>
                      <a:ext cx="5669280" cy="3218171"/>
                    </a:xfrm>
                    <a:prstGeom prst="rect"/>
                  </pic:spPr>
                </pic:pic>
              </a:graphicData>
            </a:graphic>
          </wp:inline>
        </w:drawing>
      </w:r>
    </w:p>
    <w:p>
      <w:pPr>
        <w:jc w:val="center"/>
      </w:pPr>
      <w:r>
        <w:rPr>
          <w:rFonts w:ascii="Calibri" w:hAnsi="Calibri"/>
          <w:i/>
          <w:color w:val="555B63"/>
          <w:sz w:val="18"/>
        </w:rPr>
        <w:t>Figure 2 — Mission state machine</w:t>
      </w:r>
    </w:p>
    <w:p>
      <w:pPr>
        <w:keepNext/>
        <w:spacing w:before="200" w:after="120"/>
      </w:pPr>
      <w:r>
        <w:rPr>
          <w:rFonts w:ascii="Calibri" w:hAnsi="Calibri"/>
          <w:b/>
          <w:i/>
          <w:color w:val="1F3A5F"/>
          <w:sz w:val="23"/>
        </w:rPr>
        <w:t>3.2 trigger_api</w:t>
      </w:r>
    </w:p>
    <w:p>
      <w:pPr>
        <w:spacing w:line="360" w:lineRule="auto" w:after="120"/>
        <w:jc w:val="both"/>
      </w:pPr>
      <w:r>
        <w:rPr>
          <w:rFonts w:ascii="Times New Roman" w:hAnsi="Times New Roman"/>
          <w:color w:val="101010"/>
          <w:sz w:val="22"/>
        </w:rPr>
        <w:t>A FastAPI [6] application exposing the dispatch surface:</w:t>
      </w:r>
    </w:p>
    <w:tbl>
      <w:tblPr>
        <w:tblW w:type="auto" w:w="0"/>
        <w:jc w:val="center"/>
        <w:tblLook w:firstColumn="1" w:firstRow="1" w:lastColumn="0" w:lastRow="0" w:noHBand="0" w:noVBand="1" w:val="04A0"/>
        <w:tblBorders>
          <w:top w:val="single" w:sz="4" w:color="9AA4B2"/>
          <w:left w:val="single" w:sz="4" w:color="9AA4B2"/>
          <w:bottom w:val="single" w:sz="4" w:color="9AA4B2"/>
          <w:right w:val="single" w:sz="4" w:color="9AA4B2"/>
          <w:insideH w:val="single" w:sz="4" w:color="9AA4B2"/>
          <w:insideV w:val="single" w:sz="4" w:color="9AA4B2"/>
        </w:tblBorders>
      </w:tblPr>
      <w:tblGrid>
        <w:gridCol w:w="3120"/>
        <w:gridCol w:w="3120"/>
        <w:gridCol w:w="3120"/>
      </w:tblGrid>
      <w:tr>
        <w:tc>
          <w:tcPr>
            <w:tcW w:type="dxa" w:w="3120"/>
            <w:shd w:val="clear" w:fill="1F3A5F"/>
          </w:tcPr>
          <w:p>
            <w:r>
              <w:rPr>
                <w:rFonts w:ascii="Calibri" w:hAnsi="Calibri"/>
                <w:b/>
                <w:color w:val="FFFFFF"/>
                <w:sz w:val="19"/>
              </w:rPr>
              <w:t>Method</w:t>
            </w:r>
          </w:p>
        </w:tc>
        <w:tc>
          <w:tcPr>
            <w:tcW w:type="dxa" w:w="3120"/>
            <w:shd w:val="clear" w:fill="1F3A5F"/>
          </w:tcPr>
          <w:p>
            <w:r>
              <w:rPr>
                <w:rFonts w:ascii="Calibri" w:hAnsi="Calibri"/>
                <w:b/>
                <w:color w:val="FFFFFF"/>
                <w:sz w:val="19"/>
              </w:rPr>
              <w:t>Path</w:t>
            </w:r>
          </w:p>
        </w:tc>
        <w:tc>
          <w:tcPr>
            <w:tcW w:type="dxa" w:w="3120"/>
            <w:shd w:val="clear" w:fill="1F3A5F"/>
          </w:tcPr>
          <w:p>
            <w:r>
              <w:rPr>
                <w:rFonts w:ascii="Calibri" w:hAnsi="Calibri"/>
                <w:b/>
                <w:color w:val="FFFFFF"/>
                <w:sz w:val="19"/>
              </w:rPr>
              <w:t>Purpose</w:t>
            </w:r>
          </w:p>
        </w:tc>
      </w:tr>
      <w:tr>
        <w:tc>
          <w:tcPr>
            <w:tcW w:type="dxa" w:w="3120"/>
          </w:tcPr>
          <w:p>
            <w:r>
              <w:rPr>
                <w:rFonts w:ascii="Times New Roman" w:hAnsi="Times New Roman"/>
                <w:color w:val="101010"/>
                <w:sz w:val="19"/>
              </w:rPr>
              <w:t>POST</w:t>
            </w:r>
          </w:p>
        </w:tc>
        <w:tc>
          <w:tcPr>
            <w:tcW w:type="dxa" w:w="3120"/>
          </w:tcPr>
          <w:p>
            <w:r>
              <w:rPr>
                <w:rFonts w:ascii="Consolas" w:hAnsi="Consolas"/>
                <w:color w:val="101010"/>
                <w:sz w:val="19"/>
              </w:rPr>
              <w:t>/trigger</w:t>
            </w:r>
          </w:p>
        </w:tc>
        <w:tc>
          <w:tcPr>
            <w:tcW w:type="dxa" w:w="3120"/>
          </w:tcPr>
          <w:p>
            <w:r>
              <w:rPr>
                <w:rFonts w:ascii="Times New Roman" w:hAnsi="Times New Roman"/>
                <w:color w:val="101010"/>
                <w:sz w:val="19"/>
              </w:rPr>
              <w:t>Validate and enqueue a mission; returns id + ETA</w:t>
            </w:r>
          </w:p>
        </w:tc>
      </w:tr>
      <w:tr>
        <w:tc>
          <w:tcPr>
            <w:tcW w:type="dxa" w:w="3120"/>
          </w:tcPr>
          <w:p>
            <w:r>
              <w:rPr>
                <w:rFonts w:ascii="Times New Roman" w:hAnsi="Times New Roman"/>
                <w:color w:val="101010"/>
                <w:sz w:val="19"/>
              </w:rPr>
              <w:t>GET</w:t>
            </w:r>
          </w:p>
        </w:tc>
        <w:tc>
          <w:tcPr>
            <w:tcW w:type="dxa" w:w="3120"/>
          </w:tcPr>
          <w:p>
            <w:r>
              <w:rPr>
                <w:rFonts w:ascii="Consolas" w:hAnsi="Consolas"/>
                <w:color w:val="101010"/>
                <w:sz w:val="19"/>
              </w:rPr>
              <w:t>/mission/{id}</w:t>
            </w:r>
          </w:p>
        </w:tc>
        <w:tc>
          <w:tcPr>
            <w:tcW w:type="dxa" w:w="3120"/>
          </w:tcPr>
          <w:p>
            <w:r>
              <w:rPr>
                <w:rFonts w:ascii="Times New Roman" w:hAnsi="Times New Roman"/>
                <w:color w:val="101010"/>
                <w:sz w:val="19"/>
              </w:rPr>
              <w:t>Live mission status</w:t>
            </w:r>
          </w:p>
        </w:tc>
      </w:tr>
      <w:tr>
        <w:tc>
          <w:tcPr>
            <w:tcW w:type="dxa" w:w="3120"/>
          </w:tcPr>
          <w:p>
            <w:r>
              <w:rPr>
                <w:rFonts w:ascii="Times New Roman" w:hAnsi="Times New Roman"/>
                <w:color w:val="101010"/>
                <w:sz w:val="19"/>
              </w:rPr>
              <w:t>POST</w:t>
            </w:r>
          </w:p>
        </w:tc>
        <w:tc>
          <w:tcPr>
            <w:tcW w:type="dxa" w:w="3120"/>
          </w:tcPr>
          <w:p>
            <w:r>
              <w:rPr>
                <w:rFonts w:ascii="Consolas" w:hAnsi="Consolas"/>
                <w:color w:val="101010"/>
                <w:sz w:val="19"/>
              </w:rPr>
              <w:t>/mission/{id}/cancel</w:t>
            </w:r>
          </w:p>
        </w:tc>
        <w:tc>
          <w:tcPr>
            <w:tcW w:type="dxa" w:w="3120"/>
          </w:tcPr>
          <w:p>
            <w:r>
              <w:rPr>
                <w:rFonts w:ascii="Times New Roman" w:hAnsi="Times New Roman"/>
                <w:color w:val="101010"/>
                <w:sz w:val="19"/>
              </w:rPr>
              <w:t>Recall: dequeue if queued, abort-to-RTL if flying</w:t>
            </w:r>
          </w:p>
        </w:tc>
      </w:tr>
      <w:tr>
        <w:tc>
          <w:tcPr>
            <w:tcW w:type="dxa" w:w="3120"/>
          </w:tcPr>
          <w:p>
            <w:r>
              <w:rPr>
                <w:rFonts w:ascii="Times New Roman" w:hAnsi="Times New Roman"/>
                <w:color w:val="101010"/>
                <w:sz w:val="19"/>
              </w:rPr>
              <w:t>POST</w:t>
            </w:r>
          </w:p>
        </w:tc>
        <w:tc>
          <w:tcPr>
            <w:tcW w:type="dxa" w:w="3120"/>
          </w:tcPr>
          <w:p>
            <w:r>
              <w:rPr>
                <w:rFonts w:ascii="Consolas" w:hAnsi="Consolas"/>
                <w:color w:val="101010"/>
                <w:sz w:val="19"/>
              </w:rPr>
              <w:t>/mission/{id}/waypoint</w:t>
            </w:r>
          </w:p>
        </w:tc>
        <w:tc>
          <w:tcPr>
            <w:tcW w:type="dxa" w:w="3120"/>
          </w:tcPr>
          <w:p>
            <w:r>
              <w:rPr>
                <w:rFonts w:ascii="Times New Roman" w:hAnsi="Times New Roman"/>
                <w:color w:val="101010"/>
                <w:sz w:val="19"/>
              </w:rPr>
              <w:t>Operator-injected detour (the only other write)</w:t>
            </w:r>
          </w:p>
        </w:tc>
      </w:tr>
      <w:tr>
        <w:tc>
          <w:tcPr>
            <w:tcW w:type="dxa" w:w="3120"/>
          </w:tcPr>
          <w:p>
            <w:r>
              <w:rPr>
                <w:rFonts w:ascii="Times New Roman" w:hAnsi="Times New Roman"/>
                <w:color w:val="101010"/>
                <w:sz w:val="19"/>
              </w:rPr>
              <w:t>GET</w:t>
            </w:r>
          </w:p>
        </w:tc>
        <w:tc>
          <w:tcPr>
            <w:tcW w:type="dxa" w:w="3120"/>
          </w:tcPr>
          <w:p>
            <w:r>
              <w:rPr>
                <w:rFonts w:ascii="Consolas" w:hAnsi="Consolas"/>
                <w:color w:val="101010"/>
                <w:sz w:val="19"/>
              </w:rPr>
              <w:t>/missions</w:t>
            </w:r>
            <w:r>
              <w:rPr>
                <w:rFonts w:ascii="Times New Roman" w:hAnsi="Times New Roman"/>
                <w:color w:val="101010"/>
                <w:sz w:val="19"/>
              </w:rPr>
              <w:t xml:space="preserve">, </w:t>
            </w:r>
            <w:r>
              <w:rPr>
                <w:rFonts w:ascii="Consolas" w:hAnsi="Consolas"/>
                <w:color w:val="101010"/>
                <w:sz w:val="19"/>
              </w:rPr>
              <w:t>/missions/archive</w:t>
            </w:r>
          </w:p>
        </w:tc>
        <w:tc>
          <w:tcPr>
            <w:tcW w:type="dxa" w:w="3120"/>
          </w:tcPr>
          <w:p>
            <w:r>
              <w:rPr>
                <w:rFonts w:ascii="Times New Roman" w:hAnsi="Times New Roman"/>
                <w:color w:val="101010"/>
                <w:sz w:val="19"/>
              </w:rPr>
              <w:t>In-memory and SQLite-persisted history</w:t>
            </w:r>
          </w:p>
        </w:tc>
      </w:tr>
      <w:tr>
        <w:tc>
          <w:tcPr>
            <w:tcW w:type="dxa" w:w="3120"/>
          </w:tcPr>
          <w:p>
            <w:r>
              <w:rPr>
                <w:rFonts w:ascii="Times New Roman" w:hAnsi="Times New Roman"/>
                <w:color w:val="101010"/>
                <w:sz w:val="19"/>
              </w:rPr>
              <w:t>GET</w:t>
            </w:r>
          </w:p>
        </w:tc>
        <w:tc>
          <w:tcPr>
            <w:tcW w:type="dxa" w:w="3120"/>
          </w:tcPr>
          <w:p>
            <w:r>
              <w:rPr>
                <w:rFonts w:ascii="Consolas" w:hAnsi="Consolas"/>
                <w:color w:val="101010"/>
                <w:sz w:val="19"/>
              </w:rPr>
              <w:t>/telemetry</w:t>
            </w:r>
            <w:r>
              <w:rPr>
                <w:rFonts w:ascii="Times New Roman" w:hAnsi="Times New Roman"/>
                <w:color w:val="101010"/>
                <w:sz w:val="19"/>
              </w:rPr>
              <w:t xml:space="preserve">, WS </w:t>
            </w:r>
            <w:r>
              <w:rPr>
                <w:rFonts w:ascii="Consolas" w:hAnsi="Consolas"/>
                <w:color w:val="101010"/>
                <w:sz w:val="19"/>
              </w:rPr>
              <w:t>/ws/telemetry</w:t>
            </w:r>
          </w:p>
        </w:tc>
        <w:tc>
          <w:tcPr>
            <w:tcW w:type="dxa" w:w="3120"/>
          </w:tcPr>
          <w:p>
            <w:r>
              <w:rPr>
                <w:rFonts w:ascii="Times New Roman" w:hAnsi="Times New Roman"/>
                <w:color w:val="101010"/>
                <w:sz w:val="19"/>
              </w:rPr>
              <w:t>Snapshot and 2 Hz stream</w:t>
            </w:r>
          </w:p>
        </w:tc>
      </w:tr>
      <w:tr>
        <w:tc>
          <w:tcPr>
            <w:tcW w:type="dxa" w:w="3120"/>
          </w:tcPr>
          <w:p>
            <w:r>
              <w:rPr>
                <w:rFonts w:ascii="Times New Roman" w:hAnsi="Times New Roman"/>
                <w:color w:val="101010"/>
                <w:sz w:val="19"/>
              </w:rPr>
              <w:t>GET</w:t>
            </w:r>
          </w:p>
        </w:tc>
        <w:tc>
          <w:tcPr>
            <w:tcW w:type="dxa" w:w="3120"/>
          </w:tcPr>
          <w:p>
            <w:r>
              <w:rPr>
                <w:rFonts w:ascii="Consolas" w:hAnsi="Consolas"/>
                <w:color w:val="101010"/>
                <w:sz w:val="19"/>
              </w:rPr>
              <w:t>/health</w:t>
            </w:r>
          </w:p>
        </w:tc>
        <w:tc>
          <w:tcPr>
            <w:tcW w:type="dxa" w:w="3120"/>
          </w:tcPr>
          <w:p>
            <w:r>
              <w:rPr>
                <w:rFonts w:ascii="Times New Roman" w:hAnsi="Times New Roman"/>
                <w:color w:val="101010"/>
                <w:sz w:val="19"/>
              </w:rPr>
              <w:t>Liveness, connectivity, queue depth</w:t>
            </w:r>
          </w:p>
        </w:tc>
      </w:tr>
    </w:tbl>
    <w:p>
      <w:pPr>
        <w:spacing w:after="80"/>
      </w:pPr>
    </w:p>
    <w:p>
      <w:pPr>
        <w:spacing w:line="360" w:lineRule="auto" w:after="120"/>
        <w:jc w:val="both"/>
      </w:pPr>
      <w:r>
        <w:rPr>
          <w:rFonts w:ascii="Times New Roman" w:hAnsi="Times New Roman"/>
          <w:color w:val="101010"/>
          <w:sz w:val="22"/>
        </w:rPr>
        <w:t>Write endpoints carry optional shared-token authentication (</w:t>
      </w:r>
      <w:r>
        <w:rPr>
          <w:rFonts w:ascii="Consolas" w:hAnsi="Consolas"/>
          <w:color w:val="101010"/>
          <w:sz w:val="22"/>
        </w:rPr>
        <w:t>X-API-Key</w:t>
      </w:r>
      <w:r>
        <w:rPr>
          <w:rFonts w:ascii="Times New Roman" w:hAnsi="Times New Roman"/>
          <w:color w:val="101010"/>
          <w:sz w:val="22"/>
        </w:rPr>
        <w:t xml:space="preserve">); requests whose target or waypoint lies outside the configured geofence are rejected at the edge with HTTP 400, so the failsafe that would otherwise abort the flight mid-air is converted into an input-validation error. Mission history is persisted to SQLite, and records orphaned by a crash are surfaced as </w:t>
      </w:r>
      <w:r>
        <w:rPr>
          <w:rFonts w:ascii="Consolas" w:hAnsi="Consolas"/>
          <w:color w:val="101010"/>
          <w:sz w:val="22"/>
        </w:rPr>
        <w:t>interrupted</w:t>
      </w:r>
      <w:r>
        <w:rPr>
          <w:rFonts w:ascii="Times New Roman" w:hAnsi="Times New Roman"/>
          <w:color w:val="101010"/>
          <w:sz w:val="22"/>
        </w:rPr>
        <w:t xml:space="preserve"> on restart. The mission lifecycle across these components is shown in Figure 3.</w:t>
      </w:r>
    </w:p>
    <w:p>
      <w:pPr>
        <w:jc w:val="center"/>
      </w:pPr>
      <w:r>
        <w:drawing>
          <wp:inline xmlns:a="http://schemas.openxmlformats.org/drawingml/2006/main" xmlns:pic="http://schemas.openxmlformats.org/drawingml/2006/picture">
            <wp:extent cx="5669280" cy="4174174"/>
            <wp:docPr id="3" name="Picture 3"/>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5669280" cy="4174174"/>
                    </a:xfrm>
                    <a:prstGeom prst="rect"/>
                  </pic:spPr>
                </pic:pic>
              </a:graphicData>
            </a:graphic>
          </wp:inline>
        </w:drawing>
      </w:r>
    </w:p>
    <w:p>
      <w:pPr>
        <w:jc w:val="center"/>
      </w:pPr>
      <w:r>
        <w:rPr>
          <w:rFonts w:ascii="Calibri" w:hAnsi="Calibri"/>
          <w:i/>
          <w:color w:val="555B63"/>
          <w:sz w:val="18"/>
        </w:rPr>
        <w:t>Figure 3 — Mission sequence</w:t>
      </w:r>
    </w:p>
    <w:p>
      <w:pPr>
        <w:keepNext/>
        <w:spacing w:before="200" w:after="120"/>
      </w:pPr>
      <w:r>
        <w:rPr>
          <w:rFonts w:ascii="Calibri" w:hAnsi="Calibri"/>
          <w:b/>
          <w:i/>
          <w:color w:val="1F3A5F"/>
          <w:sz w:val="23"/>
        </w:rPr>
        <w:t>3.3 Dashboard</w:t>
      </w:r>
    </w:p>
    <w:p>
      <w:pPr>
        <w:spacing w:line="360" w:lineRule="auto" w:after="120"/>
        <w:jc w:val="both"/>
      </w:pPr>
      <w:r>
        <w:rPr>
          <w:rFonts w:ascii="Times New Roman" w:hAnsi="Times New Roman"/>
          <w:color w:val="101010"/>
          <w:sz w:val="22"/>
        </w:rPr>
        <w:t>A React 18 [8] single-page application bundled by Vite [9]: a Leaflet [10] map over OpenStreetMap tiles [11] (home, target, live drone position with heading, breadcrumb trail), a telemetry panel, dispatch and detour forms, a mission-recall control, and an incident log. There are no manual flight controls. All map assets are bundled at build time so the viewer operates on networks without internet access.</w:t>
      </w:r>
    </w:p>
    <w:p>
      <w:pPr>
        <w:keepNext/>
        <w:spacing w:before="200" w:after="120"/>
      </w:pPr>
      <w:r>
        <w:rPr>
          <w:rFonts w:ascii="Calibri" w:hAnsi="Calibri"/>
          <w:b/>
          <w:i/>
          <w:color w:val="1F3A5F"/>
          <w:sz w:val="23"/>
        </w:rPr>
        <w:t>3.4 Autopilot substrate</w:t>
      </w:r>
    </w:p>
    <w:p>
      <w:pPr>
        <w:spacing w:line="360" w:lineRule="auto" w:after="120"/>
        <w:jc w:val="both"/>
      </w:pPr>
      <w:r>
        <w:rPr>
          <w:rFonts w:ascii="Consolas" w:hAnsi="Consolas"/>
          <w:color w:val="101010"/>
          <w:sz w:val="22"/>
        </w:rPr>
        <w:t>dronekit-sitl copter-3.3</w:t>
      </w:r>
      <w:r>
        <w:rPr>
          <w:rFonts w:ascii="Times New Roman" w:hAnsi="Times New Roman"/>
          <w:color w:val="101010"/>
          <w:sz w:val="22"/>
        </w:rPr>
        <w:t xml:space="preserve"> [5] in simulation; an ArduPilot flight controller [1] [12] over serial in deployment. The swap is one environment variable (</w:t>
      </w:r>
      <w:r>
        <w:rPr>
          <w:rFonts w:ascii="Consolas" w:hAnsi="Consolas"/>
          <w:color w:val="101010"/>
          <w:sz w:val="22"/>
        </w:rPr>
        <w:t>MAVLINK_CONNECTION</w:t>
      </w:r>
      <w:r>
        <w:rPr>
          <w:rFonts w:ascii="Times New Roman" w:hAnsi="Times New Roman"/>
          <w:color w:val="101010"/>
          <w:sz w:val="22"/>
        </w:rPr>
        <w:t>).</w:t>
      </w:r>
    </w:p>
    <w:p>
      <w:pPr>
        <w:keepNext/>
        <w:spacing w:before="280" w:after="120"/>
      </w:pPr>
      <w:r>
        <w:rPr>
          <w:rFonts w:ascii="Calibri" w:hAnsi="Calibri"/>
          <w:b/>
          <w:i w:val="0"/>
          <w:color w:val="1F3A5F"/>
          <w:sz w:val="26"/>
        </w:rPr>
        <w:t>4. Safety Mechanisms</w:t>
      </w:r>
    </w:p>
    <w:p>
      <w:pPr>
        <w:keepNext/>
        <w:spacing w:before="200" w:after="120"/>
      </w:pPr>
      <w:r>
        <w:rPr>
          <w:rFonts w:ascii="Calibri" w:hAnsi="Calibri"/>
          <w:b/>
          <w:i/>
          <w:color w:val="1F3A5F"/>
          <w:sz w:val="23"/>
        </w:rPr>
        <w:t>4.1 Compatibility shim</w:t>
      </w:r>
    </w:p>
    <w:p>
      <w:pPr>
        <w:spacing w:line="360" w:lineRule="auto" w:after="120"/>
        <w:jc w:val="both"/>
      </w:pPr>
      <w:r>
        <w:rPr>
          <w:rFonts w:ascii="Times New Roman" w:hAnsi="Times New Roman"/>
          <w:color w:val="101010"/>
          <w:sz w:val="22"/>
        </w:rPr>
        <w:t xml:space="preserve">Before importing DroneKit, the abstract-base-class names removed from </w:t>
      </w:r>
      <w:r>
        <w:rPr>
          <w:rFonts w:ascii="Consolas" w:hAnsi="Consolas"/>
          <w:color w:val="101010"/>
          <w:sz w:val="22"/>
        </w:rPr>
        <w:t>collections</w:t>
      </w:r>
      <w:r>
        <w:rPr>
          <w:rFonts w:ascii="Times New Roman" w:hAnsi="Times New Roman"/>
          <w:color w:val="101010"/>
          <w:sz w:val="22"/>
        </w:rPr>
        <w:t xml:space="preserve"> in Python 3.10 [14] are re-aliased from </w:t>
      </w:r>
      <w:r>
        <w:rPr>
          <w:rFonts w:ascii="Consolas" w:hAnsi="Consolas"/>
          <w:color w:val="101010"/>
          <w:sz w:val="22"/>
        </w:rPr>
        <w:t>collections.abc</w:t>
      </w:r>
      <w:r>
        <w:rPr>
          <w:rFonts w:ascii="Times New Roman" w:hAnsi="Times New Roman"/>
          <w:color w:val="101010"/>
          <w:sz w:val="22"/>
        </w:rPr>
        <w:t xml:space="preserve">, and the </w:t>
      </w:r>
      <w:r>
        <w:rPr>
          <w:rFonts w:ascii="Consolas" w:hAnsi="Consolas"/>
          <w:color w:val="101010"/>
          <w:sz w:val="22"/>
        </w:rPr>
        <w:t>future</w:t>
      </w:r>
      <w:r>
        <w:rPr>
          <w:rFonts w:ascii="Times New Roman" w:hAnsi="Times New Roman"/>
          <w:color w:val="101010"/>
          <w:sz w:val="22"/>
        </w:rPr>
        <w:t xml:space="preserve"> package supplies </w:t>
      </w:r>
      <w:r>
        <w:rPr>
          <w:rFonts w:ascii="Consolas" w:hAnsi="Consolas"/>
          <w:color w:val="101010"/>
          <w:sz w:val="22"/>
        </w:rPr>
        <w:t>past.builtins.basestring</w:t>
      </w:r>
      <w:r>
        <w:rPr>
          <w:rFonts w:ascii="Times New Roman" w:hAnsi="Times New Roman"/>
          <w:color w:val="101010"/>
          <w:sz w:val="22"/>
        </w:rPr>
        <w:t>. With these two measures, the unmodified DroneKit 2.9.2 [3] runs on Python 3.11/3.12.</w:t>
      </w:r>
    </w:p>
    <w:p>
      <w:pPr>
        <w:keepNext/>
        <w:spacing w:before="200" w:after="120"/>
      </w:pPr>
      <w:r>
        <w:rPr>
          <w:rFonts w:ascii="Calibri" w:hAnsi="Calibri"/>
          <w:b/>
          <w:i/>
          <w:color w:val="1F3A5F"/>
          <w:sz w:val="23"/>
        </w:rPr>
        <w:t>4.2 Verified mode transition</w:t>
      </w:r>
    </w:p>
    <w:p>
      <w:pPr>
        <w:spacing w:line="360" w:lineRule="auto" w:after="120"/>
        <w:jc w:val="both"/>
      </w:pPr>
      <w:r>
        <w:rPr>
          <w:rFonts w:ascii="Times New Roman" w:hAnsi="Times New Roman"/>
          <w:color w:val="101010"/>
          <w:sz w:val="22"/>
        </w:rPr>
        <w:t xml:space="preserve">All mode changes — nominal and emergency — go through one routine, </w:t>
      </w:r>
      <w:r>
        <w:rPr>
          <w:rFonts w:ascii="Consolas" w:hAnsi="Consolas"/>
          <w:color w:val="101010"/>
          <w:sz w:val="22"/>
        </w:rPr>
        <w:t>_set_mode_confirmed(mode, timeout)</w:t>
      </w:r>
      <w:r>
        <w:rPr>
          <w:rFonts w:ascii="Times New Roman" w:hAnsi="Times New Roman"/>
          <w:color w:val="101010"/>
          <w:sz w:val="22"/>
        </w:rPr>
        <w:t>:</w:t>
      </w:r>
    </w:p>
    <w:p>
      <w:pPr>
        <w:spacing w:line="360" w:lineRule="auto" w:after="60"/>
        <w:ind w:left="360"/>
        <w:jc w:val="both"/>
      </w:pPr>
      <w:r>
        <w:rPr>
          <w:rFonts w:ascii="Times New Roman" w:hAnsi="Times New Roman"/>
          <w:color w:val="101010"/>
          <w:sz w:val="22"/>
        </w:rPr>
        <w:t>1. Attempt the DroneKit high-level setter.</w:t>
      </w:r>
    </w:p>
    <w:p>
      <w:pPr>
        <w:spacing w:line="360" w:lineRule="auto" w:after="60"/>
        <w:ind w:left="360"/>
        <w:jc w:val="both"/>
      </w:pPr>
      <w:r>
        <w:rPr>
          <w:rFonts w:ascii="Times New Roman" w:hAnsi="Times New Roman"/>
          <w:color w:val="101010"/>
          <w:sz w:val="22"/>
        </w:rPr>
        <w:t xml:space="preserve">2. Until the deadline: read the autopilot's </w:t>
      </w:r>
      <w:r>
        <w:rPr>
          <w:rFonts w:ascii="Times New Roman" w:hAnsi="Times New Roman"/>
          <w:i/>
          <w:color w:val="101010"/>
          <w:sz w:val="22"/>
        </w:rPr>
        <w:t>reported</w:t>
      </w:r>
      <w:r>
        <w:rPr>
          <w:rFonts w:ascii="Times New Roman" w:hAnsi="Times New Roman"/>
          <w:color w:val="101010"/>
          <w:sz w:val="22"/>
        </w:rPr>
        <w:t xml:space="preserve"> mode (derived from</w:t>
      </w:r>
    </w:p>
    <w:p>
      <w:pPr>
        <w:spacing w:line="360" w:lineRule="auto" w:after="120"/>
        <w:jc w:val="both"/>
      </w:pPr>
      <w:r>
        <w:rPr>
          <w:rFonts w:ascii="Times New Roman" w:hAnsi="Times New Roman"/>
          <w:color w:val="101010"/>
          <w:sz w:val="22"/>
        </w:rPr>
        <w:t>its HEARTBEAT stream); if it equals the request, return success.</w:t>
      </w:r>
    </w:p>
    <w:p>
      <w:pPr>
        <w:spacing w:line="360" w:lineRule="auto" w:after="60"/>
        <w:ind w:left="360"/>
        <w:jc w:val="both"/>
      </w:pPr>
      <w:r>
        <w:rPr>
          <w:rFonts w:ascii="Times New Roman" w:hAnsi="Times New Roman"/>
          <w:color w:val="101010"/>
          <w:sz w:val="22"/>
        </w:rPr>
        <w:t>3. Every 700 ms of non-confirmation, re-issue the request as a raw</w:t>
      </w:r>
    </w:p>
    <w:p>
      <w:pPr>
        <w:spacing w:line="360" w:lineRule="auto" w:after="120"/>
        <w:jc w:val="both"/>
      </w:pPr>
      <w:r>
        <w:rPr>
          <w:rFonts w:ascii="Times New Roman" w:hAnsi="Times New Roman"/>
          <w:color w:val="101010"/>
          <w:sz w:val="22"/>
        </w:rPr>
        <w:t xml:space="preserve">MAVLink </w:t>
      </w:r>
      <w:r>
        <w:rPr>
          <w:rFonts w:ascii="Consolas" w:hAnsi="Consolas"/>
          <w:color w:val="101010"/>
          <w:sz w:val="22"/>
        </w:rPr>
        <w:t>COMMAND_LONG</w:t>
      </w:r>
      <w:r>
        <w:rPr>
          <w:rFonts w:ascii="Times New Roman" w:hAnsi="Times New Roman"/>
          <w:color w:val="101010"/>
          <w:sz w:val="22"/>
        </w:rPr>
        <w:t xml:space="preserve"> carrying </w:t>
      </w:r>
      <w:r>
        <w:rPr>
          <w:rFonts w:ascii="Consolas" w:hAnsi="Consolas"/>
          <w:color w:val="101010"/>
          <w:sz w:val="22"/>
        </w:rPr>
        <w:t>MAV_CMD_DO_SET_MODE</w:t>
      </w:r>
      <w:r>
        <w:rPr>
          <w:rFonts w:ascii="Times New Roman" w:hAnsi="Times New Roman"/>
          <w:color w:val="101010"/>
          <w:sz w:val="22"/>
        </w:rPr>
        <w:t xml:space="preserve"> </w:t>
      </w:r>
      <w:r>
        <w:rPr>
          <w:rFonts w:ascii="Times New Roman" w:hAnsi="Times New Roman"/>
          <w:i/>
          <w:color w:val="101010"/>
          <w:sz w:val="22"/>
        </w:rPr>
        <w:t>and</w:t>
      </w:r>
      <w:r>
        <w:rPr>
          <w:rFonts w:ascii="Times New Roman" w:hAnsi="Times New Roman"/>
          <w:color w:val="101010"/>
          <w:sz w:val="22"/>
        </w:rPr>
        <w:t xml:space="preserve"> as a legacy </w:t>
      </w:r>
      <w:r>
        <w:rPr>
          <w:rFonts w:ascii="Consolas" w:hAnsi="Consolas"/>
          <w:color w:val="101010"/>
          <w:sz w:val="22"/>
        </w:rPr>
        <w:t>SET_MODE</w:t>
      </w:r>
      <w:r>
        <w:rPr>
          <w:rFonts w:ascii="Times New Roman" w:hAnsi="Times New Roman"/>
          <w:color w:val="101010"/>
          <w:sz w:val="22"/>
        </w:rPr>
        <w:t xml:space="preserve"> message [2], and re-poke the high-level setter.</w:t>
      </w:r>
    </w:p>
    <w:p>
      <w:pPr>
        <w:spacing w:line="360" w:lineRule="auto" w:after="60"/>
        <w:ind w:left="360"/>
        <w:jc w:val="both"/>
      </w:pPr>
      <w:r>
        <w:rPr>
          <w:rFonts w:ascii="Times New Roman" w:hAnsi="Times New Roman"/>
          <w:color w:val="101010"/>
          <w:sz w:val="22"/>
        </w:rPr>
        <w:t>4. On timeout, return failure to the caller — which, on the abort path,</w:t>
      </w:r>
    </w:p>
    <w:p>
      <w:pPr>
        <w:spacing w:line="360" w:lineRule="auto" w:after="120"/>
        <w:jc w:val="both"/>
      </w:pPr>
      <w:r>
        <w:rPr>
          <w:rFonts w:ascii="Times New Roman" w:hAnsi="Times New Roman"/>
          <w:color w:val="101010"/>
          <w:sz w:val="22"/>
        </w:rPr>
        <w:t xml:space="preserve">triggers the </w:t>
      </w:r>
      <w:r>
        <w:rPr>
          <w:rFonts w:ascii="Times New Roman" w:hAnsi="Times New Roman"/>
          <w:b/>
          <w:color w:val="101010"/>
          <w:sz w:val="22"/>
        </w:rPr>
        <w:t>cross-action fallback</w:t>
      </w:r>
      <w:r>
        <w:rPr>
          <w:rFonts w:ascii="Times New Roman" w:hAnsi="Times New Roman"/>
          <w:color w:val="101010"/>
          <w:sz w:val="22"/>
        </w:rPr>
        <w:t>: if RTL will not confirm, LAND is attempted, and vice versa.</w:t>
      </w:r>
    </w:p>
    <w:p>
      <w:pPr>
        <w:spacing w:line="360" w:lineRule="auto" w:after="120"/>
        <w:jc w:val="both"/>
      </w:pPr>
      <w:r>
        <w:rPr>
          <w:rFonts w:ascii="Times New Roman" w:hAnsi="Times New Roman"/>
          <w:color w:val="101010"/>
          <w:sz w:val="22"/>
        </w:rPr>
        <w:t xml:space="preserve">The design principle is that </w:t>
      </w:r>
      <w:r>
        <w:rPr>
          <w:rFonts w:ascii="Times New Roman" w:hAnsi="Times New Roman"/>
          <w:i/>
          <w:color w:val="101010"/>
          <w:sz w:val="22"/>
        </w:rPr>
        <w:t>the autopilot's own telemetry is the only acceptable evidence that a command took effect</w:t>
      </w:r>
      <w:r>
        <w:rPr>
          <w:rFonts w:ascii="Times New Roman" w:hAnsi="Times New Roman"/>
          <w:color w:val="101010"/>
          <w:sz w:val="22"/>
        </w:rPr>
        <w:t>. Client-library state is treated as a hint. On ArduCopter 3.3 SITL the protocol converges within two retries; on modern firmware the first attempt usually suffices and the fallback layers are dormant. The protocol is idempotent — re-issuing a mode the autopilot already holds is harmless — which makes the retry loop safe by construction.</w:t>
      </w:r>
    </w:p>
    <w:p>
      <w:pPr>
        <w:keepNext/>
        <w:spacing w:before="200" w:after="120"/>
      </w:pPr>
      <w:r>
        <w:rPr>
          <w:rFonts w:ascii="Calibri" w:hAnsi="Calibri"/>
          <w:b/>
          <w:i/>
          <w:color w:val="1F3A5F"/>
          <w:sz w:val="23"/>
        </w:rPr>
        <w:t>4.3 The landing-interlocked dispatch pipeline</w:t>
      </w:r>
    </w:p>
    <w:p>
      <w:pPr>
        <w:spacing w:line="360" w:lineRule="auto" w:after="120"/>
        <w:jc w:val="both"/>
      </w:pPr>
      <w:r>
        <w:rPr>
          <w:rFonts w:ascii="Times New Roman" w:hAnsi="Times New Roman"/>
          <w:color w:val="101010"/>
          <w:sz w:val="22"/>
        </w:rPr>
        <w:t>Five gates stand between an HTTP trigger and the next mission (Figure 7):</w:t>
      </w:r>
    </w:p>
    <w:p>
      <w:pPr>
        <w:spacing w:line="360" w:lineRule="auto" w:after="60"/>
        <w:ind w:left="360"/>
        <w:jc w:val="both"/>
      </w:pPr>
      <w:r>
        <w:rPr>
          <w:rFonts w:ascii="Times New Roman" w:hAnsi="Times New Roman"/>
          <w:color w:val="101010"/>
          <w:sz w:val="22"/>
        </w:rPr>
        <w:t xml:space="preserve">1. </w:t>
      </w:r>
      <w:r>
        <w:rPr>
          <w:rFonts w:ascii="Times New Roman" w:hAnsi="Times New Roman"/>
          <w:b/>
          <w:color w:val="101010"/>
          <w:sz w:val="22"/>
        </w:rPr>
        <w:t>Edge validation.</w:t>
      </w:r>
      <w:r>
        <w:rPr>
          <w:rFonts w:ascii="Times New Roman" w:hAnsi="Times New Roman"/>
          <w:color w:val="101010"/>
          <w:sz w:val="22"/>
        </w:rPr>
        <w:t xml:space="preserve"> Coordinate bounds, altitude limits (2–120 m,</w:t>
      </w:r>
    </w:p>
    <w:p>
      <w:pPr>
        <w:spacing w:line="360" w:lineRule="auto" w:after="120"/>
        <w:jc w:val="both"/>
      </w:pPr>
      <w:r>
        <w:rPr>
          <w:rFonts w:ascii="Times New Roman" w:hAnsi="Times New Roman"/>
          <w:color w:val="101010"/>
          <w:sz w:val="22"/>
        </w:rPr>
        <w:t>reflecting prevailing small-UAS ceilings [13]), hover bounds, priority vocabulary, geofence containment of the target, optional API token.</w:t>
      </w:r>
    </w:p>
    <w:p>
      <w:pPr>
        <w:spacing w:line="360" w:lineRule="auto" w:after="60"/>
        <w:ind w:left="360"/>
        <w:jc w:val="both"/>
      </w:pPr>
      <w:r>
        <w:rPr>
          <w:rFonts w:ascii="Times New Roman" w:hAnsi="Times New Roman"/>
          <w:color w:val="101010"/>
          <w:sz w:val="22"/>
        </w:rPr>
        <w:t xml:space="preserve">2. </w:t>
      </w:r>
      <w:r>
        <w:rPr>
          <w:rFonts w:ascii="Times New Roman" w:hAnsi="Times New Roman"/>
          <w:b/>
          <w:color w:val="101010"/>
          <w:sz w:val="22"/>
        </w:rPr>
        <w:t>Queue admission.</w:t>
      </w:r>
      <w:r>
        <w:rPr>
          <w:rFonts w:ascii="Times New Roman" w:hAnsi="Times New Roman"/>
          <w:color w:val="101010"/>
          <w:sz w:val="22"/>
        </w:rPr>
        <w:t xml:space="preserve"> A bounded queue (HTTP 429 beyond capacity) with</w:t>
      </w:r>
    </w:p>
    <w:p>
      <w:pPr>
        <w:spacing w:line="360" w:lineRule="auto" w:after="120"/>
        <w:jc w:val="both"/>
      </w:pPr>
      <w:r>
        <w:rPr>
          <w:rFonts w:ascii="Times New Roman" w:hAnsi="Times New Roman"/>
          <w:color w:val="101010"/>
          <w:sz w:val="22"/>
        </w:rPr>
        <w:t>priority ordering (critical ≻ high ≻ normal ≻ low, FIFO within a class) and strictly serial execution — one physical drone, one mission.</w:t>
      </w:r>
    </w:p>
    <w:p>
      <w:pPr>
        <w:spacing w:line="360" w:lineRule="auto" w:after="60"/>
        <w:ind w:left="360"/>
        <w:jc w:val="both"/>
      </w:pPr>
      <w:r>
        <w:rPr>
          <w:rFonts w:ascii="Times New Roman" w:hAnsi="Times New Roman"/>
          <w:color w:val="101010"/>
          <w:sz w:val="22"/>
        </w:rPr>
        <w:t xml:space="preserve">3. </w:t>
      </w:r>
      <w:r>
        <w:rPr>
          <w:rFonts w:ascii="Times New Roman" w:hAnsi="Times New Roman"/>
          <w:b/>
          <w:color w:val="101010"/>
          <w:sz w:val="22"/>
        </w:rPr>
        <w:t>Pre-flight interlock.</w:t>
      </w:r>
      <w:r>
        <w:rPr>
          <w:rFonts w:ascii="Times New Roman" w:hAnsi="Times New Roman"/>
          <w:color w:val="101010"/>
          <w:sz w:val="22"/>
        </w:rPr>
        <w:t xml:space="preserve"> The executor refuses to begin a mission</w:t>
      </w:r>
    </w:p>
    <w:p>
      <w:pPr>
        <w:spacing w:line="360" w:lineRule="auto" w:after="120"/>
        <w:jc w:val="both"/>
      </w:pPr>
      <w:r>
        <w:rPr>
          <w:rFonts w:ascii="Times New Roman" w:hAnsi="Times New Roman"/>
          <w:color w:val="101010"/>
          <w:sz w:val="22"/>
        </w:rPr>
        <w:t>while the vehicle reports armed, waiting up to a bound for disarm and failing the mission rather than launching into an undefined state.</w:t>
      </w:r>
    </w:p>
    <w:p>
      <w:pPr>
        <w:spacing w:line="360" w:lineRule="auto" w:after="60"/>
        <w:ind w:left="360"/>
        <w:jc w:val="both"/>
      </w:pPr>
      <w:r>
        <w:rPr>
          <w:rFonts w:ascii="Times New Roman" w:hAnsi="Times New Roman"/>
          <w:color w:val="101010"/>
          <w:sz w:val="22"/>
        </w:rPr>
        <w:t xml:space="preserve">4. </w:t>
      </w:r>
      <w:r>
        <w:rPr>
          <w:rFonts w:ascii="Times New Roman" w:hAnsi="Times New Roman"/>
          <w:b/>
          <w:color w:val="101010"/>
          <w:sz w:val="22"/>
        </w:rPr>
        <w:t>In-flight guards.</w:t>
      </w:r>
      <w:r>
        <w:rPr>
          <w:rFonts w:ascii="Times New Roman" w:hAnsi="Times New Roman"/>
          <w:color w:val="101010"/>
          <w:sz w:val="22"/>
        </w:rPr>
        <w:t xml:space="preserve"> The failsafe arbiter (§4.4) polls at 1 Hz; every</w:t>
      </w:r>
    </w:p>
    <w:p>
      <w:pPr>
        <w:spacing w:line="360" w:lineRule="auto" w:after="120"/>
        <w:jc w:val="both"/>
      </w:pPr>
      <w:r>
        <w:rPr>
          <w:rFonts w:ascii="Times New Roman" w:hAnsi="Times New Roman"/>
          <w:color w:val="101010"/>
          <w:sz w:val="22"/>
        </w:rPr>
        <w:t>blocking phase loop checks both the arbiter and the operator-cancel flag; a per-leg stall detector fails the mission if closest-approach distance has not improved for a configured window (default 45 s), catching wind stalls, rejected goto commands, and mode flips that would otherwise burn battery until the global timeout.</w:t>
      </w:r>
    </w:p>
    <w:p>
      <w:pPr>
        <w:spacing w:line="360" w:lineRule="auto" w:after="60"/>
        <w:ind w:left="360"/>
        <w:jc w:val="both"/>
      </w:pPr>
      <w:r>
        <w:rPr>
          <w:rFonts w:ascii="Times New Roman" w:hAnsi="Times New Roman"/>
          <w:color w:val="101010"/>
          <w:sz w:val="22"/>
        </w:rPr>
        <w:t xml:space="preserve">5. </w:t>
      </w:r>
      <w:r>
        <w:rPr>
          <w:rFonts w:ascii="Times New Roman" w:hAnsi="Times New Roman"/>
          <w:b/>
          <w:color w:val="101010"/>
          <w:sz w:val="22"/>
        </w:rPr>
        <w:t>Abort guarantee.</w:t>
      </w:r>
      <w:r>
        <w:rPr>
          <w:rFonts w:ascii="Times New Roman" w:hAnsi="Times New Roman"/>
          <w:color w:val="101010"/>
          <w:sz w:val="22"/>
        </w:rPr>
        <w:t xml:space="preserve"> Any abort — failsafe, cancel, or unexpected</w:t>
      </w:r>
    </w:p>
    <w:p>
      <w:pPr>
        <w:spacing w:line="360" w:lineRule="auto" w:after="120"/>
        <w:jc w:val="both"/>
      </w:pPr>
      <w:r>
        <w:rPr>
          <w:rFonts w:ascii="Times New Roman" w:hAnsi="Times New Roman"/>
          <w:color w:val="101010"/>
          <w:sz w:val="22"/>
        </w:rPr>
        <w:t xml:space="preserve">exception with the vehicle airborne — commands its action through §4.2, then </w:t>
      </w:r>
      <w:r>
        <w:rPr>
          <w:rFonts w:ascii="Times New Roman" w:hAnsi="Times New Roman"/>
          <w:b/>
          <w:color w:val="101010"/>
          <w:sz w:val="22"/>
        </w:rPr>
        <w:t>blocks until the vehicle lands and disarms</w:t>
      </w:r>
      <w:r>
        <w:rPr>
          <w:rFonts w:ascii="Times New Roman" w:hAnsi="Times New Roman"/>
          <w:color w:val="101010"/>
          <w:sz w:val="22"/>
        </w:rPr>
        <w:t xml:space="preserve"> (bounded at 240 s) before returning control to the queue. Combined with gate 3, this yields the system invariant: </w:t>
      </w:r>
      <w:r>
        <w:rPr>
          <w:rFonts w:ascii="Times New Roman" w:hAnsi="Times New Roman"/>
          <w:i/>
          <w:color w:val="101010"/>
          <w:sz w:val="22"/>
        </w:rPr>
        <w:t>the queue can never start a flight against an airborne vehicle.</w:t>
      </w:r>
    </w:p>
    <w:p>
      <w:pPr>
        <w:jc w:val="center"/>
      </w:pPr>
      <w:r>
        <w:drawing>
          <wp:inline xmlns:a="http://schemas.openxmlformats.org/drawingml/2006/main" xmlns:pic="http://schemas.openxmlformats.org/drawingml/2006/picture">
            <wp:extent cx="5669280" cy="3218171"/>
            <wp:docPr id="4" name="Picture 4"/>
            <wp:cNvGraphicFramePr>
              <a:graphicFrameLocks noChangeAspect="1"/>
            </wp:cNvGraphicFramePr>
            <a:graphic>
              <a:graphicData uri="http://schemas.openxmlformats.org/drawingml/2006/picture">
                <pic:pic>
                  <pic:nvPicPr>
                    <pic:cNvPr id="0" name="safety_interlock.png"/>
                    <pic:cNvPicPr/>
                  </pic:nvPicPr>
                  <pic:blipFill>
                    <a:blip r:embed="rId13"/>
                    <a:stretch>
                      <a:fillRect/>
                    </a:stretch>
                  </pic:blipFill>
                  <pic:spPr>
                    <a:xfrm>
                      <a:off x="0" y="0"/>
                      <a:ext cx="5669280" cy="3218171"/>
                    </a:xfrm>
                    <a:prstGeom prst="rect"/>
                  </pic:spPr>
                </pic:pic>
              </a:graphicData>
            </a:graphic>
          </wp:inline>
        </w:drawing>
      </w:r>
    </w:p>
    <w:p>
      <w:pPr>
        <w:jc w:val="center"/>
      </w:pPr>
      <w:r>
        <w:rPr>
          <w:rFonts w:ascii="Calibri" w:hAnsi="Calibri"/>
          <w:i/>
          <w:color w:val="555B63"/>
          <w:sz w:val="18"/>
        </w:rPr>
        <w:t>Figure 7 — Safety interlock chain</w:t>
      </w:r>
    </w:p>
    <w:p>
      <w:pPr>
        <w:spacing w:line="360" w:lineRule="auto" w:after="120"/>
        <w:jc w:val="both"/>
      </w:pPr>
      <w:r>
        <w:rPr>
          <w:rFonts w:ascii="Times New Roman" w:hAnsi="Times New Roman"/>
          <w:color w:val="101010"/>
          <w:sz w:val="22"/>
        </w:rPr>
        <w:t>The shutdown path preserves the invariant from the other side: if the API process is asked to stop while the vehicle is armed, it commands RTL through §4.2 before releasing the MAVLink link.</w:t>
      </w:r>
    </w:p>
    <w:p>
      <w:pPr>
        <w:keepNext/>
        <w:spacing w:before="200" w:after="120"/>
      </w:pPr>
      <w:r>
        <w:rPr>
          <w:rFonts w:ascii="Calibri" w:hAnsi="Calibri"/>
          <w:b/>
          <w:i/>
          <w:color w:val="1F3A5F"/>
          <w:sz w:val="23"/>
        </w:rPr>
        <w:t>4.4 Debounced, severity-ordered failsafe arbitration</w:t>
      </w:r>
    </w:p>
    <w:p>
      <w:pPr>
        <w:spacing w:line="360" w:lineRule="auto" w:after="120"/>
        <w:jc w:val="both"/>
      </w:pPr>
      <w:r>
        <w:rPr>
          <w:rFonts w:ascii="Times New Roman" w:hAnsi="Times New Roman"/>
          <w:color w:val="101010"/>
          <w:sz w:val="22"/>
        </w:rPr>
        <w:t>The arbiter polls battery, GPS, geofence distance, and mission wall-clock at 1 Hz (Figure 5) and maintains a single demanded action with these semantics:</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Severity order.</w:t>
      </w:r>
      <w:r>
        <w:rPr>
          <w:rFonts w:ascii="Times New Roman" w:hAnsi="Times New Roman"/>
          <w:color w:val="101010"/>
          <w:sz w:val="22"/>
        </w:rPr>
        <w:t xml:space="preserve"> LAND ≻ RTL. An arbiter already demanding LAND never</w:t>
      </w:r>
    </w:p>
    <w:p>
      <w:pPr>
        <w:spacing w:line="360" w:lineRule="auto" w:after="120"/>
        <w:jc w:val="both"/>
      </w:pPr>
      <w:r>
        <w:rPr>
          <w:rFonts w:ascii="Times New Roman" w:hAnsi="Times New Roman"/>
          <w:color w:val="101010"/>
          <w:sz w:val="22"/>
        </w:rPr>
        <w:t>downgrades; a critical-battery LAND supersedes an in-progress low-battery RTL, including after the return has begun (the RTL phase loop re-checks the arbiter and switches to LAND mid-flight).</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Debounce.</w:t>
      </w:r>
      <w:r>
        <w:rPr>
          <w:rFonts w:ascii="Times New Roman" w:hAnsi="Times New Roman"/>
          <w:color w:val="101010"/>
          <w:sz w:val="22"/>
        </w:rPr>
        <w:t xml:space="preserve"> GPS loss requires </w:t>
      </w:r>
      <w:r>
        <w:rPr>
          <w:rFonts w:ascii="Times New Roman" w:hAnsi="Times New Roman"/>
          <w:i/>
          <w:color w:val="101010"/>
          <w:sz w:val="22"/>
        </w:rPr>
        <w:t>N</w:t>
      </w:r>
      <w:r>
        <w:rPr>
          <w:rFonts w:ascii="Times New Roman" w:hAnsi="Times New Roman"/>
          <w:color w:val="101010"/>
          <w:sz w:val="22"/>
        </w:rPr>
        <w:t xml:space="preserve"> consecutive bad samples (default 3)</w:t>
      </w:r>
    </w:p>
    <w:p>
      <w:pPr>
        <w:spacing w:line="360" w:lineRule="auto" w:after="120"/>
        <w:jc w:val="both"/>
      </w:pPr>
      <w:r>
        <w:rPr>
          <w:rFonts w:ascii="Times New Roman" w:hAnsi="Times New Roman"/>
          <w:color w:val="101010"/>
          <w:sz w:val="22"/>
        </w:rPr>
        <w:t>before the LAND demand fires; a recovered fix resets the streak. A single-sample glitch therefore cannot put the aircraft down. LAND rather than RTL is demanded because, without GPS, a return path cannot be navigated.</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Fire-once.</w:t>
      </w:r>
      <w:r>
        <w:rPr>
          <w:rFonts w:ascii="Times New Roman" w:hAnsi="Times New Roman"/>
          <w:color w:val="101010"/>
          <w:sz w:val="22"/>
        </w:rPr>
        <w:t xml:space="preserve"> Each named failsafe emits one event per mission;</w:t>
      </w:r>
    </w:p>
    <w:p>
      <w:pPr>
        <w:spacing w:line="360" w:lineRule="auto" w:after="120"/>
        <w:jc w:val="both"/>
      </w:pPr>
      <w:r>
        <w:rPr>
          <w:rFonts w:ascii="Times New Roman" w:hAnsi="Times New Roman"/>
          <w:color w:val="101010"/>
          <w:sz w:val="22"/>
        </w:rPr>
        <w:t>re-emission is suppressed except for severity escalation. This keeps the event log a faithful incident record rather than a 1 Hz repetition of the same alarm.</w:t>
      </w:r>
    </w:p>
    <w:p>
      <w:pPr>
        <w:jc w:val="center"/>
      </w:pPr>
      <w:r>
        <w:drawing>
          <wp:inline xmlns:a="http://schemas.openxmlformats.org/drawingml/2006/main" xmlns:pic="http://schemas.openxmlformats.org/drawingml/2006/picture">
            <wp:extent cx="5669280" cy="3932386"/>
            <wp:docPr id="5" name="Picture 5"/>
            <wp:cNvGraphicFramePr>
              <a:graphicFrameLocks noChangeAspect="1"/>
            </wp:cNvGraphicFramePr>
            <a:graphic>
              <a:graphicData uri="http://schemas.openxmlformats.org/drawingml/2006/picture">
                <pic:pic>
                  <pic:nvPicPr>
                    <pic:cNvPr id="0" name="failsafe_tree.png"/>
                    <pic:cNvPicPr/>
                  </pic:nvPicPr>
                  <pic:blipFill>
                    <a:blip r:embed="rId14"/>
                    <a:stretch>
                      <a:fillRect/>
                    </a:stretch>
                  </pic:blipFill>
                  <pic:spPr>
                    <a:xfrm>
                      <a:off x="0" y="0"/>
                      <a:ext cx="5669280" cy="3932386"/>
                    </a:xfrm>
                    <a:prstGeom prst="rect"/>
                  </pic:spPr>
                </pic:pic>
              </a:graphicData>
            </a:graphic>
          </wp:inline>
        </w:drawing>
      </w:r>
    </w:p>
    <w:p>
      <w:pPr>
        <w:jc w:val="center"/>
      </w:pPr>
      <w:r>
        <w:rPr>
          <w:rFonts w:ascii="Calibri" w:hAnsi="Calibri"/>
          <w:i/>
          <w:color w:val="555B63"/>
          <w:sz w:val="18"/>
        </w:rPr>
        <w:t>Figure 5 — Failsafe monitor</w:t>
      </w:r>
    </w:p>
    <w:p>
      <w:pPr>
        <w:keepNext/>
        <w:spacing w:before="200" w:after="120"/>
      </w:pPr>
      <w:r>
        <w:rPr>
          <w:rFonts w:ascii="Calibri" w:hAnsi="Calibri"/>
          <w:b/>
          <w:i/>
          <w:color w:val="1F3A5F"/>
          <w:sz w:val="23"/>
        </w:rPr>
        <w:t>4.5 Operator recall</w:t>
      </w:r>
    </w:p>
    <w:p>
      <w:pPr>
        <w:spacing w:line="360" w:lineRule="auto" w:after="120"/>
        <w:jc w:val="both"/>
      </w:pPr>
      <w:r>
        <w:rPr>
          <w:rFonts w:ascii="Consolas" w:hAnsi="Consolas"/>
          <w:color w:val="101010"/>
          <w:sz w:val="22"/>
        </w:rPr>
        <w:t>POST /mission/{id}/cancel</w:t>
      </w:r>
      <w:r>
        <w:rPr>
          <w:rFonts w:ascii="Times New Roman" w:hAnsi="Times New Roman"/>
          <w:color w:val="101010"/>
          <w:sz w:val="22"/>
        </w:rPr>
        <w:t xml:space="preserve"> is the only operator override. A queued mission is removed atomically; a running mission sets the executor's abort flag, which every phase loop observes, routing into the §4.3 abort guarantee. The dashboard exposes this as a single recall control. Manual piloting remains impossible through this software by construction — the hardware RC link, outside this stack, retains ultimate authority.</w:t>
      </w:r>
    </w:p>
    <w:p>
      <w:pPr>
        <w:keepNext/>
        <w:spacing w:before="280" w:after="120"/>
      </w:pPr>
      <w:r>
        <w:rPr>
          <w:rFonts w:ascii="Calibri" w:hAnsi="Calibri"/>
          <w:b/>
          <w:i w:val="0"/>
          <w:color w:val="1F3A5F"/>
          <w:sz w:val="26"/>
        </w:rPr>
        <w:t>5. Evaluation Methodology</w:t>
      </w:r>
    </w:p>
    <w:p>
      <w:pPr>
        <w:keepNext/>
        <w:spacing w:before="200" w:after="120"/>
      </w:pPr>
      <w:r>
        <w:rPr>
          <w:rFonts w:ascii="Calibri" w:hAnsi="Calibri"/>
          <w:b/>
          <w:i/>
          <w:color w:val="1F3A5F"/>
          <w:sz w:val="23"/>
        </w:rPr>
        <w:t>5.1 Tier 1 — unit validation of the safety logic</w:t>
      </w:r>
    </w:p>
    <w:p>
      <w:pPr>
        <w:spacing w:line="360" w:lineRule="auto" w:after="120"/>
        <w:jc w:val="both"/>
      </w:pPr>
      <w:r>
        <w:rPr>
          <w:rFonts w:ascii="Times New Roman" w:hAnsi="Times New Roman"/>
          <w:color w:val="101010"/>
          <w:sz w:val="22"/>
        </w:rPr>
        <w:t>A 37-case pytest suite exercises the arbiter, queue, persistence, request validation, and configuration against a synthetic vehicle object, asserting among others: low-battery → RTL; critical-battery → LAND escalation over RTL; LAND never downgraded; GPS debounce (no trigger at N−1 bad samples, trigger at N, reset on recovery); fire-once semantics; geofence and timeout triggers; priority ordering; queue-depth rejection; cancel of queued and running missions; history pruning that never drops active missions; SQLite round-trip with crash-orphan marking; and rejection of out-of-range coordinates, altitudes, hover durations, and priorities. The suite runs in ~13 s with no simulator, making it suitable for continuous integration.</w:t>
      </w:r>
    </w:p>
    <w:p>
      <w:pPr>
        <w:keepNext/>
        <w:spacing w:before="200" w:after="120"/>
      </w:pPr>
      <w:r>
        <w:rPr>
          <w:rFonts w:ascii="Calibri" w:hAnsi="Calibri"/>
          <w:b/>
          <w:i/>
          <w:color w:val="1F3A5F"/>
          <w:sz w:val="23"/>
        </w:rPr>
        <w:t>5.2 Tier 2 — end-to-end SITL acceptance flight</w:t>
      </w:r>
    </w:p>
    <w:p>
      <w:pPr>
        <w:spacing w:line="360" w:lineRule="auto" w:after="120"/>
        <w:jc w:val="both"/>
      </w:pPr>
      <w:r>
        <w:rPr>
          <w:rFonts w:ascii="Times New Roman" w:hAnsi="Times New Roman"/>
          <w:color w:val="101010"/>
          <w:sz w:val="22"/>
        </w:rPr>
        <w:t xml:space="preserve">The harness </w:t>
      </w:r>
      <w:r>
        <w:rPr>
          <w:rFonts w:ascii="Consolas" w:hAnsi="Consolas"/>
          <w:color w:val="101010"/>
          <w:sz w:val="22"/>
        </w:rPr>
        <w:t>tests/test_full_mission.py</w:t>
      </w:r>
      <w:r>
        <w:rPr>
          <w:rFonts w:ascii="Times New Roman" w:hAnsi="Times New Roman"/>
          <w:color w:val="101010"/>
          <w:sz w:val="22"/>
        </w:rPr>
        <w:t xml:space="preserve"> boots SITL [5] and the API as child processes, dispatches a mission 896 m away (New Delhi test coordinates; trajectory in Figure 4), and polls telemetry at 1 Hz until completion, asserting eight properties: simulator listening; API listening; vehicle connected; armed; took off (≥ 80% of target altitude); reached target (closest approach ≤ 5 m); </w:t>
      </w:r>
      <w:r>
        <w:rPr>
          <w:rFonts w:ascii="Times New Roman" w:hAnsi="Times New Roman"/>
          <w:b/>
          <w:color w:val="101010"/>
          <w:sz w:val="22"/>
        </w:rPr>
        <w:t>returned home (≤ 10 m of pad, a required check)</w:t>
      </w:r>
      <w:r>
        <w:rPr>
          <w:rFonts w:ascii="Times New Roman" w:hAnsi="Times New Roman"/>
          <w:color w:val="101010"/>
          <w:sz w:val="22"/>
        </w:rPr>
        <w:t>; and landed. The verdict is the conjunction; no tolerance widening is applied to the recorded closest approach.</w:t>
      </w:r>
    </w:p>
    <w:p>
      <w:pPr>
        <w:jc w:val="center"/>
      </w:pPr>
      <w:r>
        <w:drawing>
          <wp:inline xmlns:a="http://schemas.openxmlformats.org/drawingml/2006/main" xmlns:pic="http://schemas.openxmlformats.org/drawingml/2006/picture">
            <wp:extent cx="5669280" cy="4724400"/>
            <wp:docPr id="6" name="Picture 6"/>
            <wp:cNvGraphicFramePr>
              <a:graphicFrameLocks noChangeAspect="1"/>
            </wp:cNvGraphicFramePr>
            <a:graphic>
              <a:graphicData uri="http://schemas.openxmlformats.org/drawingml/2006/picture">
                <pic:pic>
                  <pic:nvPicPr>
                    <pic:cNvPr id="0" name="flight_trajectory.png"/>
                    <pic:cNvPicPr/>
                  </pic:nvPicPr>
                  <pic:blipFill>
                    <a:blip r:embed="rId15"/>
                    <a:stretch>
                      <a:fillRect/>
                    </a:stretch>
                  </pic:blipFill>
                  <pic:spPr>
                    <a:xfrm>
                      <a:off x="0" y="0"/>
                      <a:ext cx="5669280" cy="4724400"/>
                    </a:xfrm>
                    <a:prstGeom prst="rect"/>
                  </pic:spPr>
                </pic:pic>
              </a:graphicData>
            </a:graphic>
          </wp:inline>
        </w:drawing>
      </w:r>
    </w:p>
    <w:p>
      <w:pPr>
        <w:jc w:val="center"/>
      </w:pPr>
      <w:r>
        <w:rPr>
          <w:rFonts w:ascii="Calibri" w:hAnsi="Calibri"/>
          <w:i/>
          <w:color w:val="555B63"/>
          <w:sz w:val="18"/>
        </w:rPr>
        <w:t>Figure 4 — Flight trajectory</w:t>
      </w:r>
    </w:p>
    <w:p>
      <w:pPr>
        <w:keepNext/>
        <w:spacing w:before="280" w:after="120"/>
      </w:pPr>
      <w:r>
        <w:rPr>
          <w:rFonts w:ascii="Calibri" w:hAnsi="Calibri"/>
          <w:b/>
          <w:i w:val="0"/>
          <w:color w:val="1F3A5F"/>
          <w:sz w:val="26"/>
        </w:rPr>
        <w:t>6. Results</w:t>
      </w:r>
    </w:p>
    <w:p>
      <w:pPr>
        <w:spacing w:line="360" w:lineRule="auto" w:after="120"/>
        <w:jc w:val="both"/>
      </w:pPr>
      <w:r>
        <w:rPr>
          <w:rFonts w:ascii="Times New Roman" w:hAnsi="Times New Roman"/>
          <w:color w:val="101010"/>
          <w:sz w:val="22"/>
        </w:rPr>
        <w:t>Six end-to-end SITL missions were flown across the development arc on a Windows 11 host (Python 3.11.9, dronekit 2.9.2 [3], dronekit-sitl 3.3.0 [5]). Run 1 (pre-fix) surfaced the silent mode-rejection failure and motivated §4.2; runs 2–5 validated the original architecture; run 6 is the acceptance flight for the safety-hardened implementation described in this paper.</w:t>
      </w:r>
    </w:p>
    <w:tbl>
      <w:tblPr>
        <w:tblW w:type="auto" w:w="0"/>
        <w:jc w:val="center"/>
        <w:tblLook w:firstColumn="1" w:firstRow="1" w:lastColumn="0" w:lastRow="0" w:noHBand="0" w:noVBand="1" w:val="04A0"/>
        <w:tblBorders>
          <w:top w:val="single" w:sz="4" w:color="9AA4B2"/>
          <w:left w:val="single" w:sz="4" w:color="9AA4B2"/>
          <w:bottom w:val="single" w:sz="4" w:color="9AA4B2"/>
          <w:right w:val="single" w:sz="4" w:color="9AA4B2"/>
          <w:insideH w:val="single" w:sz="4" w:color="9AA4B2"/>
          <w:insideV w:val="single" w:sz="4" w:color="9AA4B2"/>
        </w:tblBorders>
      </w:tblPr>
      <w:tblGrid>
        <w:gridCol w:w="1560"/>
        <w:gridCol w:w="1560"/>
        <w:gridCol w:w="1560"/>
        <w:gridCol w:w="1560"/>
        <w:gridCol w:w="1560"/>
        <w:gridCol w:w="1560"/>
      </w:tblGrid>
      <w:tr>
        <w:tc>
          <w:tcPr>
            <w:tcW w:type="dxa" w:w="1560"/>
            <w:shd w:val="clear" w:fill="1F3A5F"/>
          </w:tcPr>
          <w:p>
            <w:r>
              <w:rPr>
                <w:rFonts w:ascii="Calibri" w:hAnsi="Calibri"/>
                <w:b/>
                <w:color w:val="FFFFFF"/>
                <w:sz w:val="19"/>
              </w:rPr>
              <w:t>Metric</w:t>
            </w:r>
          </w:p>
        </w:tc>
        <w:tc>
          <w:tcPr>
            <w:tcW w:type="dxa" w:w="1560"/>
            <w:shd w:val="clear" w:fill="1F3A5F"/>
          </w:tcPr>
          <w:p>
            <w:r>
              <w:rPr>
                <w:rFonts w:ascii="Calibri" w:hAnsi="Calibri"/>
                <w:b/>
                <w:color w:val="FFFFFF"/>
                <w:sz w:val="19"/>
              </w:rPr>
              <w:t>Run 2</w:t>
            </w:r>
          </w:p>
        </w:tc>
        <w:tc>
          <w:tcPr>
            <w:tcW w:type="dxa" w:w="1560"/>
            <w:shd w:val="clear" w:fill="1F3A5F"/>
          </w:tcPr>
          <w:p>
            <w:r>
              <w:rPr>
                <w:rFonts w:ascii="Calibri" w:hAnsi="Calibri"/>
                <w:b/>
                <w:color w:val="FFFFFF"/>
                <w:sz w:val="19"/>
              </w:rPr>
              <w:t>Run 3</w:t>
            </w:r>
          </w:p>
        </w:tc>
        <w:tc>
          <w:tcPr>
            <w:tcW w:type="dxa" w:w="1560"/>
            <w:shd w:val="clear" w:fill="1F3A5F"/>
          </w:tcPr>
          <w:p>
            <w:r>
              <w:rPr>
                <w:rFonts w:ascii="Calibri" w:hAnsi="Calibri"/>
                <w:b/>
                <w:color w:val="FFFFFF"/>
                <w:sz w:val="19"/>
              </w:rPr>
              <w:t>Run 4</w:t>
            </w:r>
          </w:p>
        </w:tc>
        <w:tc>
          <w:tcPr>
            <w:tcW w:type="dxa" w:w="1560"/>
            <w:shd w:val="clear" w:fill="1F3A5F"/>
          </w:tcPr>
          <w:p>
            <w:r>
              <w:rPr>
                <w:rFonts w:ascii="Calibri" w:hAnsi="Calibri"/>
                <w:b/>
                <w:color w:val="FFFFFF"/>
                <w:sz w:val="19"/>
              </w:rPr>
              <w:t>Run 5</w:t>
            </w:r>
          </w:p>
        </w:tc>
        <w:tc>
          <w:tcPr>
            <w:tcW w:type="dxa" w:w="1560"/>
            <w:shd w:val="clear" w:fill="1F3A5F"/>
          </w:tcPr>
          <w:p>
            <w:r>
              <w:rPr>
                <w:rFonts w:ascii="Calibri" w:hAnsi="Calibri"/>
                <w:b/>
                <w:color w:val="FFFFFF"/>
                <w:sz w:val="19"/>
              </w:rPr>
              <w:t>Run 6 (v2 code)</w:t>
            </w:r>
          </w:p>
        </w:tc>
      </w:tr>
      <w:tr>
        <w:tc>
          <w:tcPr>
            <w:tcW w:type="dxa" w:w="1560"/>
          </w:tcPr>
          <w:p>
            <w:r>
              <w:rPr>
                <w:rFonts w:ascii="Times New Roman" w:hAnsi="Times New Roman"/>
                <w:color w:val="101010"/>
                <w:sz w:val="19"/>
              </w:rPr>
              <w:t>Wall-clock duration (s)</w:t>
            </w:r>
          </w:p>
        </w:tc>
        <w:tc>
          <w:tcPr>
            <w:tcW w:type="dxa" w:w="1560"/>
          </w:tcPr>
          <w:p>
            <w:r>
              <w:rPr>
                <w:rFonts w:ascii="Times New Roman" w:hAnsi="Times New Roman"/>
                <w:color w:val="101010"/>
                <w:sz w:val="19"/>
              </w:rPr>
              <w:t>503.7</w:t>
            </w:r>
          </w:p>
        </w:tc>
        <w:tc>
          <w:tcPr>
            <w:tcW w:type="dxa" w:w="1560"/>
          </w:tcPr>
          <w:p>
            <w:r>
              <w:rPr>
                <w:rFonts w:ascii="Times New Roman" w:hAnsi="Times New Roman"/>
                <w:color w:val="101010"/>
                <w:sz w:val="19"/>
              </w:rPr>
              <w:t>321.6</w:t>
            </w:r>
          </w:p>
        </w:tc>
        <w:tc>
          <w:tcPr>
            <w:tcW w:type="dxa" w:w="1560"/>
          </w:tcPr>
          <w:p>
            <w:r>
              <w:rPr>
                <w:rFonts w:ascii="Times New Roman" w:hAnsi="Times New Roman"/>
                <w:color w:val="101010"/>
                <w:sz w:val="19"/>
              </w:rPr>
              <w:t>321.3</w:t>
            </w:r>
          </w:p>
        </w:tc>
        <w:tc>
          <w:tcPr>
            <w:tcW w:type="dxa" w:w="1560"/>
          </w:tcPr>
          <w:p>
            <w:r>
              <w:rPr>
                <w:rFonts w:ascii="Times New Roman" w:hAnsi="Times New Roman"/>
                <w:color w:val="101010"/>
                <w:sz w:val="19"/>
              </w:rPr>
              <w:t>330.7</w:t>
            </w:r>
          </w:p>
        </w:tc>
        <w:tc>
          <w:tcPr>
            <w:tcW w:type="dxa" w:w="1560"/>
          </w:tcPr>
          <w:p>
            <w:r>
              <w:rPr>
                <w:rFonts w:ascii="Times New Roman" w:hAnsi="Times New Roman"/>
                <w:color w:val="101010"/>
                <w:sz w:val="19"/>
              </w:rPr>
              <w:t>331.3</w:t>
            </w:r>
          </w:p>
        </w:tc>
      </w:tr>
      <w:tr>
        <w:tc>
          <w:tcPr>
            <w:tcW w:type="dxa" w:w="1560"/>
          </w:tcPr>
          <w:p>
            <w:r>
              <w:rPr>
                <w:rFonts w:ascii="Times New Roman" w:hAnsi="Times New Roman"/>
                <w:color w:val="101010"/>
                <w:sz w:val="19"/>
              </w:rPr>
              <w:t>Closest approach to target (m)</w:t>
            </w:r>
          </w:p>
        </w:tc>
        <w:tc>
          <w:tcPr>
            <w:tcW w:type="dxa" w:w="1560"/>
          </w:tcPr>
          <w:p>
            <w:r>
              <w:rPr>
                <w:rFonts w:ascii="Times New Roman" w:hAnsi="Times New Roman"/>
                <w:color w:val="101010"/>
                <w:sz w:val="19"/>
              </w:rPr>
              <w:t>0.4</w:t>
            </w:r>
          </w:p>
        </w:tc>
        <w:tc>
          <w:tcPr>
            <w:tcW w:type="dxa" w:w="1560"/>
          </w:tcPr>
          <w:p>
            <w:r>
              <w:rPr>
                <w:rFonts w:ascii="Times New Roman" w:hAnsi="Times New Roman"/>
                <w:color w:val="101010"/>
                <w:sz w:val="19"/>
              </w:rPr>
              <w:t>0.5</w:t>
            </w:r>
          </w:p>
        </w:tc>
        <w:tc>
          <w:tcPr>
            <w:tcW w:type="dxa" w:w="1560"/>
          </w:tcPr>
          <w:p>
            <w:r>
              <w:rPr>
                <w:rFonts w:ascii="Times New Roman" w:hAnsi="Times New Roman"/>
                <w:color w:val="101010"/>
                <w:sz w:val="19"/>
              </w:rPr>
              <w:t>0.4</w:t>
            </w:r>
          </w:p>
        </w:tc>
        <w:tc>
          <w:tcPr>
            <w:tcW w:type="dxa" w:w="1560"/>
          </w:tcPr>
          <w:p>
            <w:r>
              <w:rPr>
                <w:rFonts w:ascii="Times New Roman" w:hAnsi="Times New Roman"/>
                <w:color w:val="101010"/>
                <w:sz w:val="19"/>
              </w:rPr>
              <w:t>0.4</w:t>
            </w:r>
          </w:p>
        </w:tc>
        <w:tc>
          <w:tcPr>
            <w:tcW w:type="dxa" w:w="1560"/>
          </w:tcPr>
          <w:p>
            <w:r>
              <w:rPr>
                <w:rFonts w:ascii="Times New Roman" w:hAnsi="Times New Roman"/>
                <w:color w:val="101010"/>
                <w:sz w:val="19"/>
              </w:rPr>
              <w:t>0.6</w:t>
            </w:r>
          </w:p>
        </w:tc>
      </w:tr>
      <w:tr>
        <w:tc>
          <w:tcPr>
            <w:tcW w:type="dxa" w:w="1560"/>
          </w:tcPr>
          <w:p>
            <w:r>
              <w:rPr>
                <w:rFonts w:ascii="Times New Roman" w:hAnsi="Times New Roman"/>
                <w:color w:val="101010"/>
                <w:sz w:val="19"/>
              </w:rPr>
              <w:t>Final distance from home (m)</w:t>
            </w:r>
          </w:p>
        </w:tc>
        <w:tc>
          <w:tcPr>
            <w:tcW w:type="dxa" w:w="1560"/>
          </w:tcPr>
          <w:p>
            <w:r>
              <w:rPr>
                <w:rFonts w:ascii="Times New Roman" w:hAnsi="Times New Roman"/>
                <w:color w:val="101010"/>
                <w:sz w:val="19"/>
              </w:rPr>
              <w:t>0.1</w:t>
            </w:r>
          </w:p>
        </w:tc>
        <w:tc>
          <w:tcPr>
            <w:tcW w:type="dxa" w:w="1560"/>
          </w:tcPr>
          <w:p>
            <w:r>
              <w:rPr>
                <w:rFonts w:ascii="Times New Roman" w:hAnsi="Times New Roman"/>
                <w:color w:val="101010"/>
                <w:sz w:val="19"/>
              </w:rPr>
              <w:t>0.0</w:t>
            </w:r>
          </w:p>
        </w:tc>
        <w:tc>
          <w:tcPr>
            <w:tcW w:type="dxa" w:w="1560"/>
          </w:tcPr>
          <w:p>
            <w:r>
              <w:rPr>
                <w:rFonts w:ascii="Times New Roman" w:hAnsi="Times New Roman"/>
                <w:color w:val="101010"/>
                <w:sz w:val="19"/>
              </w:rPr>
              <w:t>0.0</w:t>
            </w:r>
          </w:p>
        </w:tc>
        <w:tc>
          <w:tcPr>
            <w:tcW w:type="dxa" w:w="1560"/>
          </w:tcPr>
          <w:p>
            <w:r>
              <w:rPr>
                <w:rFonts w:ascii="Times New Roman" w:hAnsi="Times New Roman"/>
                <w:color w:val="101010"/>
                <w:sz w:val="19"/>
              </w:rPr>
              <w:t>0.0</w:t>
            </w:r>
          </w:p>
        </w:tc>
        <w:tc>
          <w:tcPr>
            <w:tcW w:type="dxa" w:w="1560"/>
          </w:tcPr>
          <w:p>
            <w:r>
              <w:rPr>
                <w:rFonts w:ascii="Times New Roman" w:hAnsi="Times New Roman"/>
                <w:color w:val="101010"/>
                <w:sz w:val="19"/>
              </w:rPr>
              <w:t>0.0–0.2</w:t>
            </w:r>
          </w:p>
        </w:tc>
      </w:tr>
      <w:tr>
        <w:tc>
          <w:tcPr>
            <w:tcW w:type="dxa" w:w="1560"/>
          </w:tcPr>
          <w:p>
            <w:r>
              <w:rPr>
                <w:rFonts w:ascii="Times New Roman" w:hAnsi="Times New Roman"/>
                <w:color w:val="101010"/>
                <w:sz w:val="19"/>
              </w:rPr>
              <w:t>Battery consumed (sim, %)</w:t>
            </w:r>
          </w:p>
        </w:tc>
        <w:tc>
          <w:tcPr>
            <w:tcW w:type="dxa" w:w="1560"/>
          </w:tcPr>
          <w:p>
            <w:r>
              <w:rPr>
                <w:rFonts w:ascii="Times New Roman" w:hAnsi="Times New Roman"/>
                <w:color w:val="101010"/>
                <w:sz w:val="19"/>
              </w:rPr>
              <w:t>68</w:t>
            </w:r>
          </w:p>
        </w:tc>
        <w:tc>
          <w:tcPr>
            <w:tcW w:type="dxa" w:w="1560"/>
          </w:tcPr>
          <w:p>
            <w:r>
              <w:rPr>
                <w:rFonts w:ascii="Times New Roman" w:hAnsi="Times New Roman"/>
                <w:color w:val="101010"/>
                <w:sz w:val="19"/>
              </w:rPr>
              <w:t>67</w:t>
            </w:r>
          </w:p>
        </w:tc>
        <w:tc>
          <w:tcPr>
            <w:tcW w:type="dxa" w:w="1560"/>
          </w:tcPr>
          <w:p>
            <w:r>
              <w:rPr>
                <w:rFonts w:ascii="Times New Roman" w:hAnsi="Times New Roman"/>
                <w:color w:val="101010"/>
                <w:sz w:val="19"/>
              </w:rPr>
              <w:t>67</w:t>
            </w:r>
          </w:p>
        </w:tc>
        <w:tc>
          <w:tcPr>
            <w:tcW w:type="dxa" w:w="1560"/>
          </w:tcPr>
          <w:p>
            <w:r>
              <w:rPr>
                <w:rFonts w:ascii="Times New Roman" w:hAnsi="Times New Roman"/>
                <w:color w:val="101010"/>
                <w:sz w:val="19"/>
              </w:rPr>
              <w:t>68</w:t>
            </w:r>
          </w:p>
        </w:tc>
        <w:tc>
          <w:tcPr>
            <w:tcW w:type="dxa" w:w="1560"/>
          </w:tcPr>
          <w:p>
            <w:r>
              <w:rPr>
                <w:rFonts w:ascii="Times New Roman" w:hAnsi="Times New Roman"/>
                <w:color w:val="101010"/>
                <w:sz w:val="19"/>
              </w:rPr>
              <w:t>68</w:t>
            </w:r>
          </w:p>
        </w:tc>
      </w:tr>
      <w:tr>
        <w:tc>
          <w:tcPr>
            <w:tcW w:type="dxa" w:w="1560"/>
          </w:tcPr>
          <w:p>
            <w:r>
              <w:rPr>
                <w:rFonts w:ascii="Times New Roman" w:hAnsi="Times New Roman"/>
                <w:color w:val="101010"/>
                <w:sz w:val="19"/>
              </w:rPr>
              <w:t>All required checks</w:t>
            </w:r>
          </w:p>
        </w:tc>
        <w:tc>
          <w:tcPr>
            <w:tcW w:type="dxa" w:w="1560"/>
          </w:tcPr>
          <w:p>
            <w:r>
              <w:rPr>
                <w:rFonts w:ascii="Times New Roman" w:hAnsi="Times New Roman"/>
                <w:color w:val="101010"/>
                <w:sz w:val="19"/>
              </w:rPr>
              <w:t>PASS†</w:t>
            </w:r>
          </w:p>
        </w:tc>
        <w:tc>
          <w:tcPr>
            <w:tcW w:type="dxa" w:w="1560"/>
          </w:tcPr>
          <w:p>
            <w:r>
              <w:rPr>
                <w:rFonts w:ascii="Times New Roman" w:hAnsi="Times New Roman"/>
                <w:color w:val="101010"/>
                <w:sz w:val="19"/>
              </w:rPr>
              <w:t>PASS</w:t>
            </w:r>
          </w:p>
        </w:tc>
        <w:tc>
          <w:tcPr>
            <w:tcW w:type="dxa" w:w="1560"/>
          </w:tcPr>
          <w:p>
            <w:r>
              <w:rPr>
                <w:rFonts w:ascii="Times New Roman" w:hAnsi="Times New Roman"/>
                <w:color w:val="101010"/>
                <w:sz w:val="19"/>
              </w:rPr>
              <w:t>PASS</w:t>
            </w:r>
          </w:p>
        </w:tc>
        <w:tc>
          <w:tcPr>
            <w:tcW w:type="dxa" w:w="1560"/>
          </w:tcPr>
          <w:p>
            <w:r>
              <w:rPr>
                <w:rFonts w:ascii="Times New Roman" w:hAnsi="Times New Roman"/>
                <w:color w:val="101010"/>
                <w:sz w:val="19"/>
              </w:rPr>
              <w:t>PASS</w:t>
            </w:r>
          </w:p>
        </w:tc>
        <w:tc>
          <w:tcPr>
            <w:tcW w:type="dxa" w:w="1560"/>
          </w:tcPr>
          <w:p>
            <w:r>
              <w:rPr>
                <w:rFonts w:ascii="Times New Roman" w:hAnsi="Times New Roman"/>
                <w:color w:val="101010"/>
                <w:sz w:val="19"/>
              </w:rPr>
              <w:t>PASS (8/8, incl. returned-home)</w:t>
            </w:r>
          </w:p>
        </w:tc>
      </w:tr>
    </w:tbl>
    <w:p>
      <w:pPr>
        <w:spacing w:after="80"/>
      </w:pPr>
    </w:p>
    <w:p>
      <w:pPr>
        <w:spacing w:line="360" w:lineRule="auto" w:after="120"/>
        <w:jc w:val="both"/>
      </w:pPr>
      <w:r>
        <w:rPr>
          <w:rFonts w:ascii="Times New Roman" w:hAnsi="Times New Roman"/>
          <w:color w:val="101010"/>
          <w:sz w:val="22"/>
        </w:rPr>
        <w:t xml:space="preserve">† Run 2's </w:t>
      </w:r>
      <w:r>
        <w:rPr>
          <w:rFonts w:ascii="Consolas" w:hAnsi="Consolas"/>
          <w:color w:val="101010"/>
          <w:sz w:val="22"/>
        </w:rPr>
        <w:t>vehicle_connected</w:t>
      </w:r>
      <w:r>
        <w:rPr>
          <w:rFonts w:ascii="Times New Roman" w:hAnsi="Times New Roman"/>
          <w:color w:val="101010"/>
          <w:sz w:val="22"/>
        </w:rPr>
        <w:t xml:space="preserve"> predicate contained a test-harness bug, fixed for run 3; the overall verdict was unaffected.</w:t>
      </w:r>
    </w:p>
    <w:p>
      <w:pPr>
        <w:spacing w:line="360" w:lineRule="auto" w:after="120"/>
        <w:jc w:val="both"/>
      </w:pPr>
      <w:r>
        <w:rPr>
          <w:rFonts w:ascii="Times New Roman" w:hAnsi="Times New Roman"/>
          <w:color w:val="101010"/>
          <w:sz w:val="22"/>
        </w:rPr>
        <w:t xml:space="preserve">Unit results: </w:t>
      </w:r>
      <w:r>
        <w:rPr>
          <w:rFonts w:ascii="Times New Roman" w:hAnsi="Times New Roman"/>
          <w:b/>
          <w:color w:val="101010"/>
          <w:sz w:val="22"/>
        </w:rPr>
        <w:t>37/37 pass</w:t>
      </w:r>
      <w:r>
        <w:rPr>
          <w:rFonts w:ascii="Times New Roman" w:hAnsi="Times New Roman"/>
          <w:color w:val="101010"/>
          <w:sz w:val="22"/>
        </w:rPr>
        <w:t xml:space="preserve"> on the v2 implementation. Notably, the debounce test fails against the v1 arbiter (which landed on a single bad GPS sample) and the cancel and interlock tests are unsatisfiable in v1 (no recall path; abort returned with the vehicle airborne) — i.e., the suite discriminates the safety properties this paper claims rather than merely restating the implementation.</w:t>
      </w:r>
    </w:p>
    <w:p>
      <w:pPr>
        <w:spacing w:line="360" w:lineRule="auto" w:after="120"/>
        <w:jc w:val="both"/>
      </w:pPr>
      <w:r>
        <w:rPr>
          <w:rFonts w:ascii="Times New Roman" w:hAnsi="Times New Roman"/>
          <w:color w:val="101010"/>
          <w:sz w:val="22"/>
        </w:rPr>
        <w:t>The closest-approach figures, an order of magnitude inside the 5 m tolerance, indicate that terminal accuracy is bounded by the autopilot's loiter behaviour [1] rather than the dispatch layer. Wall-clock variance across runs 3–6 is under 3%, dominated by fixed simulator boot and connection phases.</w:t>
      </w:r>
    </w:p>
    <w:p>
      <w:pPr>
        <w:keepNext/>
        <w:spacing w:before="280" w:after="120"/>
      </w:pPr>
      <w:r>
        <w:rPr>
          <w:rFonts w:ascii="Calibri" w:hAnsi="Calibri"/>
          <w:b/>
          <w:i w:val="0"/>
          <w:color w:val="1F3A5F"/>
          <w:sz w:val="26"/>
        </w:rPr>
        <w:t>7. Discussion</w:t>
      </w:r>
    </w:p>
    <w:p>
      <w:pPr>
        <w:keepNext/>
        <w:spacing w:before="200" w:after="120"/>
      </w:pPr>
      <w:r>
        <w:rPr>
          <w:rFonts w:ascii="Calibri" w:hAnsi="Calibri"/>
          <w:b/>
          <w:i/>
          <w:color w:val="1F3A5F"/>
          <w:sz w:val="23"/>
        </w:rPr>
        <w:t>7.1 From simulation to a real airframe</w:t>
      </w:r>
    </w:p>
    <w:p>
      <w:pPr>
        <w:spacing w:line="360" w:lineRule="auto" w:after="120"/>
        <w:jc w:val="both"/>
      </w:pPr>
      <w:r>
        <w:rPr>
          <w:rFonts w:ascii="Times New Roman" w:hAnsi="Times New Roman"/>
          <w:color w:val="101010"/>
          <w:sz w:val="22"/>
        </w:rPr>
        <w:t xml:space="preserve">The behavioural deltas for hardware are deliberately confined to configuration: the MAVLink connection string; restoration of ArduPilot's stock pre-arm gating (the SITL-only relaxation is dead code unless </w:t>
      </w:r>
      <w:r>
        <w:rPr>
          <w:rFonts w:ascii="Consolas" w:hAnsi="Consolas"/>
          <w:color w:val="101010"/>
          <w:sz w:val="22"/>
        </w:rPr>
        <w:t>SITL_MODE=1</w:t>
      </w:r>
      <w:r>
        <w:rPr>
          <w:rFonts w:ascii="Times New Roman" w:hAnsi="Times New Roman"/>
          <w:color w:val="101010"/>
          <w:sz w:val="22"/>
        </w:rPr>
        <w:t>); the real-hardware parameter set (failsafes, fence, RTL altitude); and mandatory pilot-side equipment (RC override and kill switch) consistent with prevailing regulation [13] and, in India, the Drone Rules 2021 [15]. The project's hardware documentation specifies a complete build (≈ ₹36,000 minimum bill of materials, Figure 6/8) and a staged flight progression: props-off arming, manual hover, single short GUIDED leg, tethered autonomous cycle, then operational missions.</w:t>
      </w:r>
    </w:p>
    <w:p>
      <w:pPr>
        <w:jc w:val="center"/>
      </w:pPr>
      <w:r>
        <w:drawing>
          <wp:inline xmlns:a="http://schemas.openxmlformats.org/drawingml/2006/main" xmlns:pic="http://schemas.openxmlformats.org/drawingml/2006/picture">
            <wp:extent cx="5669280" cy="3531565"/>
            <wp:docPr id="7" name="Picture 7"/>
            <wp:cNvGraphicFramePr>
              <a:graphicFrameLocks noChangeAspect="1"/>
            </wp:cNvGraphicFramePr>
            <a:graphic>
              <a:graphicData uri="http://schemas.openxmlformats.org/drawingml/2006/picture">
                <pic:pic>
                  <pic:nvPicPr>
                    <pic:cNvPr id="0" name="hardware_architecture.png"/>
                    <pic:cNvPicPr/>
                  </pic:nvPicPr>
                  <pic:blipFill>
                    <a:blip r:embed="rId16"/>
                    <a:stretch>
                      <a:fillRect/>
                    </a:stretch>
                  </pic:blipFill>
                  <pic:spPr>
                    <a:xfrm>
                      <a:off x="0" y="0"/>
                      <a:ext cx="5669280" cy="3531565"/>
                    </a:xfrm>
                    <a:prstGeom prst="rect"/>
                  </pic:spPr>
                </pic:pic>
              </a:graphicData>
            </a:graphic>
          </wp:inline>
        </w:drawing>
      </w:r>
    </w:p>
    <w:p>
      <w:pPr>
        <w:jc w:val="center"/>
      </w:pPr>
      <w:r>
        <w:rPr>
          <w:rFonts w:ascii="Calibri" w:hAnsi="Calibri"/>
          <w:i/>
          <w:color w:val="555B63"/>
          <w:sz w:val="18"/>
        </w:rPr>
        <w:t>Figure 6 — Airframe hardware architecture</w:t>
      </w:r>
    </w:p>
    <w:p>
      <w:pPr>
        <w:keepNext/>
        <w:spacing w:before="200" w:after="120"/>
      </w:pPr>
      <w:r>
        <w:rPr>
          <w:rFonts w:ascii="Calibri" w:hAnsi="Calibri"/>
          <w:b/>
          <w:i/>
          <w:color w:val="1F3A5F"/>
          <w:sz w:val="23"/>
        </w:rPr>
        <w:t>7.2 Threats to validity</w:t>
      </w:r>
    </w:p>
    <w:p>
      <w:pPr>
        <w:spacing w:line="360" w:lineRule="auto" w:after="120"/>
        <w:jc w:val="both"/>
      </w:pPr>
      <w:r>
        <w:rPr>
          <w:rFonts w:ascii="Times New Roman" w:hAnsi="Times New Roman"/>
          <w:i/>
          <w:color w:val="101010"/>
          <w:sz w:val="22"/>
        </w:rPr>
        <w:t>Firmware vintage.</w:t>
      </w:r>
      <w:r>
        <w:rPr>
          <w:rFonts w:ascii="Times New Roman" w:hAnsi="Times New Roman"/>
          <w:color w:val="101010"/>
          <w:sz w:val="22"/>
        </w:rPr>
        <w:t xml:space="preserve"> The SITL firmware is ArduCopter 3.3; mode-handling and EKF behaviour have evolved since. The architecture treats the autopilot as an untrusted command sink, which should transfer — §4.2 is a superset of what modern firmware needs — but the specific rejection mode that motivated it may not reproduce on 4.x, and 4.x validation remains future work. </w:t>
      </w:r>
      <w:r>
        <w:rPr>
          <w:rFonts w:ascii="Times New Roman" w:hAnsi="Times New Roman"/>
          <w:i/>
          <w:color w:val="101010"/>
          <w:sz w:val="22"/>
        </w:rPr>
        <w:t>Environmental idealism.</w:t>
      </w:r>
      <w:r>
        <w:rPr>
          <w:rFonts w:ascii="Times New Roman" w:hAnsi="Times New Roman"/>
          <w:color w:val="101010"/>
          <w:sz w:val="22"/>
        </w:rPr>
        <w:t xml:space="preserve"> SITL flights have perfect GPS and no wind; the unit tier injects sensor faults synthetically, but a hardware-in-the-loop fault-injection campaign has not yet been run. </w:t>
      </w:r>
      <w:r>
        <w:rPr>
          <w:rFonts w:ascii="Times New Roman" w:hAnsi="Times New Roman"/>
          <w:i/>
          <w:color w:val="101010"/>
          <w:sz w:val="22"/>
        </w:rPr>
        <w:t>Single-vehicle scope.</w:t>
      </w:r>
      <w:r>
        <w:rPr>
          <w:rFonts w:ascii="Times New Roman" w:hAnsi="Times New Roman"/>
          <w:color w:val="101010"/>
          <w:sz w:val="22"/>
        </w:rPr>
        <w:t xml:space="preserve"> The interlock invariant is stated and enforced for one airframe; multi-drone fleets would relocate it to a per-vehicle executor under a routing layer, which is designed-for but not implemented. </w:t>
      </w:r>
      <w:r>
        <w:rPr>
          <w:rFonts w:ascii="Times New Roman" w:hAnsi="Times New Roman"/>
          <w:i/>
          <w:color w:val="101010"/>
          <w:sz w:val="22"/>
        </w:rPr>
        <w:t>Security model.</w:t>
      </w:r>
      <w:r>
        <w:rPr>
          <w:rFonts w:ascii="Times New Roman" w:hAnsi="Times New Roman"/>
          <w:color w:val="101010"/>
          <w:sz w:val="22"/>
        </w:rPr>
        <w:t xml:space="preserve"> Shared-token authentication and edge-validated geofencing protect against accidental and casual misuse on a private network; they are not a defence against a capable network adversary (no TLS termination, replay protection, or per-operator identity inside the stack itself).</w:t>
      </w:r>
    </w:p>
    <w:p>
      <w:pPr>
        <w:keepNext/>
        <w:spacing w:before="200" w:after="120"/>
      </w:pPr>
      <w:r>
        <w:rPr>
          <w:rFonts w:ascii="Calibri" w:hAnsi="Calibri"/>
          <w:b/>
          <w:i/>
          <w:color w:val="1F3A5F"/>
          <w:sz w:val="23"/>
        </w:rPr>
        <w:t>7.3 Limitations of the contribution claim</w:t>
      </w:r>
    </w:p>
    <w:p>
      <w:pPr>
        <w:spacing w:line="360" w:lineRule="auto" w:after="120"/>
        <w:jc w:val="both"/>
      </w:pPr>
      <w:r>
        <w:rPr>
          <w:rFonts w:ascii="Times New Roman" w:hAnsi="Times New Roman"/>
          <w:color w:val="101010"/>
          <w:sz w:val="22"/>
        </w:rPr>
        <w:t>We claim engineering contributions — verified command delivery, the landing interlock, arbitration semantics, and a reproducible two-tier validation — implemented and demonstrated in an integrated open-source system. We do not claim novel guidance, navigation, or control theory; the autopilot's GNC stack is used as supplied [1].</w:t>
      </w:r>
    </w:p>
    <w:p>
      <w:pPr>
        <w:keepNext/>
        <w:spacing w:before="280" w:after="120"/>
      </w:pPr>
      <w:r>
        <w:rPr>
          <w:rFonts w:ascii="Calibri" w:hAnsi="Calibri"/>
          <w:b/>
          <w:i w:val="0"/>
          <w:color w:val="1F3A5F"/>
          <w:sz w:val="26"/>
        </w:rPr>
        <w:t>8. Conclusion and Future Work</w:t>
      </w:r>
    </w:p>
    <w:p>
      <w:pPr>
        <w:spacing w:line="360" w:lineRule="auto" w:after="120"/>
        <w:jc w:val="both"/>
      </w:pPr>
      <w:r>
        <w:rPr>
          <w:rFonts w:ascii="Times New Roman" w:hAnsi="Times New Roman"/>
          <w:color w:val="101010"/>
          <w:sz w:val="22"/>
        </w:rPr>
        <w:t>A dispatch layer that treats its autopilot as an unreliable command sink, proves command adoption from telemetry, and refuses to overlap missions with an airborne vehicle converts several silent failure modes into either retried-and-recovered events or cleanly failed missions. The implementation validates end-to-end in SITL with terminal accuracy an order of magnitude inside tolerance, and its safety logic is pinned by a fast unit suite suitable for CI.</w:t>
      </w:r>
    </w:p>
    <w:p>
      <w:pPr>
        <w:spacing w:line="360" w:lineRule="auto" w:after="120"/>
        <w:jc w:val="both"/>
      </w:pPr>
      <w:r>
        <w:rPr>
          <w:rFonts w:ascii="Times New Roman" w:hAnsi="Times New Roman"/>
          <w:color w:val="101010"/>
          <w:sz w:val="22"/>
        </w:rPr>
        <w:t>Future work, in priority order: migration of the MAVLink layer from DroneKit to pymavlink/MAVSDK with ArduPilot 4.x SITL validation; scripted fault-injection flights (battery collapse, GPS denial, fence breach mid-mission) measuring response latency and touchdown dispersion; hardware flights on the documented Pixhawk build; TLS + per-operator identity on the trigger surface; and the multi-vehicle routing layer.</w:t>
      </w:r>
    </w:p>
    <w:p>
      <w:pPr>
        <w:spacing w:line="360" w:lineRule="auto" w:after="120"/>
        <w:jc w:val="both"/>
      </w:pPr>
      <w:r>
        <w:rPr>
          <w:rFonts w:ascii="Times New Roman" w:hAnsi="Times New Roman"/>
          <w:color w:val="101010"/>
          <w:sz w:val="22"/>
        </w:rPr>
        <w:t>The full source, both test tiers, the figures, and the documentation set (build guide, hardware integration, system reference, patentability analysis, thesis) are available in the repository.</w:t>
      </w:r>
    </w:p>
    <w:p>
      <w:pPr>
        <w:keepNext/>
        <w:spacing w:before="280" w:after="120"/>
      </w:pPr>
      <w:r>
        <w:rPr>
          <w:rFonts w:ascii="Calibri" w:hAnsi="Calibri"/>
          <w:b/>
          <w:i w:val="0"/>
          <w:color w:val="1F3A5F"/>
          <w:sz w:val="26"/>
        </w:rPr>
        <w:t>9. References</w:t>
      </w:r>
    </w:p>
    <w:p>
      <w:pPr>
        <w:spacing w:line="360" w:lineRule="auto" w:after="120"/>
        <w:jc w:val="both"/>
      </w:pPr>
      <w:r>
        <w:rPr>
          <w:rFonts w:ascii="Times New Roman" w:hAnsi="Times New Roman"/>
          <w:color w:val="101010"/>
          <w:sz w:val="22"/>
        </w:rPr>
        <w:t>References are listed in citation order. All entries are primary sources: project home pages, official specifications, official documentation, or government regulatory pages.</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[1] ArduPilot Project.</w:t>
      </w:r>
      <w:r>
        <w:rPr>
          <w:rFonts w:ascii="Times New Roman" w:hAnsi="Times New Roman"/>
          <w:color w:val="101010"/>
          <w:sz w:val="22"/>
        </w:rPr>
        <w:t xml:space="preserve"> Open-source autopilot firmware (Copter,</w:t>
      </w:r>
    </w:p>
    <w:p>
      <w:pPr>
        <w:spacing w:line="360" w:lineRule="auto" w:after="120"/>
        <w:jc w:val="both"/>
      </w:pPr>
      <w:r>
        <w:rPr>
          <w:rFonts w:ascii="Times New Roman" w:hAnsi="Times New Roman"/>
          <w:color w:val="101010"/>
          <w:sz w:val="22"/>
        </w:rPr>
        <w:t xml:space="preserve">Plane, Rover, Sub) and documentation, including SITL and failsafe configuration. </w:t>
      </w:r>
      <w:r>
        <w:rPr>
          <w:rFonts w:ascii="Times New Roman" w:hAnsi="Times New Roman"/>
          <w:color w:val="0563C1"/>
          <w:sz w:val="22"/>
          <w:u w:val="single"/>
        </w:rPr>
        <w:t>https://ardupilot.org</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[2] MAVLink Developer Guide.</w:t>
      </w:r>
      <w:r>
        <w:rPr>
          <w:rFonts w:ascii="Times New Roman" w:hAnsi="Times New Roman"/>
          <w:color w:val="101010"/>
          <w:sz w:val="22"/>
        </w:rPr>
        <w:t xml:space="preserve"> Micro Air Vehicle communication</w:t>
      </w:r>
    </w:p>
    <w:p>
      <w:pPr>
        <w:spacing w:line="360" w:lineRule="auto" w:after="120"/>
        <w:jc w:val="both"/>
      </w:pPr>
      <w:r>
        <w:rPr>
          <w:rFonts w:ascii="Times New Roman" w:hAnsi="Times New Roman"/>
          <w:color w:val="101010"/>
          <w:sz w:val="22"/>
        </w:rPr>
        <w:t>protocol specification, including HEARTBEAT, SET_MODE, and COMMAND_LONG (</w:t>
      </w:r>
      <w:r>
        <w:rPr>
          <w:rFonts w:ascii="Consolas" w:hAnsi="Consolas"/>
          <w:color w:val="101010"/>
          <w:sz w:val="22"/>
        </w:rPr>
        <w:t>MAV_CMD_DO_SET_MODE</w:t>
      </w:r>
      <w:r>
        <w:rPr>
          <w:rFonts w:ascii="Times New Roman" w:hAnsi="Times New Roman"/>
          <w:color w:val="101010"/>
          <w:sz w:val="22"/>
        </w:rPr>
        <w:t xml:space="preserve">). </w:t>
      </w:r>
      <w:r>
        <w:rPr>
          <w:rFonts w:ascii="Times New Roman" w:hAnsi="Times New Roman"/>
          <w:color w:val="0563C1"/>
          <w:sz w:val="22"/>
          <w:u w:val="single"/>
        </w:rPr>
        <w:t>https://mavlink.io/en/</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[3] DroneKit-Python.</w:t>
      </w:r>
      <w:r>
        <w:rPr>
          <w:rFonts w:ascii="Times New Roman" w:hAnsi="Times New Roman"/>
          <w:color w:val="101010"/>
          <w:sz w:val="22"/>
        </w:rPr>
        <w:t xml:space="preserve"> Python library for MAVLink-based vehicle</w:t>
      </w:r>
    </w:p>
    <w:p>
      <w:pPr>
        <w:spacing w:line="360" w:lineRule="auto" w:after="120"/>
        <w:jc w:val="both"/>
      </w:pPr>
      <w:r>
        <w:rPr>
          <w:rFonts w:ascii="Times New Roman" w:hAnsi="Times New Roman"/>
          <w:color w:val="101010"/>
          <w:sz w:val="22"/>
        </w:rPr>
        <w:t xml:space="preserve">control, version 2.9.2. </w:t>
      </w:r>
      <w:r>
        <w:rPr>
          <w:rFonts w:ascii="Times New Roman" w:hAnsi="Times New Roman"/>
          <w:color w:val="0563C1"/>
          <w:sz w:val="22"/>
          <w:u w:val="single"/>
        </w:rPr>
        <w:t>https://github.com/dronekit/dronekit-python</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[4] pymavlink.</w:t>
      </w:r>
      <w:r>
        <w:rPr>
          <w:rFonts w:ascii="Times New Roman" w:hAnsi="Times New Roman"/>
          <w:color w:val="101010"/>
          <w:sz w:val="22"/>
        </w:rPr>
        <w:t xml:space="preserve"> Python implementation of the MAVLink protocol.</w:t>
      </w:r>
    </w:p>
    <w:p>
      <w:pPr>
        <w:spacing w:line="360" w:lineRule="auto" w:after="120"/>
        <w:jc w:val="both"/>
      </w:pPr>
      <w:r>
        <w:rPr>
          <w:rFonts w:ascii="Times New Roman" w:hAnsi="Times New Roman"/>
          <w:color w:val="0563C1"/>
          <w:sz w:val="22"/>
          <w:u w:val="single"/>
        </w:rPr>
        <w:t>https://github.com/ArduPilot/pymavlink</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[5] dronekit-sitl.</w:t>
      </w:r>
      <w:r>
        <w:rPr>
          <w:rFonts w:ascii="Times New Roman" w:hAnsi="Times New Roman"/>
          <w:color w:val="101010"/>
          <w:sz w:val="22"/>
        </w:rPr>
        <w:t xml:space="preserve"> SITL launcher and prebuilt ArduCopter binaries,</w:t>
      </w:r>
    </w:p>
    <w:p>
      <w:pPr>
        <w:spacing w:line="360" w:lineRule="auto" w:after="120"/>
        <w:jc w:val="both"/>
      </w:pPr>
      <w:r>
        <w:rPr>
          <w:rFonts w:ascii="Times New Roman" w:hAnsi="Times New Roman"/>
          <w:color w:val="101010"/>
          <w:sz w:val="22"/>
        </w:rPr>
        <w:t xml:space="preserve">version 3.3.0. </w:t>
      </w:r>
      <w:r>
        <w:rPr>
          <w:rFonts w:ascii="Times New Roman" w:hAnsi="Times New Roman"/>
          <w:color w:val="0563C1"/>
          <w:sz w:val="22"/>
          <w:u w:val="single"/>
        </w:rPr>
        <w:t>https://github.com/dronekit/dronekit-sitl</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[6] FastAPI.</w:t>
      </w:r>
      <w:r>
        <w:rPr>
          <w:rFonts w:ascii="Times New Roman" w:hAnsi="Times New Roman"/>
          <w:color w:val="101010"/>
          <w:sz w:val="22"/>
        </w:rPr>
        <w:t xml:space="preserve"> Python web framework used for the trigger API.</w:t>
      </w:r>
    </w:p>
    <w:p>
      <w:pPr>
        <w:spacing w:line="360" w:lineRule="auto" w:after="120"/>
        <w:jc w:val="both"/>
      </w:pPr>
      <w:r>
        <w:rPr>
          <w:rFonts w:ascii="Times New Roman" w:hAnsi="Times New Roman"/>
          <w:color w:val="0563C1"/>
          <w:sz w:val="22"/>
          <w:u w:val="single"/>
        </w:rPr>
        <w:t>https://fastapi.tiangolo.com</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[7] Uvicorn.</w:t>
      </w:r>
      <w:r>
        <w:rPr>
          <w:rFonts w:ascii="Times New Roman" w:hAnsi="Times New Roman"/>
          <w:color w:val="101010"/>
          <w:sz w:val="22"/>
        </w:rPr>
        <w:t xml:space="preserve"> ASGI server hosting the FastAPI application.</w:t>
      </w:r>
    </w:p>
    <w:p>
      <w:pPr>
        <w:spacing w:line="360" w:lineRule="auto" w:after="120"/>
        <w:jc w:val="both"/>
      </w:pPr>
      <w:r>
        <w:rPr>
          <w:rFonts w:ascii="Times New Roman" w:hAnsi="Times New Roman"/>
          <w:color w:val="0563C1"/>
          <w:sz w:val="22"/>
          <w:u w:val="single"/>
        </w:rPr>
        <w:t>https://www.uvicorn.org</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[8] React 18.</w:t>
      </w:r>
      <w:r>
        <w:rPr>
          <w:rFonts w:ascii="Times New Roman" w:hAnsi="Times New Roman"/>
          <w:color w:val="101010"/>
          <w:sz w:val="22"/>
        </w:rPr>
        <w:t xml:space="preserve"> JavaScript library for the viewer dashboard.</w:t>
      </w:r>
    </w:p>
    <w:p>
      <w:pPr>
        <w:spacing w:line="360" w:lineRule="auto" w:after="120"/>
        <w:jc w:val="both"/>
      </w:pPr>
      <w:r>
        <w:rPr>
          <w:rFonts w:ascii="Times New Roman" w:hAnsi="Times New Roman"/>
          <w:color w:val="0563C1"/>
          <w:sz w:val="22"/>
          <w:u w:val="single"/>
        </w:rPr>
        <w:t>https://react.dev</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[9] Vite 5.</w:t>
      </w:r>
      <w:r>
        <w:rPr>
          <w:rFonts w:ascii="Times New Roman" w:hAnsi="Times New Roman"/>
          <w:color w:val="101010"/>
          <w:sz w:val="22"/>
        </w:rPr>
        <w:t xml:space="preserve"> Build tooling for the dashboard. </w:t>
      </w:r>
      <w:r>
        <w:rPr>
          <w:rFonts w:ascii="Times New Roman" w:hAnsi="Times New Roman"/>
          <w:color w:val="0563C1"/>
          <w:sz w:val="22"/>
          <w:u w:val="single"/>
        </w:rPr>
        <w:t>https://vite.dev</w:t>
      </w:r>
      <w:r>
        <w:rPr>
          <w:rFonts w:ascii="Times New Roman" w:hAnsi="Times New Roman"/>
          <w:color w:val="101010"/>
          <w:sz w:val="22"/>
        </w:rPr>
        <w:t>.</w:t>
      </w:r>
    </w:p>
    <w:p>
      <w:pPr>
        <w:spacing w:line="360" w:lineRule="auto" w:after="120"/>
        <w:jc w:val="both"/>
      </w:pPr>
      <w:r>
        <w:rPr>
          <w:rFonts w:ascii="Times New Roman" w:hAnsi="Times New Roman"/>
          <w:color w:val="101010"/>
          <w:sz w:val="22"/>
        </w:rPr>
        <w:t>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[10] Leaflet 1.9.</w:t>
      </w:r>
      <w:r>
        <w:rPr>
          <w:rFonts w:ascii="Times New Roman" w:hAnsi="Times New Roman"/>
          <w:color w:val="101010"/>
          <w:sz w:val="22"/>
        </w:rPr>
        <w:t xml:space="preserve"> Open-source JavaScript mapping library.</w:t>
      </w:r>
    </w:p>
    <w:p>
      <w:pPr>
        <w:spacing w:line="360" w:lineRule="auto" w:after="120"/>
        <w:jc w:val="both"/>
      </w:pPr>
      <w:r>
        <w:rPr>
          <w:rFonts w:ascii="Times New Roman" w:hAnsi="Times New Roman"/>
          <w:color w:val="0563C1"/>
          <w:sz w:val="22"/>
          <w:u w:val="single"/>
        </w:rPr>
        <w:t>https://leafletjs.com</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[11] OpenStreetMap.</w:t>
      </w:r>
      <w:r>
        <w:rPr>
          <w:rFonts w:ascii="Times New Roman" w:hAnsi="Times New Roman"/>
          <w:color w:val="101010"/>
          <w:sz w:val="22"/>
        </w:rPr>
        <w:t xml:space="preserve"> Map tile provider for the dashboard.</w:t>
      </w:r>
    </w:p>
    <w:p>
      <w:pPr>
        <w:spacing w:line="360" w:lineRule="auto" w:after="120"/>
        <w:jc w:val="both"/>
      </w:pPr>
      <w:r>
        <w:rPr>
          <w:rFonts w:ascii="Times New Roman" w:hAnsi="Times New Roman"/>
          <w:color w:val="0563C1"/>
          <w:sz w:val="22"/>
          <w:u w:val="single"/>
        </w:rPr>
        <w:t>https://www.openstreetmap.org</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[12] Pixhawk hardware reference.</w:t>
      </w:r>
      <w:r>
        <w:rPr>
          <w:rFonts w:ascii="Times New Roman" w:hAnsi="Times New Roman"/>
          <w:color w:val="101010"/>
          <w:sz w:val="22"/>
        </w:rPr>
        <w:t xml:space="preserve"> Open-hardware autopilot family.</w:t>
      </w:r>
    </w:p>
    <w:p>
      <w:pPr>
        <w:spacing w:line="360" w:lineRule="auto" w:after="120"/>
        <w:jc w:val="both"/>
      </w:pPr>
      <w:r>
        <w:rPr>
          <w:rFonts w:ascii="Times New Roman" w:hAnsi="Times New Roman"/>
          <w:color w:val="0563C1"/>
          <w:sz w:val="22"/>
          <w:u w:val="single"/>
        </w:rPr>
        <w:t>https://pixhawk.org</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**[13] U.S. Federal Aviation Administration. Part 107 — Small Unmanned</w:t>
      </w:r>
    </w:p>
    <w:p>
      <w:pPr>
        <w:spacing w:line="360" w:lineRule="auto" w:after="120"/>
        <w:jc w:val="both"/>
      </w:pPr>
      <w:r>
        <w:rPr>
          <w:rFonts w:ascii="Times New Roman" w:hAnsi="Times New Roman"/>
          <w:color w:val="101010"/>
          <w:sz w:val="22"/>
        </w:rPr>
        <w:t xml:space="preserve">Aircraft Systems.** </w:t>
      </w:r>
      <w:r>
        <w:rPr>
          <w:rFonts w:ascii="Times New Roman" w:hAnsi="Times New Roman"/>
          <w:color w:val="0563C1"/>
          <w:sz w:val="22"/>
          <w:u w:val="single"/>
        </w:rPr>
        <w:t>https://www.faa.gov/uas/commercial_operators</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xml:space="preserve">•  </w:t>
      </w:r>
      <w:r>
        <w:rPr>
          <w:rFonts w:ascii="Times New Roman" w:hAnsi="Times New Roman"/>
          <w:b/>
          <w:color w:val="101010"/>
          <w:sz w:val="22"/>
        </w:rPr>
        <w:t>[14] Python 3.10 — What's New.</w:t>
      </w:r>
      <w:r>
        <w:rPr>
          <w:rFonts w:ascii="Times New Roman" w:hAnsi="Times New Roman"/>
          <w:color w:val="101010"/>
          <w:sz w:val="22"/>
        </w:rPr>
        <w:t xml:space="preserve"> Documentation of the</w:t>
      </w:r>
    </w:p>
    <w:p>
      <w:pPr>
        <w:spacing w:line="360" w:lineRule="auto" w:after="120"/>
        <w:jc w:val="both"/>
      </w:pPr>
      <w:r>
        <w:rPr>
          <w:rFonts w:ascii="Consolas" w:hAnsi="Consolas"/>
          <w:color w:val="101010"/>
          <w:sz w:val="22"/>
        </w:rPr>
        <w:t>collections.MutableMapping</w:t>
      </w:r>
      <w:r>
        <w:rPr>
          <w:rFonts w:ascii="Times New Roman" w:hAnsi="Times New Roman"/>
          <w:color w:val="101010"/>
          <w:sz w:val="22"/>
        </w:rPr>
        <w:t xml:space="preserve"> relocation. </w:t>
      </w:r>
      <w:r>
        <w:rPr>
          <w:rFonts w:ascii="Times New Roman" w:hAnsi="Times New Roman"/>
          <w:color w:val="0563C1"/>
          <w:sz w:val="22"/>
          <w:u w:val="single"/>
        </w:rPr>
        <w:t>https://docs.python.org/3.10/whatsnew/3.10.html</w:t>
      </w:r>
      <w:r>
        <w:rPr>
          <w:rFonts w:ascii="Times New Roman" w:hAnsi="Times New Roman"/>
          <w:color w:val="101010"/>
          <w:sz w:val="22"/>
        </w:rPr>
        <w:t>. Accessed 2026-06-11.</w:t>
      </w:r>
    </w:p>
    <w:p>
      <w:pPr>
        <w:spacing w:line="360" w:lineRule="auto" w:after="60"/>
        <w:ind w:left="360"/>
        <w:jc w:val="both"/>
      </w:pPr>
      <w:r>
        <w:rPr>
          <w:rFonts w:ascii="Times New Roman" w:hAnsi="Times New Roman"/>
          <w:color w:val="101010"/>
          <w:sz w:val="22"/>
        </w:rPr>
        <w:t>•  **[15] Ministry of Civil Aviation, Government of India. The Drone</w:t>
      </w:r>
    </w:p>
    <w:p>
      <w:pPr>
        <w:spacing w:line="360" w:lineRule="auto" w:after="120"/>
        <w:jc w:val="both"/>
      </w:pPr>
      <w:r>
        <w:rPr>
          <w:rFonts w:ascii="Times New Roman" w:hAnsi="Times New Roman"/>
          <w:color w:val="101010"/>
          <w:sz w:val="22"/>
        </w:rPr>
        <w:t xml:space="preserve">Rules, 2021.** </w:t>
      </w:r>
      <w:r>
        <w:rPr>
          <w:rFonts w:ascii="Times New Roman" w:hAnsi="Times New Roman"/>
          <w:color w:val="0563C1"/>
          <w:sz w:val="22"/>
          <w:u w:val="single"/>
        </w:rPr>
        <w:t>https://digitalsky.dgca.gov.in</w:t>
      </w:r>
      <w:r>
        <w:rPr>
          <w:rFonts w:ascii="Times New Roman" w:hAnsi="Times New Roman"/>
          <w:color w:val="101010"/>
          <w:sz w:val="22"/>
        </w:rPr>
        <w:t>. Accessed 2026-06-11.</w:t>
      </w:r>
    </w:p>
    <w:p>
      <w:pPr>
        <w:spacing w:line="360" w:lineRule="auto" w:after="120"/>
        <w:jc w:val="both"/>
      </w:pPr>
      <w:r>
        <w:rPr>
          <w:rFonts w:ascii="Times New Roman" w:hAnsi="Times New Roman"/>
          <w:color w:val="101010"/>
          <w:sz w:val="22"/>
        </w:rPr>
        <w:t>Patent documents discussed in §2.4: US 10,216,181 B2; US 10,089,889 B2; US 12,184,803 B2; US 9,573,684 B2; US 10,737,782 B2 (all retrievable via Google Patents / USPTO full-text search).</w:t>
      </w:r>
    </w:p>
    <w:p>
      <w:pPr>
        <w:keepNext/>
        <w:spacing w:before="280" w:after="120"/>
      </w:pPr>
      <w:r>
        <w:rPr>
          <w:rFonts w:ascii="Calibri" w:hAnsi="Calibri"/>
          <w:b/>
          <w:i w:val="0"/>
          <w:color w:val="1F3A5F"/>
          <w:sz w:val="26"/>
        </w:rPr>
        <w:t>10. Originality, reproducibility, and plagiarism statement</w:t>
      </w:r>
    </w:p>
    <w:p>
      <w:pPr>
        <w:keepNext/>
        <w:spacing w:before="200" w:after="120"/>
      </w:pPr>
      <w:r>
        <w:rPr>
          <w:rFonts w:ascii="Calibri" w:hAnsi="Calibri"/>
          <w:b/>
          <w:i/>
          <w:color w:val="1F3A5F"/>
          <w:sz w:val="23"/>
        </w:rPr>
        <w:t>10.1 Originality</w:t>
      </w:r>
    </w:p>
    <w:p>
      <w:pPr>
        <w:spacing w:line="360" w:lineRule="auto" w:after="120"/>
        <w:jc w:val="both"/>
      </w:pPr>
      <w:r>
        <w:rPr>
          <w:rFonts w:ascii="Times New Roman" w:hAnsi="Times New Roman"/>
          <w:color w:val="101010"/>
          <w:sz w:val="22"/>
        </w:rPr>
        <w:t xml:space="preserve">All prose in this paper, including the abstract, all numbered sections, the figure captions, and the table, was written specifically for this work and has not been copied or paraphrased from any other source. All figures are generated programmatically by </w:t>
      </w:r>
      <w:r>
        <w:rPr>
          <w:rFonts w:ascii="Consolas" w:hAnsi="Consolas"/>
          <w:color w:val="101010"/>
          <w:sz w:val="22"/>
        </w:rPr>
        <w:t>docs/build_diagrams.py</w:t>
      </w:r>
      <w:r>
        <w:rPr>
          <w:rFonts w:ascii="Times New Roman" w:hAnsi="Times New Roman"/>
          <w:color w:val="101010"/>
          <w:sz w:val="22"/>
        </w:rPr>
        <w:t xml:space="preserve"> in this repository — no third-party image is reused. Where protocols [2], software [1] [3]–[11], hardware [12], regulations [13] [15], or language specifications [14] are referenced, they are cited by primary-source URL. Protocol message names, parameter names, and flight-mode names are protocol- or firmware-defined identifiers that cannot be reworded without introducing error; the originality claim applies to the surrounding prose.</w:t>
      </w:r>
    </w:p>
    <w:p>
      <w:pPr>
        <w:keepNext/>
        <w:spacing w:before="200" w:after="120"/>
      </w:pPr>
      <w:r>
        <w:rPr>
          <w:rFonts w:ascii="Calibri" w:hAnsi="Calibri"/>
          <w:b/>
          <w:i/>
          <w:color w:val="1F3A5F"/>
          <w:sz w:val="23"/>
        </w:rPr>
        <w:t>10.2 Reproducibility</w:t>
      </w:r>
    </w:p>
    <w:p>
      <w:pPr>
        <w:spacing w:line="360" w:lineRule="auto" w:after="120"/>
        <w:jc w:val="both"/>
      </w:pPr>
      <w:r>
        <w:rPr>
          <w:rFonts w:ascii="Times New Roman" w:hAnsi="Times New Roman"/>
          <w:color w:val="101010"/>
          <w:sz w:val="22"/>
        </w:rPr>
        <w:t xml:space="preserve">Both evaluation tiers are reproducible by any reader: </w:t>
      </w:r>
      <w:r>
        <w:rPr>
          <w:rFonts w:ascii="Consolas" w:hAnsi="Consolas"/>
          <w:color w:val="101010"/>
          <w:sz w:val="22"/>
        </w:rPr>
        <w:t>git clone https://github.com/SV-1411/drone.git</w:t>
      </w:r>
      <w:r>
        <w:rPr>
          <w:rFonts w:ascii="Times New Roman" w:hAnsi="Times New Roman"/>
          <w:color w:val="101010"/>
          <w:sz w:val="22"/>
        </w:rPr>
        <w:t xml:space="preserve">, create a Python 3.10+ environment, </w:t>
      </w:r>
      <w:r>
        <w:rPr>
          <w:rFonts w:ascii="Consolas" w:hAnsi="Consolas"/>
          <w:color w:val="101010"/>
          <w:sz w:val="22"/>
        </w:rPr>
        <w:t>pip install -r requirements-dev.txt</w:t>
      </w:r>
      <w:r>
        <w:rPr>
          <w:rFonts w:ascii="Times New Roman" w:hAnsi="Times New Roman"/>
          <w:color w:val="101010"/>
          <w:sz w:val="22"/>
        </w:rPr>
        <w:t xml:space="preserve">, then </w:t>
      </w:r>
      <w:r>
        <w:rPr>
          <w:rFonts w:ascii="Consolas" w:hAnsi="Consolas"/>
          <w:color w:val="101010"/>
          <w:sz w:val="22"/>
        </w:rPr>
        <w:t>python -m pytest</w:t>
      </w:r>
      <w:r>
        <w:rPr>
          <w:rFonts w:ascii="Times New Roman" w:hAnsi="Times New Roman"/>
          <w:color w:val="101010"/>
          <w:sz w:val="22"/>
        </w:rPr>
        <w:t xml:space="preserve"> (tier 1, ~13 s, no simulator) and </w:t>
      </w:r>
      <w:r>
        <w:rPr>
          <w:rFonts w:ascii="Consolas" w:hAnsi="Consolas"/>
          <w:color w:val="101010"/>
          <w:sz w:val="22"/>
        </w:rPr>
        <w:t>python tests/test_full_mission.py</w:t>
      </w:r>
      <w:r>
        <w:rPr>
          <w:rFonts w:ascii="Times New Roman" w:hAnsi="Times New Roman"/>
          <w:color w:val="101010"/>
          <w:sz w:val="22"/>
        </w:rPr>
        <w:t xml:space="preserve"> (tier 2, ~5–6 min, boots SITL locally). No paid service, proprietary tool, or undocumented API is used.</w:t>
      </w:r>
    </w:p>
    <w:p>
      <w:pPr>
        <w:keepNext/>
        <w:spacing w:before="200" w:after="120"/>
      </w:pPr>
      <w:r>
        <w:rPr>
          <w:rFonts w:ascii="Calibri" w:hAnsi="Calibri"/>
          <w:b/>
          <w:i/>
          <w:color w:val="1F3A5F"/>
          <w:sz w:val="23"/>
        </w:rPr>
        <w:t>10.3 Use of generative tools</w:t>
      </w:r>
    </w:p>
    <w:p>
      <w:pPr>
        <w:spacing w:line="360" w:lineRule="auto" w:after="120"/>
        <w:jc w:val="both"/>
      </w:pPr>
      <w:r>
        <w:rPr>
          <w:rFonts w:ascii="Times New Roman" w:hAnsi="Times New Roman"/>
          <w:color w:val="101010"/>
          <w:sz w:val="22"/>
        </w:rPr>
        <w:t>A large-language-model assistant was used during drafting for structure and consistency checking; all technical claims derive from the implementation and test logs in the repository, and the final text was reviewed and accepted by the author. This disclosure follows emerging norms for AI assistance in technical writing.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