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D1F3D"/>
          <w:sz w:val="44"/>
        </w:rPr>
        <w:t>DRAFT — Complete Specification (Indian Patent Office, Form 2 structure)</w:t>
      </w:r>
    </w:p>
    <w:p/>
    <w:p>
      <w:pPr>
        <w:jc w:val="center"/>
      </w:pPr>
      <w:r>
        <w:rPr>
          <w:rFonts w:ascii="Calibri" w:hAnsi="Calibri"/>
          <w:color w:val="101010"/>
          <w:sz w:val="24"/>
        </w:rPr>
        <w:t xml:space="preserve">&gt; </w:t>
      </w:r>
      <w:r>
        <w:rPr>
          <w:rFonts w:ascii="Calibri" w:hAnsi="Calibri"/>
          <w:b/>
          <w:color w:val="101010"/>
          <w:sz w:val="24"/>
        </w:rPr>
        <w:t>Status and disclaimer.</w:t>
      </w:r>
      <w:r>
        <w:rPr>
          <w:rFonts w:ascii="Calibri" w:hAnsi="Calibri"/>
          <w:color w:val="101010"/>
          <w:sz w:val="24"/>
        </w:rPr>
        <w:t xml:space="preserve"> This is a professionally-structured </w:t>
      </w:r>
      <w:r>
        <w:rPr>
          <w:rFonts w:ascii="Calibri" w:hAnsi="Calibri"/>
          <w:i/>
          <w:color w:val="101010"/>
          <w:sz w:val="24"/>
        </w:rPr>
        <w:t>draft</w:t>
      </w:r>
    </w:p>
    <w:p>
      <w:pPr>
        <w:jc w:val="center"/>
      </w:pPr>
      <w:r>
        <w:rPr>
          <w:rFonts w:ascii="Calibri" w:hAnsi="Calibri"/>
          <w:color w:val="101010"/>
          <w:sz w:val="24"/>
        </w:rPr>
        <w:t>&gt; prepared for review by a registered Indian patent agent. It is not legal</w:t>
      </w:r>
    </w:p>
    <w:p>
      <w:pPr>
        <w:jc w:val="center"/>
      </w:pPr>
      <w:r>
        <w:rPr>
          <w:rFonts w:ascii="Calibri" w:hAnsi="Calibri"/>
          <w:color w:val="101010"/>
          <w:sz w:val="24"/>
        </w:rPr>
        <w:t>&gt; advice and has not been filed. Before filing: (1) run an official</w:t>
      </w:r>
    </w:p>
    <w:p>
      <w:pPr>
        <w:jc w:val="center"/>
      </w:pPr>
      <w:r>
        <w:rPr>
          <w:rFonts w:ascii="Calibri" w:hAnsi="Calibri"/>
          <w:color w:val="101010"/>
          <w:sz w:val="24"/>
        </w:rPr>
        <w:t>&gt; novelty search (IPO InPASS, WIPO PATENTSCOPE, Google Patents) against</w:t>
      </w:r>
    </w:p>
    <w:p>
      <w:pPr>
        <w:jc w:val="center"/>
      </w:pPr>
      <w:r>
        <w:rPr>
          <w:rFonts w:ascii="Calibri" w:hAnsi="Calibri"/>
          <w:color w:val="101010"/>
          <w:sz w:val="24"/>
        </w:rPr>
        <w:t>&gt; the claims; (2) decide provisional vs. complete filing; (3) have the</w:t>
      </w:r>
    </w:p>
    <w:p>
      <w:pPr>
        <w:jc w:val="center"/>
      </w:pPr>
      <w:r>
        <w:rPr>
          <w:rFonts w:ascii="Calibri" w:hAnsi="Calibri"/>
          <w:color w:val="101010"/>
          <w:sz w:val="24"/>
        </w:rPr>
        <w:t>&gt; claims professionally narrowed/broadened. Prior art already identified</w:t>
      </w:r>
    </w:p>
    <w:p>
      <w:pPr>
        <w:jc w:val="center"/>
      </w:pPr>
      <w:r>
        <w:rPr>
          <w:rFonts w:ascii="Calibri" w:hAnsi="Calibri"/>
          <w:color w:val="101010"/>
          <w:sz w:val="24"/>
        </w:rPr>
        <w:t>&gt; during drafting is disclosed honestly in the Background section —</w:t>
      </w:r>
    </w:p>
    <w:p>
      <w:pPr>
        <w:jc w:val="center"/>
      </w:pPr>
      <w:r>
        <w:rPr>
          <w:rFonts w:ascii="Calibri" w:hAnsi="Calibri"/>
          <w:color w:val="101010"/>
          <w:sz w:val="24"/>
        </w:rPr>
        <w:t>&gt; the claims are drafted to be distinguishable from it, but only an</w:t>
      </w:r>
    </w:p>
    <w:p>
      <w:pPr>
        <w:jc w:val="center"/>
      </w:pPr>
      <w:r>
        <w:rPr>
          <w:rFonts w:ascii="Calibri" w:hAnsi="Calibri"/>
          <w:color w:val="101010"/>
          <w:sz w:val="24"/>
        </w:rPr>
        <w:t>&gt; examiner decides.</w:t>
      </w:r>
    </w:p>
    <w:p>
      <w:r>
        <w:br w:type="page"/>
      </w:r>
    </w:p>
    <w:p>
      <w:pPr>
        <w:spacing w:line="360" w:lineRule="auto" w:after="120"/>
        <w:jc w:val="both"/>
      </w:pPr>
      <w:r>
        <w:rPr>
          <w:rFonts w:ascii="Times New Roman" w:hAnsi="Times New Roman"/>
          <w:b/>
          <w:color w:val="101010"/>
          <w:sz w:val="22"/>
        </w:rPr>
        <w:t>FORM 2</w:t>
      </w:r>
      <w:r>
        <w:rPr>
          <w:rFonts w:ascii="Times New Roman" w:hAnsi="Times New Roman"/>
          <w:color w:val="101010"/>
          <w:sz w:val="22"/>
        </w:rPr>
        <w:t xml:space="preserve"> </w:t>
      </w:r>
      <w:r>
        <w:rPr>
          <w:rFonts w:ascii="Times New Roman" w:hAnsi="Times New Roman"/>
          <w:b/>
          <w:color w:val="101010"/>
          <w:sz w:val="22"/>
        </w:rPr>
        <w:t>THE PATENTS ACT, 1970 (39 of 1970)</w:t>
      </w:r>
      <w:r>
        <w:rPr>
          <w:rFonts w:ascii="Times New Roman" w:hAnsi="Times New Roman"/>
          <w:color w:val="101010"/>
          <w:sz w:val="22"/>
        </w:rPr>
        <w:t xml:space="preserve"> </w:t>
      </w:r>
      <w:r>
        <w:rPr>
          <w:rFonts w:ascii="Times New Roman" w:hAnsi="Times New Roman"/>
          <w:b/>
          <w:color w:val="101010"/>
          <w:sz w:val="22"/>
        </w:rPr>
        <w:t>THE PATENTS RULES, 2003</w:t>
      </w:r>
    </w:p>
    <w:p>
      <w:pPr>
        <w:spacing w:line="360" w:lineRule="auto" w:after="120"/>
        <w:jc w:val="both"/>
      </w:pPr>
      <w:r>
        <w:rPr>
          <w:rFonts w:ascii="Times New Roman" w:hAnsi="Times New Roman"/>
          <w:b/>
          <w:color w:val="101010"/>
          <w:sz w:val="22"/>
        </w:rPr>
        <w:t>COMPLETE SPECIFICATION</w:t>
      </w:r>
      <w:r>
        <w:rPr>
          <w:rFonts w:ascii="Times New Roman" w:hAnsi="Times New Roman"/>
          <w:color w:val="101010"/>
          <w:sz w:val="22"/>
        </w:rPr>
        <w:t xml:space="preserve"> (Section 10; Rule 13)</w:t>
      </w:r>
    </w:p>
    <w:p>
      <w:pPr>
        <w:keepNext/>
        <w:spacing w:before="280" w:after="120"/>
      </w:pPr>
      <w:r>
        <w:rPr>
          <w:rFonts w:ascii="Calibri" w:hAnsi="Calibri"/>
          <w:b/>
          <w:i w:val="0"/>
          <w:color w:val="1F3A5F"/>
          <w:sz w:val="26"/>
        </w:rPr>
        <w:t>1. TITLE OF THE INVENTION</w:t>
      </w:r>
    </w:p>
    <w:p>
      <w:pPr>
        <w:spacing w:line="360" w:lineRule="auto" w:after="120"/>
        <w:jc w:val="both"/>
      </w:pPr>
      <w:r>
        <w:rPr>
          <w:rFonts w:ascii="Times New Roman" w:hAnsi="Times New Roman"/>
          <w:b/>
          <w:color w:val="101010"/>
          <w:sz w:val="22"/>
        </w:rPr>
        <w:t>SYSTEM AND METHOD FOR VERIFIED FLIGHT-MODE COMMAND DELIVERY AND LANDING-INTERLOCKED SERIAL MISSION DISPATCH FOR UNMANNED AERIAL VEHICLES</w:t>
      </w:r>
    </w:p>
    <w:p>
      <w:pPr>
        <w:keepNext/>
        <w:spacing w:before="280" w:after="120"/>
      </w:pPr>
      <w:r>
        <w:rPr>
          <w:rFonts w:ascii="Calibri" w:hAnsi="Calibri"/>
          <w:b/>
          <w:i w:val="0"/>
          <w:color w:val="1F3A5F"/>
          <w:sz w:val="26"/>
        </w:rPr>
        <w:t>2. APPLICANT</w:t>
      </w:r>
    </w:p>
    <w:tbl>
      <w:tblPr>
        <w:tblW w:type="auto" w:w="0"/>
        <w:jc w:val="center"/>
        <w:tblLook w:firstColumn="1" w:firstRow="1" w:lastColumn="0" w:lastRow="0" w:noHBand="0" w:noVBand="1" w:val="04A0"/>
        <w:tblBorders>
          <w:top w:val="single" w:sz="4" w:color="9AA4B2"/>
          <w:left w:val="single" w:sz="4" w:color="9AA4B2"/>
          <w:bottom w:val="single" w:sz="4" w:color="9AA4B2"/>
          <w:right w:val="single" w:sz="4" w:color="9AA4B2"/>
          <w:insideH w:val="single" w:sz="4" w:color="9AA4B2"/>
          <w:insideV w:val="single" w:sz="4" w:color="9AA4B2"/>
        </w:tblBorders>
      </w:tblPr>
      <w:tblGrid>
        <w:gridCol w:w="4680"/>
        <w:gridCol w:w="4680"/>
      </w:tblGrid>
      <w:tr>
        <w:tc>
          <w:tcPr>
            <w:tcW w:type="dxa" w:w="4680"/>
            <w:shd w:val="clear" w:fill="1F3A5F"/>
          </w:tcPr>
          <w:p/>
        </w:tc>
        <w:tc>
          <w:tcPr>
            <w:tcW w:type="dxa" w:w="4680"/>
            <w:shd w:val="clear" w:fill="1F3A5F"/>
          </w:tcPr>
          <w:p/>
        </w:tc>
      </w:tr>
      <w:tr>
        <w:tc>
          <w:tcPr>
            <w:tcW w:type="dxa" w:w="4680"/>
          </w:tcPr>
          <w:p>
            <w:r>
              <w:rPr>
                <w:rFonts w:ascii="Times New Roman" w:hAnsi="Times New Roman"/>
                <w:color w:val="101010"/>
                <w:sz w:val="19"/>
              </w:rPr>
              <w:t>Name</w:t>
            </w:r>
          </w:p>
        </w:tc>
        <w:tc>
          <w:tcPr>
            <w:tcW w:type="dxa" w:w="4680"/>
          </w:tcPr>
          <w:p>
            <w:r>
              <w:rPr>
                <w:rFonts w:ascii="Times New Roman" w:hAnsi="Times New Roman"/>
                <w:i/>
                <w:color w:val="101010"/>
                <w:sz w:val="19"/>
              </w:rPr>
              <w:t>(to be filled in)</w:t>
            </w:r>
          </w:p>
        </w:tc>
      </w:tr>
      <w:tr>
        <w:tc>
          <w:tcPr>
            <w:tcW w:type="dxa" w:w="4680"/>
          </w:tcPr>
          <w:p>
            <w:r>
              <w:rPr>
                <w:rFonts w:ascii="Times New Roman" w:hAnsi="Times New Roman"/>
                <w:color w:val="101010"/>
                <w:sz w:val="19"/>
              </w:rPr>
              <w:t>Nationality</w:t>
            </w:r>
          </w:p>
        </w:tc>
        <w:tc>
          <w:tcPr>
            <w:tcW w:type="dxa" w:w="4680"/>
          </w:tcPr>
          <w:p>
            <w:r>
              <w:rPr>
                <w:rFonts w:ascii="Times New Roman" w:hAnsi="Times New Roman"/>
                <w:color w:val="101010"/>
                <w:sz w:val="19"/>
              </w:rPr>
              <w:t>Indian</w:t>
            </w:r>
          </w:p>
        </w:tc>
      </w:tr>
      <w:tr>
        <w:tc>
          <w:tcPr>
            <w:tcW w:type="dxa" w:w="4680"/>
          </w:tcPr>
          <w:p>
            <w:r>
              <w:rPr>
                <w:rFonts w:ascii="Times New Roman" w:hAnsi="Times New Roman"/>
                <w:color w:val="101010"/>
                <w:sz w:val="19"/>
              </w:rPr>
              <w:t>Address</w:t>
            </w:r>
          </w:p>
        </w:tc>
        <w:tc>
          <w:tcPr>
            <w:tcW w:type="dxa" w:w="4680"/>
          </w:tcPr>
          <w:p>
            <w:r>
              <w:rPr>
                <w:rFonts w:ascii="Times New Roman" w:hAnsi="Times New Roman"/>
                <w:i/>
                <w:color w:val="101010"/>
                <w:sz w:val="19"/>
              </w:rPr>
              <w:t>(to be filled in)</w:t>
            </w:r>
          </w:p>
        </w:tc>
      </w:tr>
    </w:tbl>
    <w:p>
      <w:pPr>
        <w:spacing w:after="80"/>
      </w:pPr>
    </w:p>
    <w:p>
      <w:pPr>
        <w:keepNext/>
        <w:spacing w:before="280" w:after="120"/>
      </w:pPr>
      <w:r>
        <w:rPr>
          <w:rFonts w:ascii="Calibri" w:hAnsi="Calibri"/>
          <w:b/>
          <w:i w:val="0"/>
          <w:color w:val="1F3A5F"/>
          <w:sz w:val="26"/>
        </w:rPr>
        <w:t>3. PREAMBLE TO THE DESCRIPTION</w:t>
      </w:r>
    </w:p>
    <w:p>
      <w:pPr>
        <w:spacing w:line="360" w:lineRule="auto" w:after="120"/>
        <w:jc w:val="both"/>
      </w:pPr>
      <w:r>
        <w:rPr>
          <w:rFonts w:ascii="Times New Roman" w:hAnsi="Times New Roman"/>
          <w:color w:val="101010"/>
          <w:sz w:val="22"/>
        </w:rPr>
        <w:t>The following specification particularly describes the invention and the manner in which it is to be performed.</w:t>
      </w:r>
    </w:p>
    <w:p>
      <w:pPr>
        <w:keepNext/>
        <w:spacing w:before="280" w:after="120"/>
      </w:pPr>
      <w:r>
        <w:rPr>
          <w:rFonts w:ascii="Calibri" w:hAnsi="Calibri"/>
          <w:b/>
          <w:i w:val="0"/>
          <w:color w:val="1F3A5F"/>
          <w:sz w:val="26"/>
        </w:rPr>
        <w:t>4. FIELD OF THE INVENTION</w:t>
      </w:r>
    </w:p>
    <w:p>
      <w:pPr>
        <w:spacing w:line="360" w:lineRule="auto" w:after="120"/>
        <w:jc w:val="both"/>
      </w:pPr>
      <w:r>
        <w:rPr>
          <w:rFonts w:ascii="Times New Roman" w:hAnsi="Times New Roman"/>
          <w:color w:val="101010"/>
          <w:sz w:val="22"/>
        </w:rPr>
        <w:t>The present invention relates to the field of unmanned aerial vehicle (UAV) control systems, and more particularly to a companion-computer system and method that (a) verifies the delivery and adoption of flight-mode commands issued to an autopilot using the autopilot's own telemetry stream, with layered command re-encoding on non-confirmation, and (b) enforces a landing interlock whereby serially dispatched autonomous missions cannot overlap with an airborne vehicle state.</w:t>
      </w:r>
    </w:p>
    <w:p>
      <w:pPr>
        <w:spacing w:line="360" w:lineRule="auto" w:after="120"/>
        <w:jc w:val="both"/>
      </w:pPr>
      <w:r>
        <w:rPr>
          <w:rFonts w:ascii="Times New Roman" w:hAnsi="Times New Roman"/>
          <w:color w:val="101010"/>
          <w:sz w:val="22"/>
        </w:rPr>
        <w:t>Indicative classifications: B64U 10/13 (rotorcraft UAVs); B64U 2201/10 (autonomous flight); G05D 1/00 (control of position/attitude of vehicles); G08G 5/00 (air traffic control / UAV flight management).</w:t>
      </w:r>
    </w:p>
    <w:p>
      <w:pPr>
        <w:keepNext/>
        <w:spacing w:before="280" w:after="120"/>
      </w:pPr>
      <w:r>
        <w:rPr>
          <w:rFonts w:ascii="Calibri" w:hAnsi="Calibri"/>
          <w:b/>
          <w:i w:val="0"/>
          <w:color w:val="1F3A5F"/>
          <w:sz w:val="26"/>
        </w:rPr>
        <w:t>5. BACKGROUND OF THE INVENTION</w:t>
      </w:r>
    </w:p>
    <w:p>
      <w:pPr>
        <w:spacing w:line="360" w:lineRule="auto" w:after="120"/>
        <w:jc w:val="both"/>
      </w:pPr>
      <w:r>
        <w:rPr>
          <w:rFonts w:ascii="Times New Roman" w:hAnsi="Times New Roman"/>
          <w:color w:val="101010"/>
          <w:sz w:val="22"/>
        </w:rPr>
        <w:t>Autonomous dispatch of UAVs in response to external triggers is known. US 10,216,181 B2 discloses a rescue UAV launched by a sensor-generated trigger toward a recorded GPS position. US 10,089,889 B2 discloses UAV dispatch initiated from emergency-call events, the UAV self-guiding to the scene. US 12,184,803 B2 discloses UAV emergency dispatch with diagnostics reporting. US 9,573,684 B2 and US 10,737,782 B2 disclose delivery-oriented dispatch-and-return cycles. Open-source autopilot documentation (ArduPilot, PX4) further establishes firmware-level failsafes — battery return-to-launch, geofence enforcement, and ground-station-loss behaviours — as common general knowledge.</w:t>
      </w:r>
    </w:p>
    <w:p>
      <w:pPr>
        <w:spacing w:line="360" w:lineRule="auto" w:after="120"/>
        <w:jc w:val="both"/>
      </w:pPr>
      <w:r>
        <w:rPr>
          <w:rFonts w:ascii="Times New Roman" w:hAnsi="Times New Roman"/>
          <w:color w:val="101010"/>
          <w:sz w:val="22"/>
        </w:rPr>
        <w:t xml:space="preserve">The prior art presumes that a command issued to the autopilot is a command executed. In practice, autopilot firmware may silently reject or drop a flight-mode change request: the requesting client library can report success while the autopilot remains in its previous mode. The present inventor observed this failure empirically on an ArduCopter software-in-the-loop autopilot, where a high-level mode-change request to GUIDED mode was reported as accepted by the client while the autopilot remained in STABILIZE, causing the subsequent takeoff command to be silently ignored. In an interactive, human-piloted system such a failure is noticed and corrected by the operator. In an autonomous dispatch system there is no operator in the loop, and — critically — the same unverified command pathway is used for </w:t>
      </w:r>
      <w:r>
        <w:rPr>
          <w:rFonts w:ascii="Times New Roman" w:hAnsi="Times New Roman"/>
          <w:i/>
          <w:color w:val="101010"/>
          <w:sz w:val="22"/>
        </w:rPr>
        <w:t>emergency</w:t>
      </w:r>
      <w:r>
        <w:rPr>
          <w:rFonts w:ascii="Times New Roman" w:hAnsi="Times New Roman"/>
          <w:color w:val="101010"/>
          <w:sz w:val="22"/>
        </w:rPr>
        <w:t xml:space="preserve"> commands (return-to-launch, land), where silent non-delivery endangers the aircraft and third parties.</w:t>
      </w:r>
    </w:p>
    <w:p>
      <w:pPr>
        <w:spacing w:line="360" w:lineRule="auto" w:after="120"/>
        <w:jc w:val="both"/>
      </w:pPr>
      <w:r>
        <w:rPr>
          <w:rFonts w:ascii="Times New Roman" w:hAnsi="Times New Roman"/>
          <w:color w:val="101010"/>
          <w:sz w:val="22"/>
        </w:rPr>
        <w:t xml:space="preserve">A second deficiency of the prior art concerns serial mission execution from a queue. Known dispatch systems treat the termination of mission </w:t>
      </w:r>
      <w:r>
        <w:rPr>
          <w:rFonts w:ascii="Times New Roman" w:hAnsi="Times New Roman"/>
          <w:i/>
          <w:color w:val="101010"/>
          <w:sz w:val="22"/>
        </w:rPr>
        <w:t>N</w:t>
      </w:r>
      <w:r>
        <w:rPr>
          <w:rFonts w:ascii="Times New Roman" w:hAnsi="Times New Roman"/>
          <w:color w:val="101010"/>
          <w:sz w:val="22"/>
        </w:rPr>
        <w:t xml:space="preserve">'s control logic as sufficient condition to begin mission </w:t>
      </w:r>
      <w:r>
        <w:rPr>
          <w:rFonts w:ascii="Times New Roman" w:hAnsi="Times New Roman"/>
          <w:i/>
          <w:color w:val="101010"/>
          <w:sz w:val="22"/>
        </w:rPr>
        <w:t>N+1</w:t>
      </w:r>
      <w:r>
        <w:rPr>
          <w:rFonts w:ascii="Times New Roman" w:hAnsi="Times New Roman"/>
          <w:color w:val="101010"/>
          <w:sz w:val="22"/>
        </w:rPr>
        <w:t xml:space="preserve">. Where mission </w:t>
      </w:r>
      <w:r>
        <w:rPr>
          <w:rFonts w:ascii="Times New Roman" w:hAnsi="Times New Roman"/>
          <w:i/>
          <w:color w:val="101010"/>
          <w:sz w:val="22"/>
        </w:rPr>
        <w:t>N</w:t>
      </w:r>
      <w:r>
        <w:rPr>
          <w:rFonts w:ascii="Times New Roman" w:hAnsi="Times New Roman"/>
          <w:color w:val="101010"/>
          <w:sz w:val="22"/>
        </w:rPr>
        <w:t xml:space="preserve"> terminates abnormally — by failsafe action or operator recall — the airframe may still be airborne when mission </w:t>
      </w:r>
      <w:r>
        <w:rPr>
          <w:rFonts w:ascii="Times New Roman" w:hAnsi="Times New Roman"/>
          <w:i/>
          <w:color w:val="101010"/>
          <w:sz w:val="22"/>
        </w:rPr>
        <w:t>N+1</w:t>
      </w:r>
      <w:r>
        <w:rPr>
          <w:rFonts w:ascii="Times New Roman" w:hAnsi="Times New Roman"/>
          <w:color w:val="101010"/>
          <w:sz w:val="22"/>
        </w:rPr>
        <w:t xml:space="preserve"> begins arming and takeoff procedures, producing an undefined and hazardous vehicle state.</w:t>
      </w:r>
    </w:p>
    <w:p>
      <w:pPr>
        <w:spacing w:line="360" w:lineRule="auto" w:after="120"/>
        <w:jc w:val="both"/>
      </w:pPr>
      <w:r>
        <w:rPr>
          <w:rFonts w:ascii="Times New Roman" w:hAnsi="Times New Roman"/>
          <w:color w:val="101010"/>
          <w:sz w:val="22"/>
        </w:rPr>
        <w:t>There is accordingly a need for a dispatch system that (i) treats the autopilot as an unreliable command sink and obtains positive, telemetry-derived confirmation of every flight-mode transition, including emergency transitions, with automatic re-encoding of unconfirmed commands; and (ii) guarantees, as a structural invariant of the mission queue, that no mission begins while the vehicle is airborne or armed.</w:t>
      </w:r>
    </w:p>
    <w:p>
      <w:pPr>
        <w:keepNext/>
        <w:spacing w:before="280" w:after="120"/>
      </w:pPr>
      <w:r>
        <w:rPr>
          <w:rFonts w:ascii="Calibri" w:hAnsi="Calibri"/>
          <w:b/>
          <w:i w:val="0"/>
          <w:color w:val="1F3A5F"/>
          <w:sz w:val="26"/>
        </w:rPr>
        <w:t>6. OBJECTS OF THE INVENTION</w:t>
      </w:r>
    </w:p>
    <w:p>
      <w:pPr>
        <w:spacing w:line="360" w:lineRule="auto" w:after="120"/>
        <w:jc w:val="both"/>
      </w:pPr>
      <w:r>
        <w:rPr>
          <w:rFonts w:ascii="Times New Roman" w:hAnsi="Times New Roman"/>
          <w:color w:val="101010"/>
          <w:sz w:val="22"/>
        </w:rPr>
        <w:t>It is a principal object of the present invention to provide a UAV dispatch system in which every flight-mode command, nominal or emergency, is verified against the autopilot's reported state before being treated as delivered.</w:t>
      </w:r>
    </w:p>
    <w:p>
      <w:pPr>
        <w:spacing w:line="360" w:lineRule="auto" w:after="120"/>
        <w:jc w:val="both"/>
      </w:pPr>
      <w:r>
        <w:rPr>
          <w:rFonts w:ascii="Times New Roman" w:hAnsi="Times New Roman"/>
          <w:color w:val="101010"/>
          <w:sz w:val="22"/>
        </w:rPr>
        <w:t>It is a further object to provide layered re-issue of unconfirmed mode commands through a plurality of protocol encodings, and a cross-action fallback whereby an unconfirmable emergency action is substituted by an alternative emergency action.</w:t>
      </w:r>
    </w:p>
    <w:p>
      <w:pPr>
        <w:spacing w:line="360" w:lineRule="auto" w:after="120"/>
        <w:jc w:val="both"/>
      </w:pPr>
      <w:r>
        <w:rPr>
          <w:rFonts w:ascii="Times New Roman" w:hAnsi="Times New Roman"/>
          <w:color w:val="101010"/>
          <w:sz w:val="22"/>
        </w:rPr>
        <w:t>It is a further object to provide a mission queue whose admission logic structurally prevents the commencement of a mission against an armed or airborne vehicle, including after aborted or operator-cancelled missions.</w:t>
      </w:r>
    </w:p>
    <w:p>
      <w:pPr>
        <w:spacing w:line="360" w:lineRule="auto" w:after="120"/>
        <w:jc w:val="both"/>
      </w:pPr>
      <w:r>
        <w:rPr>
          <w:rFonts w:ascii="Times New Roman" w:hAnsi="Times New Roman"/>
          <w:color w:val="101010"/>
          <w:sz w:val="22"/>
        </w:rPr>
        <w:t>It is a further object to achieve the foregoing entirely in a companion computer, without modification of the autopilot firmware.</w:t>
      </w:r>
    </w:p>
    <w:p>
      <w:pPr>
        <w:keepNext/>
        <w:spacing w:before="280" w:after="120"/>
      </w:pPr>
      <w:r>
        <w:rPr>
          <w:rFonts w:ascii="Calibri" w:hAnsi="Calibri"/>
          <w:b/>
          <w:i w:val="0"/>
          <w:color w:val="1F3A5F"/>
          <w:sz w:val="26"/>
        </w:rPr>
        <w:t>7. SUMMARY OF THE INVENTION</w:t>
      </w:r>
    </w:p>
    <w:p>
      <w:pPr>
        <w:spacing w:line="360" w:lineRule="auto" w:after="120"/>
        <w:jc w:val="both"/>
      </w:pPr>
      <w:r>
        <w:rPr>
          <w:rFonts w:ascii="Times New Roman" w:hAnsi="Times New Roman"/>
          <w:color w:val="101010"/>
          <w:sz w:val="22"/>
        </w:rPr>
        <w:t>According to a first aspect, there is provided a method of commanding a flight-mode transition of a UAV autopilot from a companion computer, comprising: issuing the transition through a first, high-level command interface; monitoring the autopilot's periodic telemetry (HEARTBEAT) stream for the autopilot's self-reported flight mode; and, while the reported mode differs from the commanded mode and a timeout has not elapsed, periodically re-issuing the transition through at least a second encoding comprising a MAVLink COMMAND_LONG message carrying MAV_CMD_DO_SET_MODE and a third encoding comprising a MAVLink SET_MODE message; the transition being treated as delivered only upon telemetry confirmation.</w:t>
      </w:r>
    </w:p>
    <w:p>
      <w:pPr>
        <w:spacing w:line="360" w:lineRule="auto" w:after="120"/>
        <w:jc w:val="both"/>
      </w:pPr>
      <w:r>
        <w:rPr>
          <w:rFonts w:ascii="Times New Roman" w:hAnsi="Times New Roman"/>
          <w:color w:val="101010"/>
          <w:sz w:val="22"/>
        </w:rPr>
        <w:t>According to a second aspect, where the commanded transition is an emergency action (return-to-launch or land) and confirmation is not obtained within the timeout, the method substitutes the alternative emergency action and repeats the verification procedure.</w:t>
      </w:r>
    </w:p>
    <w:p>
      <w:pPr>
        <w:spacing w:line="360" w:lineRule="auto" w:after="120"/>
        <w:jc w:val="both"/>
      </w:pPr>
      <w:r>
        <w:rPr>
          <w:rFonts w:ascii="Times New Roman" w:hAnsi="Times New Roman"/>
          <w:color w:val="101010"/>
          <w:sz w:val="22"/>
        </w:rPr>
        <w:t>According to a third aspect, there is provided a mission dispatch system comprising a bounded priority queue and a mission executor, wherein: every abort path of the executor — failsafe-initiated, operator-initiated, or exception-initiated — blocks until the vehicle reports a disarmed state (or a bounded period elapses) before control returns to the queue; and the executor refuses to commence any mission while the vehicle reports an armed state; whereby the system maintains the invariant that no mission is commenced against an airborne vehicle.</w:t>
      </w:r>
    </w:p>
    <w:p>
      <w:pPr>
        <w:spacing w:line="360" w:lineRule="auto" w:after="120"/>
        <w:jc w:val="both"/>
      </w:pPr>
      <w:r>
        <w:rPr>
          <w:rFonts w:ascii="Times New Roman" w:hAnsi="Times New Roman"/>
          <w:color w:val="101010"/>
          <w:sz w:val="22"/>
        </w:rPr>
        <w:t>According to a fourth aspect, the system rejects, at its network edge, any dispatch target or in-flight waypoint lying outside a configured geofence centred on the home location, converting what would otherwise be an in-flight abort into a pre-flight validation error.</w:t>
      </w:r>
    </w:p>
    <w:p>
      <w:pPr>
        <w:keepNext/>
        <w:spacing w:before="280" w:after="120"/>
      </w:pPr>
      <w:r>
        <w:rPr>
          <w:rFonts w:ascii="Calibri" w:hAnsi="Calibri"/>
          <w:b/>
          <w:i w:val="0"/>
          <w:color w:val="1F3A5F"/>
          <w:sz w:val="26"/>
        </w:rPr>
        <w:t>8. BRIEF DESCRIPTION OF THE ACCOMPANYING DRAWINGS</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1</w:t>
      </w:r>
      <w:r>
        <w:rPr>
          <w:rFonts w:ascii="Times New Roman" w:hAnsi="Times New Roman"/>
          <w:color w:val="101010"/>
          <w:sz w:val="22"/>
        </w:rPr>
        <w:t xml:space="preserve"> shows the component architecture of the system (dispatch</w:t>
      </w:r>
    </w:p>
    <w:p>
      <w:pPr>
        <w:spacing w:line="360" w:lineRule="auto" w:after="120"/>
        <w:jc w:val="both"/>
      </w:pPr>
      <w:r>
        <w:rPr>
          <w:rFonts w:ascii="Times New Roman" w:hAnsi="Times New Roman"/>
          <w:color w:val="101010"/>
          <w:sz w:val="22"/>
        </w:rPr>
        <w:t>surface, mission executor, failsafe monitor, viewer, autopilot).</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2</w:t>
      </w:r>
      <w:r>
        <w:rPr>
          <w:rFonts w:ascii="Times New Roman" w:hAnsi="Times New Roman"/>
          <w:color w:val="101010"/>
          <w:sz w:val="22"/>
        </w:rPr>
        <w:t xml:space="preserve"> shows the mission state machine of the executor.</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3</w:t>
      </w:r>
      <w:r>
        <w:rPr>
          <w:rFonts w:ascii="Times New Roman" w:hAnsi="Times New Roman"/>
          <w:color w:val="101010"/>
          <w:sz w:val="22"/>
        </w:rPr>
        <w:t xml:space="preserve"> shows the message sequence of a dispatched mission.</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7</w:t>
      </w:r>
      <w:r>
        <w:rPr>
          <w:rFonts w:ascii="Times New Roman" w:hAnsi="Times New Roman"/>
          <w:color w:val="101010"/>
          <w:sz w:val="22"/>
        </w:rPr>
        <w:t xml:space="preserve"> shows the five-gate safety interlock chain from network</w:t>
      </w:r>
    </w:p>
    <w:p>
      <w:pPr>
        <w:spacing w:line="360" w:lineRule="auto" w:after="120"/>
        <w:jc w:val="both"/>
      </w:pPr>
      <w:r>
        <w:rPr>
          <w:rFonts w:ascii="Times New Roman" w:hAnsi="Times New Roman"/>
          <w:color w:val="101010"/>
          <w:sz w:val="22"/>
        </w:rPr>
        <w:t>trigger to landing, including the abort guarantee.</w:t>
      </w:r>
    </w:p>
    <w:p>
      <w:pPr>
        <w:spacing w:line="360" w:lineRule="auto" w:after="120"/>
        <w:jc w:val="both"/>
      </w:pPr>
      <w:r>
        <w:rPr>
          <w:rFonts w:ascii="Times New Roman" w:hAnsi="Times New Roman"/>
          <w:color w:val="101010"/>
          <w:sz w:val="22"/>
        </w:rPr>
        <w:t xml:space="preserve">(Figures correspond to </w:t>
      </w:r>
      <w:r>
        <w:rPr>
          <w:rFonts w:ascii="Consolas" w:hAnsi="Consolas"/>
          <w:color w:val="101010"/>
          <w:sz w:val="22"/>
        </w:rPr>
        <w:t>docs/figures/architecture.png</w:t>
      </w:r>
      <w:r>
        <w:rPr>
          <w:rFonts w:ascii="Times New Roman" w:hAnsi="Times New Roman"/>
          <w:color w:val="101010"/>
          <w:sz w:val="22"/>
        </w:rPr>
        <w:t xml:space="preserve">, </w:t>
      </w:r>
      <w:r>
        <w:rPr>
          <w:rFonts w:ascii="Consolas" w:hAnsi="Consolas"/>
          <w:color w:val="101010"/>
          <w:sz w:val="22"/>
        </w:rPr>
        <w:t>state_machine.png</w:t>
      </w:r>
      <w:r>
        <w:rPr>
          <w:rFonts w:ascii="Times New Roman" w:hAnsi="Times New Roman"/>
          <w:color w:val="101010"/>
          <w:sz w:val="22"/>
        </w:rPr>
        <w:t xml:space="preserve">, </w:t>
      </w:r>
      <w:r>
        <w:rPr>
          <w:rFonts w:ascii="Consolas" w:hAnsi="Consolas"/>
          <w:color w:val="101010"/>
          <w:sz w:val="22"/>
        </w:rPr>
        <w:t>sequence.png</w:t>
      </w:r>
      <w:r>
        <w:rPr>
          <w:rFonts w:ascii="Times New Roman" w:hAnsi="Times New Roman"/>
          <w:color w:val="101010"/>
          <w:sz w:val="22"/>
        </w:rPr>
        <w:t xml:space="preserve">, </w:t>
      </w:r>
      <w:r>
        <w:rPr>
          <w:rFonts w:ascii="Consolas" w:hAnsi="Consolas"/>
          <w:color w:val="101010"/>
          <w:sz w:val="22"/>
        </w:rPr>
        <w:t>safety_interlock.png</w:t>
      </w:r>
      <w:r>
        <w:rPr>
          <w:rFonts w:ascii="Times New Roman" w:hAnsi="Times New Roman"/>
          <w:color w:val="101010"/>
          <w:sz w:val="22"/>
        </w:rPr>
        <w:t xml:space="preserve"> of the accompanying implementation; for filing they are to be redrawn per Rule 15 drawing requirements.)</w:t>
      </w:r>
    </w:p>
    <w:p>
      <w:pPr>
        <w:keepNext/>
        <w:spacing w:before="280" w:after="120"/>
      </w:pPr>
      <w:r>
        <w:rPr>
          <w:rFonts w:ascii="Calibri" w:hAnsi="Calibri"/>
          <w:b/>
          <w:i w:val="0"/>
          <w:color w:val="1F3A5F"/>
          <w:sz w:val="26"/>
        </w:rPr>
        <w:t>9. DETAILED DESCRIPTION OF THE INVENTION</w:t>
      </w:r>
    </w:p>
    <w:p>
      <w:pPr>
        <w:keepNext/>
        <w:spacing w:before="200" w:after="120"/>
      </w:pPr>
      <w:r>
        <w:rPr>
          <w:rFonts w:ascii="Calibri" w:hAnsi="Calibri"/>
          <w:b/>
          <w:i/>
          <w:color w:val="1F3A5F"/>
          <w:sz w:val="23"/>
        </w:rPr>
        <w:t>9.1 System context</w:t>
      </w:r>
    </w:p>
    <w:p>
      <w:pPr>
        <w:spacing w:line="360" w:lineRule="auto" w:after="120"/>
        <w:jc w:val="both"/>
      </w:pPr>
      <w:r>
        <w:rPr>
          <w:rFonts w:ascii="Times New Roman" w:hAnsi="Times New Roman"/>
          <w:color w:val="101010"/>
          <w:sz w:val="22"/>
        </w:rPr>
        <w:t>The system executes on a companion computer (100) communicatively coupled to a UAV autopilot (200) over a MAVLink transport — serial UART on a physical aircraft or TCP in simulation. The companion computer hosts: a network-facing trigger interface (110) accepting dispatch requests carrying a target coordinate, priority, and optional altitude and dwell parameters; a bounded priority queue (120); a mission executor (130) implementing a finite state machine over the states IDLE, CONNECTING, WAITING_GPS, ARMING, TAKEOFF, ENROUTE, HOVERING, RTL, LANDED, COMPLETED, ABORTED, FAILED; and a failsafe monitor (140) described in the co-filed specification "Companion-computer failsafe arbitration…".</w:t>
      </w:r>
    </w:p>
    <w:p>
      <w:pPr>
        <w:keepNext/>
        <w:spacing w:before="200" w:after="120"/>
      </w:pPr>
      <w:r>
        <w:rPr>
          <w:rFonts w:ascii="Calibri" w:hAnsi="Calibri"/>
          <w:b/>
          <w:i/>
          <w:color w:val="1F3A5F"/>
          <w:sz w:val="23"/>
        </w:rPr>
        <w:t>9.2 Verified mode-transition protocol (the "confirmed setter")</w:t>
      </w:r>
    </w:p>
    <w:p>
      <w:pPr>
        <w:spacing w:line="360" w:lineRule="auto" w:after="120"/>
        <w:jc w:val="both"/>
      </w:pPr>
      <w:r>
        <w:rPr>
          <w:rFonts w:ascii="Times New Roman" w:hAnsi="Times New Roman"/>
          <w:color w:val="101010"/>
          <w:sz w:val="22"/>
        </w:rPr>
        <w:t>All mode transitions are routed through a single routine (132). The routine first issues the transition through the high-level client interface. It then enters a confirmation loop bounded by a timeout (typically 10–15 s): on each iteration it reads the flight mode most recently reported by the autopilot's HEARTBEAT-derived telemetry. If the reported mode equals the commanded mode, the routine returns success. Otherwise, at a re-issue interval (typically 700 ms) it transmits the transition redundantly as (a) a COMMAND_LONG message carrying MAV_CMD_DO_SET_MODE with the custom-mode identifier resolved from the autopilot's mode mapping, and (b) a SET_MODE message, and (c) re-invokes the high-level interface. Because mode-set requests are idempotent, redundant issuance is harmless; because confirmation is read from the autopilot's own report, no client-side state is trusted.</w:t>
      </w:r>
    </w:p>
    <w:p>
      <w:pPr>
        <w:spacing w:line="360" w:lineRule="auto" w:after="120"/>
        <w:jc w:val="both"/>
      </w:pPr>
      <w:r>
        <w:rPr>
          <w:rFonts w:ascii="Times New Roman" w:hAnsi="Times New Roman"/>
          <w:color w:val="101010"/>
          <w:sz w:val="22"/>
        </w:rPr>
        <w:t xml:space="preserve">On timeout the routine returns failure. For nominal transitions the caller raises a mission failure (handled in §9.4). For emergency transitions the caller applies the cross-action fallback (134): if RTL cannot be confirmed, LAND is commanded through the same verified routine, and vice versa, on the rationale that </w:t>
      </w:r>
      <w:r>
        <w:rPr>
          <w:rFonts w:ascii="Times New Roman" w:hAnsi="Times New Roman"/>
          <w:i/>
          <w:color w:val="101010"/>
          <w:sz w:val="22"/>
        </w:rPr>
        <w:t>some</w:t>
      </w:r>
      <w:r>
        <w:rPr>
          <w:rFonts w:ascii="Times New Roman" w:hAnsi="Times New Roman"/>
          <w:color w:val="101010"/>
          <w:sz w:val="22"/>
        </w:rPr>
        <w:t xml:space="preserve"> confirmed recovery action is preferable to an optimal but unconfirmed one.</w:t>
      </w:r>
    </w:p>
    <w:p>
      <w:pPr>
        <w:keepNext/>
        <w:spacing w:before="200" w:after="120"/>
      </w:pPr>
      <w:r>
        <w:rPr>
          <w:rFonts w:ascii="Calibri" w:hAnsi="Calibri"/>
          <w:b/>
          <w:i/>
          <w:color w:val="1F3A5F"/>
          <w:sz w:val="23"/>
        </w:rPr>
        <w:t>9.3 Landing-interlocked queue</w:t>
      </w:r>
    </w:p>
    <w:p>
      <w:pPr>
        <w:spacing w:line="360" w:lineRule="auto" w:after="120"/>
        <w:jc w:val="both"/>
      </w:pPr>
      <w:r>
        <w:rPr>
          <w:rFonts w:ascii="Times New Roman" w:hAnsi="Times New Roman"/>
          <w:color w:val="101010"/>
          <w:sz w:val="22"/>
        </w:rPr>
        <w:t>The queue (120) is bounded (excess requests refused at admission) and strictly serial. The interlock comprises two cooperating mechanisms:</w:t>
      </w:r>
    </w:p>
    <w:p>
      <w:pPr>
        <w:spacing w:line="360" w:lineRule="auto" w:after="120"/>
        <w:jc w:val="both"/>
      </w:pPr>
      <w:r>
        <w:rPr>
          <w:rFonts w:ascii="Times New Roman" w:hAnsi="Times New Roman"/>
          <w:color w:val="101010"/>
          <w:sz w:val="22"/>
        </w:rPr>
        <w:t xml:space="preserve">(a) </w:t>
      </w:r>
      <w:r>
        <w:rPr>
          <w:rFonts w:ascii="Times New Roman" w:hAnsi="Times New Roman"/>
          <w:b/>
          <w:color w:val="101010"/>
          <w:sz w:val="22"/>
        </w:rPr>
        <w:t>Abort guarantee (136).</w:t>
      </w:r>
      <w:r>
        <w:rPr>
          <w:rFonts w:ascii="Times New Roman" w:hAnsi="Times New Roman"/>
          <w:color w:val="101010"/>
          <w:sz w:val="22"/>
        </w:rPr>
        <w:t xml:space="preserve"> Every path by which a mission terminates abnormally — failsafe action, operator recall via the network interface, or unhandled exception with the vehicle airborne — commands its recovery action through the verified routine of §9.2 and then blocks, polling vehicle telemetry, until the vehicle reports disarmed with near-zero relative altitude, or a bound (typically 240 s) elapses. Only then does control return to the queue worker.</w:t>
      </w:r>
    </w:p>
    <w:p>
      <w:pPr>
        <w:spacing w:line="360" w:lineRule="auto" w:after="120"/>
        <w:jc w:val="both"/>
      </w:pPr>
      <w:r>
        <w:rPr>
          <w:rFonts w:ascii="Times New Roman" w:hAnsi="Times New Roman"/>
          <w:color w:val="101010"/>
          <w:sz w:val="22"/>
        </w:rPr>
        <w:t xml:space="preserve">(b) </w:t>
      </w:r>
      <w:r>
        <w:rPr>
          <w:rFonts w:ascii="Times New Roman" w:hAnsi="Times New Roman"/>
          <w:b/>
          <w:color w:val="101010"/>
          <w:sz w:val="22"/>
        </w:rPr>
        <w:t>Pre-flight interlock (138).</w:t>
      </w:r>
      <w:r>
        <w:rPr>
          <w:rFonts w:ascii="Times New Roman" w:hAnsi="Times New Roman"/>
          <w:color w:val="101010"/>
          <w:sz w:val="22"/>
        </w:rPr>
        <w:t xml:space="preserve"> Upon dequeuing a mission, the executor reads the vehicle's armed flag. If armed, it waits up to a bound (typically 120 s) for disarm; failing that, the mission is failed without any arming or takeoff command being issued.</w:t>
      </w:r>
    </w:p>
    <w:p>
      <w:pPr>
        <w:spacing w:line="360" w:lineRule="auto" w:after="120"/>
        <w:jc w:val="both"/>
      </w:pPr>
      <w:r>
        <w:rPr>
          <w:rFonts w:ascii="Times New Roman" w:hAnsi="Times New Roman"/>
          <w:color w:val="101010"/>
          <w:sz w:val="22"/>
        </w:rPr>
        <w:t>Mechanisms (a) and (b) jointly establish the invariant that the queue never commences a mission against an airborne vehicle: (a) makes violation improbable, (b) makes it impossible.</w:t>
      </w:r>
    </w:p>
    <w:p>
      <w:pPr>
        <w:keepNext/>
        <w:spacing w:before="200" w:after="120"/>
      </w:pPr>
      <w:r>
        <w:rPr>
          <w:rFonts w:ascii="Calibri" w:hAnsi="Calibri"/>
          <w:b/>
          <w:i/>
          <w:color w:val="1F3A5F"/>
          <w:sz w:val="23"/>
        </w:rPr>
        <w:t>9.4 Edge geofence validation and recall</w:t>
      </w:r>
    </w:p>
    <w:p>
      <w:pPr>
        <w:spacing w:line="360" w:lineRule="auto" w:after="120"/>
        <w:jc w:val="both"/>
      </w:pPr>
      <w:r>
        <w:rPr>
          <w:rFonts w:ascii="Times New Roman" w:hAnsi="Times New Roman"/>
          <w:color w:val="101010"/>
          <w:sz w:val="22"/>
        </w:rPr>
        <w:t>The trigger interface validates each dispatch target and each in-flight waypoint against a geofence radius centred on the home location, rejecting non-compliant requests with a client error before any flight activity. A recall endpoint removes a queued mission atomically or, for a running mission, sets an abort flag observed by every blocking phase of the executor, which then routes into the abort guarantee of §9.3(a).</w:t>
      </w:r>
    </w:p>
    <w:p>
      <w:pPr>
        <w:keepNext/>
        <w:spacing w:before="200" w:after="120"/>
      </w:pPr>
      <w:r>
        <w:rPr>
          <w:rFonts w:ascii="Calibri" w:hAnsi="Calibri"/>
          <w:b/>
          <w:i/>
          <w:color w:val="1F3A5F"/>
          <w:sz w:val="23"/>
        </w:rPr>
        <w:t>9.5 Best method</w:t>
      </w:r>
    </w:p>
    <w:p>
      <w:pPr>
        <w:spacing w:line="360" w:lineRule="auto" w:after="120"/>
        <w:jc w:val="both"/>
      </w:pPr>
      <w:r>
        <w:rPr>
          <w:rFonts w:ascii="Times New Roman" w:hAnsi="Times New Roman"/>
          <w:color w:val="101010"/>
          <w:sz w:val="22"/>
        </w:rPr>
        <w:t>The best method presently known to the applicant is the open-source implementation accompanying this draft (Python 3.11 companion-computer stack; FastAPI trigger surface; the verified setter implemented over DroneKit and pymavlink; ArduPilot autopilot), validated by a 37-case unit suite and end-to-end software-in-the-loop acceptance flights achieving 0.4–0.6 m terminal accuracy and 8/8 acceptance checks.</w:t>
      </w:r>
    </w:p>
    <w:p>
      <w:pPr>
        <w:keepNext/>
        <w:spacing w:before="200" w:after="120"/>
      </w:pPr>
      <w:r>
        <w:rPr>
          <w:rFonts w:ascii="Calibri" w:hAnsi="Calibri"/>
          <w:b/>
          <w:i/>
          <w:color w:val="1F3A5F"/>
          <w:sz w:val="23"/>
        </w:rPr>
        <w:t>9.6 Industrial applicability</w:t>
      </w:r>
    </w:p>
    <w:p>
      <w:pPr>
        <w:spacing w:line="360" w:lineRule="auto" w:after="120"/>
        <w:jc w:val="both"/>
      </w:pPr>
      <w:r>
        <w:rPr>
          <w:rFonts w:ascii="Times New Roman" w:hAnsi="Times New Roman"/>
          <w:color w:val="101010"/>
          <w:sz w:val="22"/>
        </w:rPr>
        <w:t>The invention is applicable to emergency-response UAV dispatch, medical delivery, perimeter inspection, and any application requiring unmanned serial missions launched by machine-generated triggers.</w:t>
      </w:r>
    </w:p>
    <w:p>
      <w:pPr>
        <w:keepNext/>
        <w:spacing w:before="280" w:after="120"/>
      </w:pPr>
      <w:r>
        <w:rPr>
          <w:rFonts w:ascii="Calibri" w:hAnsi="Calibri"/>
          <w:b/>
          <w:i w:val="0"/>
          <w:color w:val="1F3A5F"/>
          <w:sz w:val="26"/>
        </w:rPr>
        <w:t>10. CLAIMS</w:t>
      </w:r>
    </w:p>
    <w:p>
      <w:pPr>
        <w:spacing w:line="360" w:lineRule="auto" w:after="120"/>
        <w:jc w:val="both"/>
      </w:pPr>
      <w:r>
        <w:rPr>
          <w:rFonts w:ascii="Times New Roman" w:hAnsi="Times New Roman"/>
          <w:b/>
          <w:color w:val="101010"/>
          <w:sz w:val="22"/>
        </w:rPr>
        <w:t>We claim:</w:t>
      </w:r>
    </w:p>
    <w:p>
      <w:pPr>
        <w:spacing w:line="360" w:lineRule="auto" w:after="60"/>
        <w:ind w:left="360"/>
        <w:jc w:val="both"/>
      </w:pPr>
      <w:r>
        <w:rPr>
          <w:rFonts w:ascii="Times New Roman" w:hAnsi="Times New Roman"/>
          <w:color w:val="101010"/>
          <w:sz w:val="22"/>
        </w:rPr>
        <w:t>1. A method of commanding a flight-mode transition of an unmanned</w:t>
      </w:r>
    </w:p>
    <w:p>
      <w:pPr>
        <w:spacing w:line="360" w:lineRule="auto" w:after="120"/>
        <w:jc w:val="both"/>
      </w:pPr>
      <w:r>
        <w:rPr>
          <w:rFonts w:ascii="Times New Roman" w:hAnsi="Times New Roman"/>
          <w:color w:val="101010"/>
          <w:sz w:val="22"/>
        </w:rPr>
        <w:t>aerial vehicle (UAV) autopilot from a companion computer, the method comprising: (a) issuing a mode-transition request through a first command interface; (b) monitoring a telemetry stream periodically emitted by the autopilot for the autopilot's self-reported flight mode; (c) while the self-reported flight mode differs from the requested mode and a confirmation timeout has not elapsed, re-issuing the request at a re-issue interval through at least one further protocol encoding distinct from the first command interface; and (d) treating the transition as delivered only upon the self-reported flight mode matching the requested mode, wherein the at least one further encoding comprises a MAVLink COMMAND_LONG message carrying MAV_CMD_DO_SET_MODE.</w:t>
      </w:r>
    </w:p>
    <w:p>
      <w:pPr>
        <w:spacing w:line="360" w:lineRule="auto" w:after="60"/>
        <w:ind w:left="360"/>
        <w:jc w:val="both"/>
      </w:pPr>
      <w:r>
        <w:rPr>
          <w:rFonts w:ascii="Times New Roman" w:hAnsi="Times New Roman"/>
          <w:color w:val="101010"/>
          <w:sz w:val="22"/>
        </w:rPr>
        <w:t>2. The method of claim 1, wherein the at least one further encoding</w:t>
      </w:r>
    </w:p>
    <w:p>
      <w:pPr>
        <w:spacing w:line="360" w:lineRule="auto" w:after="120"/>
        <w:jc w:val="both"/>
      </w:pPr>
      <w:r>
        <w:rPr>
          <w:rFonts w:ascii="Times New Roman" w:hAnsi="Times New Roman"/>
          <w:color w:val="101010"/>
          <w:sz w:val="22"/>
        </w:rPr>
        <w:t>additionally comprises a MAVLink SET_MODE message, the request being issued redundantly through a plurality of encodings within each re-issue interval.</w:t>
      </w:r>
    </w:p>
    <w:p>
      <w:pPr>
        <w:spacing w:line="360" w:lineRule="auto" w:after="60"/>
        <w:ind w:left="360"/>
        <w:jc w:val="both"/>
      </w:pPr>
      <w:r>
        <w:rPr>
          <w:rFonts w:ascii="Times New Roman" w:hAnsi="Times New Roman"/>
          <w:color w:val="101010"/>
          <w:sz w:val="22"/>
        </w:rPr>
        <w:t>3. The method of claim 1 or 2, wherein the requested mode is an</w:t>
      </w:r>
    </w:p>
    <w:p>
      <w:pPr>
        <w:spacing w:line="360" w:lineRule="auto" w:after="120"/>
        <w:jc w:val="both"/>
      </w:pPr>
      <w:r>
        <w:rPr>
          <w:rFonts w:ascii="Times New Roman" w:hAnsi="Times New Roman"/>
          <w:color w:val="101010"/>
          <w:sz w:val="22"/>
        </w:rPr>
        <w:t>emergency recovery mode selected from return-to-launch and land, and wherein, upon elapse of the confirmation timeout without delivery, the method further comprises commanding the other of return-to-launch and land through steps (a)–(d).</w:t>
      </w:r>
    </w:p>
    <w:p>
      <w:pPr>
        <w:spacing w:line="360" w:lineRule="auto" w:after="60"/>
        <w:ind w:left="360"/>
        <w:jc w:val="both"/>
      </w:pPr>
      <w:r>
        <w:rPr>
          <w:rFonts w:ascii="Times New Roman" w:hAnsi="Times New Roman"/>
          <w:color w:val="101010"/>
          <w:sz w:val="22"/>
        </w:rPr>
        <w:t>4. A mission dispatch system for a UAV, comprising a network-facing</w:t>
      </w:r>
    </w:p>
    <w:p>
      <w:pPr>
        <w:spacing w:line="360" w:lineRule="auto" w:after="120"/>
        <w:jc w:val="both"/>
      </w:pPr>
      <w:r>
        <w:rPr>
          <w:rFonts w:ascii="Times New Roman" w:hAnsi="Times New Roman"/>
          <w:color w:val="101010"/>
          <w:sz w:val="22"/>
        </w:rPr>
        <w:t>trigger interface, a bounded mission queue executing missions serially, and a mission executor coupled to an autopilot, wherein: (a) every abnormal-termination path of the executor commands a recovery flight mode by the method of any of claims 1 to 3 and thereafter blocks until the vehicle reports a disarmed state or a bounded wait elapses, before control returns to the queue; and (b) the executor, upon receiving a mission from the queue, refuses to issue arming or takeoff commands while the vehicle reports an armed state; whereby no mission is commenced against an airborne vehicle.</w:t>
      </w:r>
    </w:p>
    <w:p>
      <w:pPr>
        <w:spacing w:line="360" w:lineRule="auto" w:after="60"/>
        <w:ind w:left="360"/>
        <w:jc w:val="both"/>
      </w:pPr>
      <w:r>
        <w:rPr>
          <w:rFonts w:ascii="Times New Roman" w:hAnsi="Times New Roman"/>
          <w:color w:val="101010"/>
          <w:sz w:val="22"/>
        </w:rPr>
        <w:t>5. The system of claim 4, wherein the trigger interface rejects, prior</w:t>
      </w:r>
    </w:p>
    <w:p>
      <w:pPr>
        <w:spacing w:line="360" w:lineRule="auto" w:after="120"/>
        <w:jc w:val="both"/>
      </w:pPr>
      <w:r>
        <w:rPr>
          <w:rFonts w:ascii="Times New Roman" w:hAnsi="Times New Roman"/>
          <w:color w:val="101010"/>
          <w:sz w:val="22"/>
        </w:rPr>
        <w:t>to queue admission, any dispatch target lying outside a configured geofence centred on a home location of the vehicle, and rejects any in-flight waypoint request lying outside said geofence.</w:t>
      </w:r>
    </w:p>
    <w:p>
      <w:pPr>
        <w:spacing w:line="360" w:lineRule="auto" w:after="60"/>
        <w:ind w:left="360"/>
        <w:jc w:val="both"/>
      </w:pPr>
      <w:r>
        <w:rPr>
          <w:rFonts w:ascii="Times New Roman" w:hAnsi="Times New Roman"/>
          <w:color w:val="101010"/>
          <w:sz w:val="22"/>
        </w:rPr>
        <w:t>6. The system of claim 4 or 5, further comprising a recall interface</w:t>
      </w:r>
    </w:p>
    <w:p>
      <w:pPr>
        <w:spacing w:line="360" w:lineRule="auto" w:after="120"/>
        <w:jc w:val="both"/>
      </w:pPr>
      <w:r>
        <w:rPr>
          <w:rFonts w:ascii="Times New Roman" w:hAnsi="Times New Roman"/>
          <w:color w:val="101010"/>
          <w:sz w:val="22"/>
        </w:rPr>
        <w:t>which, for a queued mission, removes the mission from the queue atomically, and, for an executing mission, sets an abort indication observed by every blocking phase of the executor, the executor thereupon performing the abnormal-termination path of claim 4(a).</w:t>
      </w:r>
    </w:p>
    <w:p>
      <w:pPr>
        <w:spacing w:line="360" w:lineRule="auto" w:after="60"/>
        <w:ind w:left="360"/>
        <w:jc w:val="both"/>
      </w:pPr>
      <w:r>
        <w:rPr>
          <w:rFonts w:ascii="Times New Roman" w:hAnsi="Times New Roman"/>
          <w:color w:val="101010"/>
          <w:sz w:val="22"/>
        </w:rPr>
        <w:t>7. The system of any of claims 4 to 6, wherein upon a shutdown request</w:t>
      </w:r>
    </w:p>
    <w:p>
      <w:pPr>
        <w:spacing w:line="360" w:lineRule="auto" w:after="120"/>
        <w:jc w:val="both"/>
      </w:pPr>
      <w:r>
        <w:rPr>
          <w:rFonts w:ascii="Times New Roman" w:hAnsi="Times New Roman"/>
          <w:color w:val="101010"/>
          <w:sz w:val="22"/>
        </w:rPr>
        <w:t>received while the vehicle reports an armed state, the system commands return-to-launch by the method of any of claims 1 to 3 before releasing its communication link with the autopilot.</w:t>
      </w:r>
    </w:p>
    <w:p>
      <w:pPr>
        <w:spacing w:line="360" w:lineRule="auto" w:after="60"/>
        <w:ind w:left="360"/>
        <w:jc w:val="both"/>
      </w:pPr>
      <w:r>
        <w:rPr>
          <w:rFonts w:ascii="Times New Roman" w:hAnsi="Times New Roman"/>
          <w:color w:val="101010"/>
          <w:sz w:val="22"/>
        </w:rPr>
        <w:t>8. The system of any of claims 4 to 7, implemented entirely on a</w:t>
      </w:r>
    </w:p>
    <w:p>
      <w:pPr>
        <w:spacing w:line="360" w:lineRule="auto" w:after="120"/>
        <w:jc w:val="both"/>
      </w:pPr>
      <w:r>
        <w:rPr>
          <w:rFonts w:ascii="Times New Roman" w:hAnsi="Times New Roman"/>
          <w:color w:val="101010"/>
          <w:sz w:val="22"/>
        </w:rPr>
        <w:t>companion computer without modification of the autopilot firmware.</w:t>
      </w:r>
    </w:p>
    <w:p>
      <w:pPr>
        <w:keepNext/>
        <w:spacing w:before="280" w:after="120"/>
      </w:pPr>
      <w:r>
        <w:rPr>
          <w:rFonts w:ascii="Calibri" w:hAnsi="Calibri"/>
          <w:b/>
          <w:i w:val="0"/>
          <w:color w:val="1F3A5F"/>
          <w:sz w:val="26"/>
        </w:rPr>
        <w:t>11. ABSTRACT</w:t>
      </w:r>
    </w:p>
    <w:p>
      <w:pPr>
        <w:spacing w:line="360" w:lineRule="auto" w:after="120"/>
        <w:jc w:val="both"/>
      </w:pPr>
      <w:r>
        <w:rPr>
          <w:rFonts w:ascii="Times New Roman" w:hAnsi="Times New Roman"/>
          <w:b/>
          <w:color w:val="101010"/>
          <w:sz w:val="22"/>
        </w:rPr>
        <w:t>Verified flight-mode delivery and landing-interlocked dispatch for UAVs.</w:t>
      </w:r>
      <w:r>
        <w:rPr>
          <w:rFonts w:ascii="Times New Roman" w:hAnsi="Times New Roman"/>
          <w:color w:val="101010"/>
          <w:sz w:val="22"/>
        </w:rPr>
        <w:t xml:space="preserve"> A companion-computer dispatch system treats the autopilot as an unreliable command sink: every flight-mode transition — including emergency return-to-launch and land — is issued through a high-level interface and re-issued through redundant MAVLink encodings (COMMAND_LONG/MAV_CMD_DO_SET_MODE and SET_MODE) until the autopilot's own HEARTBEAT-derived telemetry confirms adoption, with a cross-action fallback substituting land for return-to-launch (or vice versa) when confirmation fails. A serial mission queue enforces a landing interlock: all abort paths block until the vehicle reports disarmed, and no mission may begin while the vehicle is armed, so that no dispatched mission can commence against an airborne vehicle. Targets outside a configured geofence are rejected before flight. (Reference: Figure 7.)</w:t>
      </w:r>
    </w:p>
    <w:p>
      <w:pPr>
        <w:spacing w:line="360" w:lineRule="auto" w:after="120"/>
        <w:jc w:val="both"/>
      </w:pPr>
      <w:r>
        <w:rPr>
          <w:rFonts w:ascii="Times New Roman" w:hAnsi="Times New Roman"/>
          <w:i/>
          <w:color w:val="101010"/>
          <w:sz w:val="22"/>
        </w:rPr>
        <w:t>(Abstract word count ≈ 120.)</w:t>
      </w:r>
    </w:p>
    <w:p>
      <w:pPr>
        <w:spacing w:line="360" w:lineRule="auto" w:after="120"/>
        <w:jc w:val="both"/>
      </w:pPr>
      <w:r>
        <w:rPr>
          <w:rFonts w:ascii="Times New Roman" w:hAnsi="Times New Roman"/>
          <w:i/>
          <w:color w:val="101010"/>
          <w:sz w:val="22"/>
        </w:rPr>
        <w:t>Dated this ____ day of ________ 20__.</w:t>
      </w:r>
      <w:r>
        <w:rPr>
          <w:rFonts w:ascii="Times New Roman" w:hAnsi="Times New Roman"/>
          <w:color w:val="101010"/>
          <w:sz w:val="22"/>
        </w:rPr>
        <w:t xml:space="preserve"> </w:t>
      </w:r>
      <w:r>
        <w:rPr>
          <w:rFonts w:ascii="Times New Roman" w:hAnsi="Times New Roman"/>
          <w:i/>
          <w:color w:val="101010"/>
          <w:sz w:val="22"/>
        </w:rPr>
        <w:t>Signature: ______________________</w:t>
      </w:r>
      <w:r>
        <w:rPr>
          <w:rFonts w:ascii="Times New Roman" w:hAnsi="Times New Roman"/>
          <w:color w:val="101010"/>
          <w:sz w:val="22"/>
        </w:rPr>
        <w:t xml:space="preserve"> </w:t>
      </w:r>
      <w:r>
        <w:rPr>
          <w:rFonts w:ascii="Times New Roman" w:hAnsi="Times New Roman"/>
          <w:i/>
          <w:color w:val="101010"/>
          <w:sz w:val="22"/>
        </w:rPr>
        <w:t>Name of applicant / authorised patent agent: 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