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Calibri" w:hAnsi="Calibri"/>
          <w:b/>
          <w:color w:val="0D1F3D"/>
          <w:sz w:val="44"/>
        </w:rPr>
        <w:t>DRAFT — Complete Specification (Indian Patent Office, Form 2 structure)</w:t>
      </w:r>
    </w:p>
    <w:p/>
    <w:p>
      <w:pPr>
        <w:jc w:val="center"/>
      </w:pPr>
      <w:r>
        <w:rPr>
          <w:rFonts w:ascii="Calibri" w:hAnsi="Calibri"/>
          <w:color w:val="101010"/>
          <w:sz w:val="24"/>
        </w:rPr>
        <w:t xml:space="preserve">&gt; </w:t>
      </w:r>
      <w:r>
        <w:rPr>
          <w:rFonts w:ascii="Calibri" w:hAnsi="Calibri"/>
          <w:b/>
          <w:color w:val="101010"/>
          <w:sz w:val="24"/>
        </w:rPr>
        <w:t>Status and disclaimer.</w:t>
      </w:r>
      <w:r>
        <w:rPr>
          <w:rFonts w:ascii="Calibri" w:hAnsi="Calibri"/>
          <w:color w:val="101010"/>
          <w:sz w:val="24"/>
        </w:rPr>
        <w:t xml:space="preserve"> Draft for review by a registered Indian</w:t>
      </w:r>
    </w:p>
    <w:p>
      <w:pPr>
        <w:jc w:val="center"/>
      </w:pPr>
      <w:r>
        <w:rPr>
          <w:rFonts w:ascii="Calibri" w:hAnsi="Calibri"/>
          <w:color w:val="101010"/>
          <w:sz w:val="24"/>
        </w:rPr>
        <w:t>&gt; patent agent; not filed, not legal advice. ArduPilot/PX4 firmware</w:t>
      </w:r>
    </w:p>
    <w:p>
      <w:pPr>
        <w:jc w:val="center"/>
      </w:pPr>
      <w:r>
        <w:rPr>
          <w:rFonts w:ascii="Calibri" w:hAnsi="Calibri"/>
          <w:color w:val="101010"/>
          <w:sz w:val="24"/>
        </w:rPr>
        <w:t>&gt; failsafes are acknowledged prior art — the claims below are directed</w:t>
      </w:r>
    </w:p>
    <w:p>
      <w:pPr>
        <w:jc w:val="center"/>
      </w:pPr>
      <w:r>
        <w:rPr>
          <w:rFonts w:ascii="Calibri" w:hAnsi="Calibri"/>
          <w:color w:val="101010"/>
          <w:sz w:val="24"/>
        </w:rPr>
        <w:t xml:space="preserve">&gt; to the </w:t>
      </w:r>
      <w:r>
        <w:rPr>
          <w:rFonts w:ascii="Calibri" w:hAnsi="Calibri"/>
          <w:i/>
          <w:color w:val="101010"/>
          <w:sz w:val="24"/>
        </w:rPr>
        <w:t>companion-computer arbitration semantics</w:t>
      </w:r>
      <w:r>
        <w:rPr>
          <w:rFonts w:ascii="Calibri" w:hAnsi="Calibri"/>
          <w:color w:val="101010"/>
          <w:sz w:val="24"/>
        </w:rPr>
        <w:t xml:space="preserve"> (debounce,</w:t>
      </w:r>
    </w:p>
    <w:p>
      <w:pPr>
        <w:jc w:val="center"/>
      </w:pPr>
      <w:r>
        <w:rPr>
          <w:rFonts w:ascii="Calibri" w:hAnsi="Calibri"/>
          <w:color w:val="101010"/>
          <w:sz w:val="24"/>
        </w:rPr>
        <w:t>&gt; non-downgradable severity, mid-recovery escalation, fire-once event</w:t>
      </w:r>
    </w:p>
    <w:p>
      <w:pPr>
        <w:jc w:val="center"/>
      </w:pPr>
      <w:r>
        <w:rPr>
          <w:rFonts w:ascii="Calibri" w:hAnsi="Calibri"/>
          <w:color w:val="101010"/>
          <w:sz w:val="24"/>
        </w:rPr>
        <w:t>&gt; discipline) layered above and independent of firmware failsafes. An</w:t>
      </w:r>
    </w:p>
    <w:p>
      <w:pPr>
        <w:jc w:val="center"/>
      </w:pPr>
      <w:r>
        <w:rPr>
          <w:rFonts w:ascii="Calibri" w:hAnsi="Calibri"/>
          <w:color w:val="101010"/>
          <w:sz w:val="24"/>
        </w:rPr>
        <w:t>&gt; official novelty search (IPO InPASS, WIPO PATENTSCOPE) is mandatory</w:t>
      </w:r>
    </w:p>
    <w:p>
      <w:pPr>
        <w:jc w:val="center"/>
      </w:pPr>
      <w:r>
        <w:rPr>
          <w:rFonts w:ascii="Calibri" w:hAnsi="Calibri"/>
          <w:color w:val="101010"/>
          <w:sz w:val="24"/>
        </w:rPr>
        <w:t>&gt; before filing. Consider filing together with Patent 1 as related</w:t>
      </w:r>
    </w:p>
    <w:p>
      <w:pPr>
        <w:jc w:val="center"/>
      </w:pPr>
      <w:r>
        <w:rPr>
          <w:rFonts w:ascii="Calibri" w:hAnsi="Calibri"/>
          <w:color w:val="101010"/>
          <w:sz w:val="24"/>
        </w:rPr>
        <w:t>&gt; applications, or merging both into one specification with two</w:t>
      </w:r>
    </w:p>
    <w:p>
      <w:pPr>
        <w:jc w:val="center"/>
      </w:pPr>
      <w:r>
        <w:rPr>
          <w:rFonts w:ascii="Calibri" w:hAnsi="Calibri"/>
          <w:color w:val="101010"/>
          <w:sz w:val="24"/>
        </w:rPr>
        <w:t>&gt; independent claim families — a call for the patent agent.</w:t>
      </w:r>
    </w:p>
    <w:p>
      <w:r>
        <w:br w:type="page"/>
      </w:r>
    </w:p>
    <w:p>
      <w:pPr>
        <w:spacing w:line="360" w:lineRule="auto" w:after="120"/>
        <w:jc w:val="both"/>
      </w:pPr>
      <w:r>
        <w:rPr>
          <w:rFonts w:ascii="Times New Roman" w:hAnsi="Times New Roman"/>
          <w:b/>
          <w:color w:val="101010"/>
          <w:sz w:val="22"/>
        </w:rPr>
        <w:t>FORM 2</w:t>
      </w:r>
      <w:r>
        <w:rPr>
          <w:rFonts w:ascii="Times New Roman" w:hAnsi="Times New Roman"/>
          <w:color w:val="101010"/>
          <w:sz w:val="22"/>
        </w:rPr>
        <w:t xml:space="preserve"> </w:t>
      </w:r>
      <w:r>
        <w:rPr>
          <w:rFonts w:ascii="Times New Roman" w:hAnsi="Times New Roman"/>
          <w:b/>
          <w:color w:val="101010"/>
          <w:sz w:val="22"/>
        </w:rPr>
        <w:t>THE PATENTS ACT, 1970 (39 of 1970)</w:t>
      </w:r>
      <w:r>
        <w:rPr>
          <w:rFonts w:ascii="Times New Roman" w:hAnsi="Times New Roman"/>
          <w:color w:val="101010"/>
          <w:sz w:val="22"/>
        </w:rPr>
        <w:t xml:space="preserve"> </w:t>
      </w:r>
      <w:r>
        <w:rPr>
          <w:rFonts w:ascii="Times New Roman" w:hAnsi="Times New Roman"/>
          <w:b/>
          <w:color w:val="101010"/>
          <w:sz w:val="22"/>
        </w:rPr>
        <w:t>THE PATENTS RULES, 2003</w:t>
      </w:r>
    </w:p>
    <w:p>
      <w:pPr>
        <w:spacing w:line="360" w:lineRule="auto" w:after="120"/>
        <w:jc w:val="both"/>
      </w:pPr>
      <w:r>
        <w:rPr>
          <w:rFonts w:ascii="Times New Roman" w:hAnsi="Times New Roman"/>
          <w:b/>
          <w:color w:val="101010"/>
          <w:sz w:val="22"/>
        </w:rPr>
        <w:t>COMPLETE SPECIFICATION</w:t>
      </w:r>
      <w:r>
        <w:rPr>
          <w:rFonts w:ascii="Times New Roman" w:hAnsi="Times New Roman"/>
          <w:color w:val="101010"/>
          <w:sz w:val="22"/>
        </w:rPr>
        <w:t xml:space="preserve"> (Section 10; Rule 13)</w:t>
      </w:r>
    </w:p>
    <w:p>
      <w:pPr>
        <w:keepNext/>
        <w:spacing w:before="280" w:after="120"/>
      </w:pPr>
      <w:r>
        <w:rPr>
          <w:rFonts w:ascii="Calibri" w:hAnsi="Calibri"/>
          <w:b/>
          <w:i w:val="0"/>
          <w:color w:val="1F3A5F"/>
          <w:sz w:val="26"/>
        </w:rPr>
        <w:t>1. TITLE OF THE INVENTION</w:t>
      </w:r>
    </w:p>
    <w:p>
      <w:pPr>
        <w:spacing w:line="360" w:lineRule="auto" w:after="120"/>
        <w:jc w:val="both"/>
      </w:pPr>
      <w:r>
        <w:rPr>
          <w:rFonts w:ascii="Times New Roman" w:hAnsi="Times New Roman"/>
          <w:b/>
          <w:color w:val="101010"/>
          <w:sz w:val="22"/>
        </w:rPr>
        <w:t>DEBOUNCED, SEVERITY-ORDERED FAILSAFE ARBITRATION FOR AUTONOMOUS UNMANNED AERIAL VEHICLE MISSIONS EXECUTED FROM A COMPANION COMPUTER</w:t>
      </w:r>
    </w:p>
    <w:p>
      <w:pPr>
        <w:keepNext/>
        <w:spacing w:before="280" w:after="120"/>
      </w:pPr>
      <w:r>
        <w:rPr>
          <w:rFonts w:ascii="Calibri" w:hAnsi="Calibri"/>
          <w:b/>
          <w:i w:val="0"/>
          <w:color w:val="1F3A5F"/>
          <w:sz w:val="26"/>
        </w:rPr>
        <w:t>2. APPLICANT</w:t>
      </w:r>
    </w:p>
    <w:tbl>
      <w:tblPr>
        <w:tblW w:type="auto" w:w="0"/>
        <w:jc w:val="center"/>
        <w:tblLook w:firstColumn="1" w:firstRow="1" w:lastColumn="0" w:lastRow="0" w:noHBand="0" w:noVBand="1" w:val="04A0"/>
        <w:tblBorders>
          <w:top w:val="single" w:sz="4" w:color="9AA4B2"/>
          <w:left w:val="single" w:sz="4" w:color="9AA4B2"/>
          <w:bottom w:val="single" w:sz="4" w:color="9AA4B2"/>
          <w:right w:val="single" w:sz="4" w:color="9AA4B2"/>
          <w:insideH w:val="single" w:sz="4" w:color="9AA4B2"/>
          <w:insideV w:val="single" w:sz="4" w:color="9AA4B2"/>
        </w:tblBorders>
      </w:tblPr>
      <w:tblGrid>
        <w:gridCol w:w="4680"/>
        <w:gridCol w:w="4680"/>
      </w:tblGrid>
      <w:tr>
        <w:tc>
          <w:tcPr>
            <w:tcW w:type="dxa" w:w="4680"/>
            <w:shd w:val="clear" w:fill="1F3A5F"/>
          </w:tcPr>
          <w:p/>
        </w:tc>
        <w:tc>
          <w:tcPr>
            <w:tcW w:type="dxa" w:w="4680"/>
            <w:shd w:val="clear" w:fill="1F3A5F"/>
          </w:tcPr>
          <w:p/>
        </w:tc>
      </w:tr>
      <w:tr>
        <w:tc>
          <w:tcPr>
            <w:tcW w:type="dxa" w:w="4680"/>
          </w:tcPr>
          <w:p>
            <w:r>
              <w:rPr>
                <w:rFonts w:ascii="Times New Roman" w:hAnsi="Times New Roman"/>
                <w:color w:val="101010"/>
                <w:sz w:val="19"/>
              </w:rPr>
              <w:t>Name</w:t>
            </w:r>
          </w:p>
        </w:tc>
        <w:tc>
          <w:tcPr>
            <w:tcW w:type="dxa" w:w="4680"/>
          </w:tcPr>
          <w:p>
            <w:r>
              <w:rPr>
                <w:rFonts w:ascii="Times New Roman" w:hAnsi="Times New Roman"/>
                <w:i/>
                <w:color w:val="101010"/>
                <w:sz w:val="19"/>
              </w:rPr>
              <w:t>(to be filled in)</w:t>
            </w:r>
          </w:p>
        </w:tc>
      </w:tr>
      <w:tr>
        <w:tc>
          <w:tcPr>
            <w:tcW w:type="dxa" w:w="4680"/>
          </w:tcPr>
          <w:p>
            <w:r>
              <w:rPr>
                <w:rFonts w:ascii="Times New Roman" w:hAnsi="Times New Roman"/>
                <w:color w:val="101010"/>
                <w:sz w:val="19"/>
              </w:rPr>
              <w:t>Nationality</w:t>
            </w:r>
          </w:p>
        </w:tc>
        <w:tc>
          <w:tcPr>
            <w:tcW w:type="dxa" w:w="4680"/>
          </w:tcPr>
          <w:p>
            <w:r>
              <w:rPr>
                <w:rFonts w:ascii="Times New Roman" w:hAnsi="Times New Roman"/>
                <w:color w:val="101010"/>
                <w:sz w:val="19"/>
              </w:rPr>
              <w:t>Indian</w:t>
            </w:r>
          </w:p>
        </w:tc>
      </w:tr>
      <w:tr>
        <w:tc>
          <w:tcPr>
            <w:tcW w:type="dxa" w:w="4680"/>
          </w:tcPr>
          <w:p>
            <w:r>
              <w:rPr>
                <w:rFonts w:ascii="Times New Roman" w:hAnsi="Times New Roman"/>
                <w:color w:val="101010"/>
                <w:sz w:val="19"/>
              </w:rPr>
              <w:t>Address</w:t>
            </w:r>
          </w:p>
        </w:tc>
        <w:tc>
          <w:tcPr>
            <w:tcW w:type="dxa" w:w="4680"/>
          </w:tcPr>
          <w:p>
            <w:r>
              <w:rPr>
                <w:rFonts w:ascii="Times New Roman" w:hAnsi="Times New Roman"/>
                <w:i/>
                <w:color w:val="101010"/>
                <w:sz w:val="19"/>
              </w:rPr>
              <w:t>(to be filled in)</w:t>
            </w:r>
          </w:p>
        </w:tc>
      </w:tr>
    </w:tbl>
    <w:p>
      <w:pPr>
        <w:spacing w:after="80"/>
      </w:pPr>
    </w:p>
    <w:p>
      <w:pPr>
        <w:keepNext/>
        <w:spacing w:before="280" w:after="120"/>
      </w:pPr>
      <w:r>
        <w:rPr>
          <w:rFonts w:ascii="Calibri" w:hAnsi="Calibri"/>
          <w:b/>
          <w:i w:val="0"/>
          <w:color w:val="1F3A5F"/>
          <w:sz w:val="26"/>
        </w:rPr>
        <w:t>3. PREAMBLE TO THE DESCRIPTION</w:t>
      </w:r>
    </w:p>
    <w:p>
      <w:pPr>
        <w:spacing w:line="360" w:lineRule="auto" w:after="120"/>
        <w:jc w:val="both"/>
      </w:pPr>
      <w:r>
        <w:rPr>
          <w:rFonts w:ascii="Times New Roman" w:hAnsi="Times New Roman"/>
          <w:color w:val="101010"/>
          <w:sz w:val="22"/>
        </w:rPr>
        <w:t>The following specification particularly describes the invention and the manner in which it is to be performed.</w:t>
      </w:r>
    </w:p>
    <w:p>
      <w:pPr>
        <w:keepNext/>
        <w:spacing w:before="280" w:after="120"/>
      </w:pPr>
      <w:r>
        <w:rPr>
          <w:rFonts w:ascii="Calibri" w:hAnsi="Calibri"/>
          <w:b/>
          <w:i w:val="0"/>
          <w:color w:val="1F3A5F"/>
          <w:sz w:val="26"/>
        </w:rPr>
        <w:t>4. FIELD OF THE INVENTION</w:t>
      </w:r>
    </w:p>
    <w:p>
      <w:pPr>
        <w:spacing w:line="360" w:lineRule="auto" w:after="120"/>
        <w:jc w:val="both"/>
      </w:pPr>
      <w:r>
        <w:rPr>
          <w:rFonts w:ascii="Times New Roman" w:hAnsi="Times New Roman"/>
          <w:color w:val="101010"/>
          <w:sz w:val="22"/>
        </w:rPr>
        <w:t>The invention relates to safety supervision of autonomous UAV missions, and specifically to a companion-computer failsafe monitor that arbitrates among a plurality of concurrently evaluated hazard conditions and demands exactly one recovery action under debounce, severity-ordering, and escalation rules.</w:t>
      </w:r>
    </w:p>
    <w:p>
      <w:pPr>
        <w:spacing w:line="360" w:lineRule="auto" w:after="120"/>
        <w:jc w:val="both"/>
      </w:pPr>
      <w:r>
        <w:rPr>
          <w:rFonts w:ascii="Times New Roman" w:hAnsi="Times New Roman"/>
          <w:color w:val="101010"/>
          <w:sz w:val="22"/>
        </w:rPr>
        <w:t>Indicative classifications: G05D 1/00; B64U 2201/10; B64D 45/00 (flight safety equipment); G08G 5/00.</w:t>
      </w:r>
    </w:p>
    <w:p>
      <w:pPr>
        <w:keepNext/>
        <w:spacing w:before="280" w:after="120"/>
      </w:pPr>
      <w:r>
        <w:rPr>
          <w:rFonts w:ascii="Calibri" w:hAnsi="Calibri"/>
          <w:b/>
          <w:i w:val="0"/>
          <w:color w:val="1F3A5F"/>
          <w:sz w:val="26"/>
        </w:rPr>
        <w:t>5. BACKGROUND OF THE INVENTION</w:t>
      </w:r>
    </w:p>
    <w:p>
      <w:pPr>
        <w:spacing w:line="360" w:lineRule="auto" w:after="120"/>
        <w:jc w:val="both"/>
      </w:pPr>
      <w:r>
        <w:rPr>
          <w:rFonts w:ascii="Times New Roman" w:hAnsi="Times New Roman"/>
          <w:color w:val="101010"/>
          <w:sz w:val="22"/>
        </w:rPr>
        <w:t>Autopilot firmware (ArduPilot, PX4) provides individual failsafes — low-battery return-to-launch (RTL), critical-battery land, geofence action, ground-station-loss action — each configured and acting largely independently. Dispatch systems in the patent literature (US 10,216,181 B2; US 10,089,889 B2; US 12,184,803 B2) presume such firmware behaviour or simple mission-abort logic.</w:t>
      </w:r>
    </w:p>
    <w:p>
      <w:pPr>
        <w:spacing w:line="360" w:lineRule="auto" w:after="120"/>
        <w:jc w:val="both"/>
      </w:pPr>
      <w:r>
        <w:rPr>
          <w:rFonts w:ascii="Times New Roman" w:hAnsi="Times New Roman"/>
          <w:color w:val="101010"/>
          <w:sz w:val="22"/>
        </w:rPr>
        <w:t xml:space="preserve">Three practical deficiencies arise when a companion computer supervises fully autonomous missions above such firmware. First, </w:t>
      </w:r>
      <w:r>
        <w:rPr>
          <w:rFonts w:ascii="Times New Roman" w:hAnsi="Times New Roman"/>
          <w:i/>
          <w:color w:val="101010"/>
          <w:sz w:val="22"/>
        </w:rPr>
        <w:t>transient sensor dropouts</w:t>
      </w:r>
      <w:r>
        <w:rPr>
          <w:rFonts w:ascii="Times New Roman" w:hAnsi="Times New Roman"/>
          <w:color w:val="101010"/>
          <w:sz w:val="22"/>
        </w:rPr>
        <w:t xml:space="preserve">: a single corrupted GPS sample, interpreted naively, triggers an immediate land-in-place — the most disruptive possible action — even though the fix returns within a second. Second, </w:t>
      </w:r>
      <w:r>
        <w:rPr>
          <w:rFonts w:ascii="Times New Roman" w:hAnsi="Times New Roman"/>
          <w:i/>
          <w:color w:val="101010"/>
          <w:sz w:val="22"/>
        </w:rPr>
        <w:t>severity interaction</w:t>
      </w:r>
      <w:r>
        <w:rPr>
          <w:rFonts w:ascii="Times New Roman" w:hAnsi="Times New Roman"/>
          <w:color w:val="101010"/>
          <w:sz w:val="22"/>
        </w:rPr>
        <w:t xml:space="preserve">: a low-battery RTL and a later critical-battery land demand interact; a supervisor that merely records the latest event may downgrade an in-progress land to a return, or fail to escalate an in-progress return to a land. Third, </w:t>
      </w:r>
      <w:r>
        <w:rPr>
          <w:rFonts w:ascii="Times New Roman" w:hAnsi="Times New Roman"/>
          <w:i/>
          <w:color w:val="101010"/>
          <w:sz w:val="22"/>
        </w:rPr>
        <w:t>event discipline</w:t>
      </w:r>
      <w:r>
        <w:rPr>
          <w:rFonts w:ascii="Times New Roman" w:hAnsi="Times New Roman"/>
          <w:color w:val="101010"/>
          <w:sz w:val="22"/>
        </w:rPr>
        <w:t>: a hazard condition that persists (battery below threshold persists by definition) re-triggers at the polling rate, flooding logs and downstream consumers with duplicate events and obscuring the incident record.</w:t>
      </w:r>
    </w:p>
    <w:p>
      <w:pPr>
        <w:spacing w:line="360" w:lineRule="auto" w:after="120"/>
        <w:jc w:val="both"/>
      </w:pPr>
      <w:r>
        <w:rPr>
          <w:rFonts w:ascii="Times New Roman" w:hAnsi="Times New Roman"/>
          <w:color w:val="101010"/>
          <w:sz w:val="22"/>
        </w:rPr>
        <w:t>The known art does not disclose a companion-level arbiter combining per-condition debounce, a monotone severity order over demanded actions, escalation honoured during an already-commanded recovery, and fire-once event emission, operating independently of and in addition to firmware failsafes.</w:t>
      </w:r>
    </w:p>
    <w:p>
      <w:pPr>
        <w:keepNext/>
        <w:spacing w:before="280" w:after="120"/>
      </w:pPr>
      <w:r>
        <w:rPr>
          <w:rFonts w:ascii="Calibri" w:hAnsi="Calibri"/>
          <w:b/>
          <w:i w:val="0"/>
          <w:color w:val="1F3A5F"/>
          <w:sz w:val="26"/>
        </w:rPr>
        <w:t>6. OBJECTS OF THE INVENTION</w:t>
      </w:r>
    </w:p>
    <w:p>
      <w:pPr>
        <w:spacing w:line="360" w:lineRule="auto" w:after="60"/>
        <w:ind w:left="360"/>
        <w:jc w:val="both"/>
      </w:pPr>
      <w:r>
        <w:rPr>
          <w:rFonts w:ascii="Times New Roman" w:hAnsi="Times New Roman"/>
          <w:color w:val="101010"/>
          <w:sz w:val="22"/>
        </w:rPr>
        <w:t>•  To provide a failsafe supervisor for autonomous UAV missions that</w:t>
      </w:r>
    </w:p>
    <w:p>
      <w:pPr>
        <w:spacing w:line="360" w:lineRule="auto" w:after="120"/>
        <w:jc w:val="both"/>
      </w:pPr>
      <w:r>
        <w:rPr>
          <w:rFonts w:ascii="Times New Roman" w:hAnsi="Times New Roman"/>
          <w:color w:val="101010"/>
          <w:sz w:val="22"/>
        </w:rPr>
        <w:t>demands exactly one recovery action at any time, selected under a monotone severity order in which a land demand is never downgraded.</w:t>
      </w:r>
    </w:p>
    <w:p>
      <w:pPr>
        <w:spacing w:line="360" w:lineRule="auto" w:after="60"/>
        <w:ind w:left="360"/>
        <w:jc w:val="both"/>
      </w:pPr>
      <w:r>
        <w:rPr>
          <w:rFonts w:ascii="Times New Roman" w:hAnsi="Times New Roman"/>
          <w:color w:val="101010"/>
          <w:sz w:val="22"/>
        </w:rPr>
        <w:t>•  To prevent transient, single-sample sensor anomalies from triggering</w:t>
      </w:r>
    </w:p>
    <w:p>
      <w:pPr>
        <w:spacing w:line="360" w:lineRule="auto" w:after="120"/>
        <w:jc w:val="both"/>
      </w:pPr>
      <w:r>
        <w:rPr>
          <w:rFonts w:ascii="Times New Roman" w:hAnsi="Times New Roman"/>
          <w:color w:val="101010"/>
          <w:sz w:val="22"/>
        </w:rPr>
        <w:t>recovery actions, by requiring a configured number of consecutive anomalous samples, with recovery of the condition resetting the count.</w:t>
      </w:r>
    </w:p>
    <w:p>
      <w:pPr>
        <w:spacing w:line="360" w:lineRule="auto" w:after="60"/>
        <w:ind w:left="360"/>
        <w:jc w:val="both"/>
      </w:pPr>
      <w:r>
        <w:rPr>
          <w:rFonts w:ascii="Times New Roman" w:hAnsi="Times New Roman"/>
          <w:color w:val="101010"/>
          <w:sz w:val="22"/>
        </w:rPr>
        <w:t>•  To honour severity escalation after a recovery has begun, including</w:t>
      </w:r>
    </w:p>
    <w:p>
      <w:pPr>
        <w:spacing w:line="360" w:lineRule="auto" w:after="120"/>
        <w:jc w:val="both"/>
      </w:pPr>
      <w:r>
        <w:rPr>
          <w:rFonts w:ascii="Times New Roman" w:hAnsi="Times New Roman"/>
          <w:color w:val="101010"/>
          <w:sz w:val="22"/>
        </w:rPr>
        <w:t>substituting land for return-to-launch during the return flight.</w:t>
      </w:r>
    </w:p>
    <w:p>
      <w:pPr>
        <w:spacing w:line="360" w:lineRule="auto" w:after="60"/>
        <w:ind w:left="360"/>
        <w:jc w:val="both"/>
      </w:pPr>
      <w:r>
        <w:rPr>
          <w:rFonts w:ascii="Times New Roman" w:hAnsi="Times New Roman"/>
          <w:color w:val="101010"/>
          <w:sz w:val="22"/>
        </w:rPr>
        <w:t>•  To emit each named hazard as a single event per mission, suppressing</w:t>
      </w:r>
    </w:p>
    <w:p>
      <w:pPr>
        <w:spacing w:line="360" w:lineRule="auto" w:after="120"/>
        <w:jc w:val="both"/>
      </w:pPr>
      <w:r>
        <w:rPr>
          <w:rFonts w:ascii="Times New Roman" w:hAnsi="Times New Roman"/>
          <w:color w:val="101010"/>
          <w:sz w:val="22"/>
        </w:rPr>
        <w:t>duplicate emission except upon severity escalation.</w:t>
      </w:r>
    </w:p>
    <w:p>
      <w:pPr>
        <w:keepNext/>
        <w:spacing w:before="280" w:after="120"/>
      </w:pPr>
      <w:r>
        <w:rPr>
          <w:rFonts w:ascii="Calibri" w:hAnsi="Calibri"/>
          <w:b/>
          <w:i w:val="0"/>
          <w:color w:val="1F3A5F"/>
          <w:sz w:val="26"/>
        </w:rPr>
        <w:t>7. SUMMARY OF THE INVENTION</w:t>
      </w:r>
    </w:p>
    <w:p>
      <w:pPr>
        <w:spacing w:line="360" w:lineRule="auto" w:after="120"/>
        <w:jc w:val="both"/>
      </w:pPr>
      <w:r>
        <w:rPr>
          <w:rFonts w:ascii="Times New Roman" w:hAnsi="Times New Roman"/>
          <w:color w:val="101010"/>
          <w:sz w:val="22"/>
        </w:rPr>
        <w:t>There is provided a failsafe arbitration method executed periodically (e.g. at 1 Hz) on a companion computer during an autonomous UAV mission, evaluating a plurality of named hazard conditions — at least battery level against a low and a critical threshold, satellite-navigation fix validity, distance from a home location against a geofence radius, and mission elapsed time against a maximum — and maintaining a single demanded recovery action with the following properties: (i) each named condition fires at most once per mission, except that a condition may re-fire to escalate the demanded action from return-to-launch to land; (ii) the demanded action is never changed from land to return-to-launch; (iii) loss of satellite-navigation fix fires only after a configured number N of consecutive anomalous evaluations, an intervening valid evaluation resetting the count, and demands land (a return path being non-navigable without positioning); and (iv) the mission executor re-evaluates the demanded action within every blocking phase, including during an already-commanded return, substituting the escalated action mid-flight. The arbiter operates above unmodified autopilot firmware and in addition to any firmware failsafes.</w:t>
      </w:r>
    </w:p>
    <w:p>
      <w:pPr>
        <w:keepNext/>
        <w:spacing w:before="280" w:after="120"/>
      </w:pPr>
      <w:r>
        <w:rPr>
          <w:rFonts w:ascii="Calibri" w:hAnsi="Calibri"/>
          <w:b/>
          <w:i w:val="0"/>
          <w:color w:val="1F3A5F"/>
          <w:sz w:val="26"/>
        </w:rPr>
        <w:t>8. BRIEF DESCRIPTION OF THE ACCOMPANYING DRAWINGS</w:t>
      </w:r>
    </w:p>
    <w:p>
      <w:pPr>
        <w:spacing w:line="360" w:lineRule="auto" w:after="60"/>
        <w:ind w:left="360"/>
        <w:jc w:val="both"/>
      </w:pPr>
      <w:r>
        <w:rPr>
          <w:rFonts w:ascii="Times New Roman" w:hAnsi="Times New Roman"/>
          <w:color w:val="101010"/>
          <w:sz w:val="22"/>
        </w:rPr>
        <w:t xml:space="preserve">•  </w:t>
      </w:r>
      <w:r>
        <w:rPr>
          <w:rFonts w:ascii="Times New Roman" w:hAnsi="Times New Roman"/>
          <w:b/>
          <w:color w:val="101010"/>
          <w:sz w:val="22"/>
        </w:rPr>
        <w:t>Figure 5</w:t>
      </w:r>
      <w:r>
        <w:rPr>
          <w:rFonts w:ascii="Times New Roman" w:hAnsi="Times New Roman"/>
          <w:color w:val="101010"/>
          <w:sz w:val="22"/>
        </w:rPr>
        <w:t xml:space="preserve"> shows the hazard conditions monitored, their thresholds,</w:t>
      </w:r>
    </w:p>
    <w:p>
      <w:pPr>
        <w:spacing w:line="360" w:lineRule="auto" w:after="120"/>
        <w:jc w:val="both"/>
      </w:pPr>
      <w:r>
        <w:rPr>
          <w:rFonts w:ascii="Times New Roman" w:hAnsi="Times New Roman"/>
          <w:color w:val="101010"/>
          <w:sz w:val="22"/>
        </w:rPr>
        <w:t>and demanded actions (failsafe tree).</w:t>
      </w:r>
    </w:p>
    <w:p>
      <w:pPr>
        <w:spacing w:line="360" w:lineRule="auto" w:after="60"/>
        <w:ind w:left="360"/>
        <w:jc w:val="both"/>
      </w:pPr>
      <w:r>
        <w:rPr>
          <w:rFonts w:ascii="Times New Roman" w:hAnsi="Times New Roman"/>
          <w:color w:val="101010"/>
          <w:sz w:val="22"/>
        </w:rPr>
        <w:t xml:space="preserve">•  </w:t>
      </w:r>
      <w:r>
        <w:rPr>
          <w:rFonts w:ascii="Times New Roman" w:hAnsi="Times New Roman"/>
          <w:b/>
          <w:color w:val="101010"/>
          <w:sz w:val="22"/>
        </w:rPr>
        <w:t>Figure 2</w:t>
      </w:r>
      <w:r>
        <w:rPr>
          <w:rFonts w:ascii="Times New Roman" w:hAnsi="Times New Roman"/>
          <w:color w:val="101010"/>
          <w:sz w:val="22"/>
        </w:rPr>
        <w:t xml:space="preserve"> shows the mission state machine, including transitions</w:t>
      </w:r>
    </w:p>
    <w:p>
      <w:pPr>
        <w:spacing w:line="360" w:lineRule="auto" w:after="120"/>
        <w:jc w:val="both"/>
      </w:pPr>
      <w:r>
        <w:rPr>
          <w:rFonts w:ascii="Times New Roman" w:hAnsi="Times New Roman"/>
          <w:color w:val="101010"/>
          <w:sz w:val="22"/>
        </w:rPr>
        <w:t>from every flight phase to the ABORTED state.</w:t>
      </w:r>
    </w:p>
    <w:p>
      <w:pPr>
        <w:spacing w:line="360" w:lineRule="auto" w:after="60"/>
        <w:ind w:left="360"/>
        <w:jc w:val="both"/>
      </w:pPr>
      <w:r>
        <w:rPr>
          <w:rFonts w:ascii="Times New Roman" w:hAnsi="Times New Roman"/>
          <w:color w:val="101010"/>
          <w:sz w:val="22"/>
        </w:rPr>
        <w:t xml:space="preserve">•  </w:t>
      </w:r>
      <w:r>
        <w:rPr>
          <w:rFonts w:ascii="Times New Roman" w:hAnsi="Times New Roman"/>
          <w:b/>
          <w:color w:val="101010"/>
          <w:sz w:val="22"/>
        </w:rPr>
        <w:t>Figure 7</w:t>
      </w:r>
      <w:r>
        <w:rPr>
          <w:rFonts w:ascii="Times New Roman" w:hAnsi="Times New Roman"/>
          <w:color w:val="101010"/>
          <w:sz w:val="22"/>
        </w:rPr>
        <w:t xml:space="preserve"> shows the arbiter's position as gate 4 of the dispatch</w:t>
      </w:r>
    </w:p>
    <w:p>
      <w:pPr>
        <w:spacing w:line="360" w:lineRule="auto" w:after="120"/>
        <w:jc w:val="both"/>
      </w:pPr>
      <w:r>
        <w:rPr>
          <w:rFonts w:ascii="Times New Roman" w:hAnsi="Times New Roman"/>
          <w:color w:val="101010"/>
          <w:sz w:val="22"/>
        </w:rPr>
        <w:t>safety-interlock chain.</w:t>
      </w:r>
    </w:p>
    <w:p>
      <w:pPr>
        <w:spacing w:line="360" w:lineRule="auto" w:after="120"/>
        <w:jc w:val="both"/>
      </w:pPr>
      <w:r>
        <w:rPr>
          <w:rFonts w:ascii="Times New Roman" w:hAnsi="Times New Roman"/>
          <w:color w:val="101010"/>
          <w:sz w:val="22"/>
        </w:rPr>
        <w:t xml:space="preserve">(Corresponding to </w:t>
      </w:r>
      <w:r>
        <w:rPr>
          <w:rFonts w:ascii="Consolas" w:hAnsi="Consolas"/>
          <w:color w:val="101010"/>
          <w:sz w:val="22"/>
        </w:rPr>
        <w:t>docs/figures/failsafe_tree.png</w:t>
      </w:r>
      <w:r>
        <w:rPr>
          <w:rFonts w:ascii="Times New Roman" w:hAnsi="Times New Roman"/>
          <w:color w:val="101010"/>
          <w:sz w:val="22"/>
        </w:rPr>
        <w:t xml:space="preserve">, </w:t>
      </w:r>
      <w:r>
        <w:rPr>
          <w:rFonts w:ascii="Consolas" w:hAnsi="Consolas"/>
          <w:color w:val="101010"/>
          <w:sz w:val="22"/>
        </w:rPr>
        <w:t>state_machine.png</w:t>
      </w:r>
      <w:r>
        <w:rPr>
          <w:rFonts w:ascii="Times New Roman" w:hAnsi="Times New Roman"/>
          <w:color w:val="101010"/>
          <w:sz w:val="22"/>
        </w:rPr>
        <w:t xml:space="preserve">, </w:t>
      </w:r>
      <w:r>
        <w:rPr>
          <w:rFonts w:ascii="Consolas" w:hAnsi="Consolas"/>
          <w:color w:val="101010"/>
          <w:sz w:val="22"/>
        </w:rPr>
        <w:t>safety_interlock.png</w:t>
      </w:r>
      <w:r>
        <w:rPr>
          <w:rFonts w:ascii="Times New Roman" w:hAnsi="Times New Roman"/>
          <w:color w:val="101010"/>
          <w:sz w:val="22"/>
        </w:rPr>
        <w:t xml:space="preserve"> of the accompanying implementation; redraw per Rule 15 for filing.)</w:t>
      </w:r>
    </w:p>
    <w:p>
      <w:pPr>
        <w:keepNext/>
        <w:spacing w:before="280" w:after="120"/>
      </w:pPr>
      <w:r>
        <w:rPr>
          <w:rFonts w:ascii="Calibri" w:hAnsi="Calibri"/>
          <w:b/>
          <w:i w:val="0"/>
          <w:color w:val="1F3A5F"/>
          <w:sz w:val="26"/>
        </w:rPr>
        <w:t>9. DETAILED DESCRIPTION OF THE INVENTION</w:t>
      </w:r>
    </w:p>
    <w:p>
      <w:pPr>
        <w:keepNext/>
        <w:spacing w:before="200" w:after="120"/>
      </w:pPr>
      <w:r>
        <w:rPr>
          <w:rFonts w:ascii="Calibri" w:hAnsi="Calibri"/>
          <w:b/>
          <w:i/>
          <w:color w:val="1F3A5F"/>
          <w:sz w:val="23"/>
        </w:rPr>
        <w:t>9.1 Arbiter structure</w:t>
      </w:r>
    </w:p>
    <w:p>
      <w:pPr>
        <w:spacing w:line="360" w:lineRule="auto" w:after="120"/>
        <w:jc w:val="both"/>
      </w:pPr>
      <w:r>
        <w:rPr>
          <w:rFonts w:ascii="Times New Roman" w:hAnsi="Times New Roman"/>
          <w:color w:val="101010"/>
          <w:sz w:val="22"/>
        </w:rPr>
        <w:t xml:space="preserve">The arbiter (140) runs as a supervisory thread polling vehicle telemetry at a fixed cadence during a mission. It holds: a set of named hazard evaluators (141–144) for battery, positioning, geofence, and elapsed time; a fired-set recording which named hazards have emitted; a bounded event list constituting the mission's incident record; and a single </w:t>
      </w:r>
      <w:r>
        <w:rPr>
          <w:rFonts w:ascii="Consolas" w:hAnsi="Consolas"/>
          <w:color w:val="101010"/>
          <w:sz w:val="22"/>
        </w:rPr>
        <w:t>demanded action</w:t>
      </w:r>
      <w:r>
        <w:rPr>
          <w:rFonts w:ascii="Times New Roman" w:hAnsi="Times New Roman"/>
          <w:color w:val="101010"/>
          <w:sz w:val="22"/>
        </w:rPr>
        <w:t xml:space="preserve"> variable taking values from {NONE, RTL, LAND} ordered NONE &lt; RTL &lt; LAND.</w:t>
      </w:r>
    </w:p>
    <w:p>
      <w:pPr>
        <w:keepNext/>
        <w:spacing w:before="200" w:after="120"/>
      </w:pPr>
      <w:r>
        <w:rPr>
          <w:rFonts w:ascii="Calibri" w:hAnsi="Calibri"/>
          <w:b/>
          <w:i/>
          <w:color w:val="1F3A5F"/>
          <w:sz w:val="23"/>
        </w:rPr>
        <w:t>9.2 Emission rule</w:t>
      </w:r>
    </w:p>
    <w:p>
      <w:pPr>
        <w:spacing w:line="360" w:lineRule="auto" w:after="120"/>
        <w:jc w:val="both"/>
      </w:pPr>
      <w:r>
        <w:rPr>
          <w:rFonts w:ascii="Times New Roman" w:hAnsi="Times New Roman"/>
          <w:color w:val="101010"/>
          <w:sz w:val="22"/>
        </w:rPr>
        <w:t>When an evaluator detects its condition, it submits an event carrying a name, a reason string, and a proposed action. The arbiter accepts the event iff the name is not in the fired-set, or the proposed action is LAND while the current demand is RTL (escalation). On acceptance the event is appended to the incident record and the demanded action is updated to max(current, proposed) under the severity order — the demand is therefore monotone non-decreasing within a mission.</w:t>
      </w:r>
    </w:p>
    <w:p>
      <w:pPr>
        <w:keepNext/>
        <w:spacing w:before="200" w:after="120"/>
      </w:pPr>
      <w:r>
        <w:rPr>
          <w:rFonts w:ascii="Calibri" w:hAnsi="Calibri"/>
          <w:b/>
          <w:i/>
          <w:color w:val="1F3A5F"/>
          <w:sz w:val="23"/>
        </w:rPr>
        <w:t>9.3 Debounced positioning evaluator</w:t>
      </w:r>
    </w:p>
    <w:p>
      <w:pPr>
        <w:spacing w:line="360" w:lineRule="auto" w:after="120"/>
        <w:jc w:val="both"/>
      </w:pPr>
      <w:r>
        <w:rPr>
          <w:rFonts w:ascii="Times New Roman" w:hAnsi="Times New Roman"/>
          <w:color w:val="101010"/>
          <w:sz w:val="22"/>
        </w:rPr>
        <w:t>The positioning evaluator increments a counter on each evaluation in which the navigation fix is absent or below a usable fix type, and resets the counter on any valid evaluation. Only when the counter reaches a configured threshold N (preferably ≥ 3 consecutive seconds) does it submit a LAND event. LAND is proposed rather than RTL because a home-bound trajectory cannot be flown without positioning. The debounce prevents the costliest recovery action from being taken on a transient anomaly, while bounding the detection latency to N evaluation periods.</w:t>
      </w:r>
    </w:p>
    <w:p>
      <w:pPr>
        <w:keepNext/>
        <w:spacing w:before="200" w:after="120"/>
      </w:pPr>
      <w:r>
        <w:rPr>
          <w:rFonts w:ascii="Calibri" w:hAnsi="Calibri"/>
          <w:b/>
          <w:i/>
          <w:color w:val="1F3A5F"/>
          <w:sz w:val="23"/>
        </w:rPr>
        <w:t>9.4 Executor coupling and mid-recovery escalation</w:t>
      </w:r>
    </w:p>
    <w:p>
      <w:pPr>
        <w:spacing w:line="360" w:lineRule="auto" w:after="120"/>
        <w:jc w:val="both"/>
      </w:pPr>
      <w:r>
        <w:rPr>
          <w:rFonts w:ascii="Times New Roman" w:hAnsi="Times New Roman"/>
          <w:color w:val="101010"/>
          <w:sz w:val="22"/>
        </w:rPr>
        <w:t>The mission executor consults the arbiter inside every blocking loop (pre-arm wait, climb, transit, hover, return). In particular, the return-to-launch phase re-reads the demanded action on every iteration; if the demand has escalated to LAND, the executor commands LAND through a verified mode-transition routine (described in the related specification "System and method for verified flight-mode command delivery…"), abandoning the return. All recovery commands flow through that verified routine, and the abort path blocks until touchdown and disarm, as claimed in the related specification.</w:t>
      </w:r>
    </w:p>
    <w:p>
      <w:pPr>
        <w:keepNext/>
        <w:spacing w:before="200" w:after="120"/>
      </w:pPr>
      <w:r>
        <w:rPr>
          <w:rFonts w:ascii="Calibri" w:hAnsi="Calibri"/>
          <w:b/>
          <w:i/>
          <w:color w:val="1F3A5F"/>
          <w:sz w:val="23"/>
        </w:rPr>
        <w:t>9.5 Best method</w:t>
      </w:r>
    </w:p>
    <w:p>
      <w:pPr>
        <w:spacing w:line="360" w:lineRule="auto" w:after="120"/>
        <w:jc w:val="both"/>
      </w:pPr>
      <w:r>
        <w:rPr>
          <w:rFonts w:ascii="Times New Roman" w:hAnsi="Times New Roman"/>
          <w:color w:val="101010"/>
          <w:sz w:val="22"/>
        </w:rPr>
        <w:t>The best method known to the applicant is the accompanying open-source implementation (</w:t>
      </w:r>
      <w:r>
        <w:rPr>
          <w:rFonts w:ascii="Consolas" w:hAnsi="Consolas"/>
          <w:color w:val="101010"/>
          <w:sz w:val="22"/>
        </w:rPr>
        <w:t>flight_core/failsafe_handler.py</w:t>
      </w:r>
      <w:r>
        <w:rPr>
          <w:rFonts w:ascii="Times New Roman" w:hAnsi="Times New Roman"/>
          <w:color w:val="101010"/>
          <w:sz w:val="22"/>
        </w:rPr>
        <w:t xml:space="preserve">, </w:t>
      </w:r>
      <w:r>
        <w:rPr>
          <w:rFonts w:ascii="Consolas" w:hAnsi="Consolas"/>
          <w:color w:val="101010"/>
          <w:sz w:val="22"/>
        </w:rPr>
        <w:t>flight_core/mission_executor.py</w:t>
      </w:r>
      <w:r>
        <w:rPr>
          <w:rFonts w:ascii="Times New Roman" w:hAnsi="Times New Roman"/>
          <w:color w:val="101010"/>
          <w:sz w:val="22"/>
        </w:rPr>
        <w:t>), whose properties are pinned by a unit suite asserting: RTL on low battery; LAND escalation on critical battery, including over an in-progress RTL; refusal to downgrade LAND; no trigger at N−1 anomalous positioning samples and trigger at N; count reset on recovery; geofence and timeout demands; and single-emission per named hazard.</w:t>
      </w:r>
    </w:p>
    <w:p>
      <w:pPr>
        <w:keepNext/>
        <w:spacing w:before="200" w:after="120"/>
      </w:pPr>
      <w:r>
        <w:rPr>
          <w:rFonts w:ascii="Calibri" w:hAnsi="Calibri"/>
          <w:b/>
          <w:i/>
          <w:color w:val="1F3A5F"/>
          <w:sz w:val="23"/>
        </w:rPr>
        <w:t>9.6 Industrial applicability</w:t>
      </w:r>
    </w:p>
    <w:p>
      <w:pPr>
        <w:spacing w:line="360" w:lineRule="auto" w:after="120"/>
        <w:jc w:val="both"/>
      </w:pPr>
      <w:r>
        <w:rPr>
          <w:rFonts w:ascii="Times New Roman" w:hAnsi="Times New Roman"/>
          <w:color w:val="101010"/>
          <w:sz w:val="22"/>
        </w:rPr>
        <w:t>Applicable to any autonomous UAV operation supervised by a companion computer, including emergency response, delivery, inspection, and surveying.</w:t>
      </w:r>
    </w:p>
    <w:p>
      <w:pPr>
        <w:keepNext/>
        <w:spacing w:before="280" w:after="120"/>
      </w:pPr>
      <w:r>
        <w:rPr>
          <w:rFonts w:ascii="Calibri" w:hAnsi="Calibri"/>
          <w:b/>
          <w:i w:val="0"/>
          <w:color w:val="1F3A5F"/>
          <w:sz w:val="26"/>
        </w:rPr>
        <w:t>10. CLAIMS</w:t>
      </w:r>
    </w:p>
    <w:p>
      <w:pPr>
        <w:spacing w:line="360" w:lineRule="auto" w:after="120"/>
        <w:jc w:val="both"/>
      </w:pPr>
      <w:r>
        <w:rPr>
          <w:rFonts w:ascii="Times New Roman" w:hAnsi="Times New Roman"/>
          <w:b/>
          <w:color w:val="101010"/>
          <w:sz w:val="22"/>
        </w:rPr>
        <w:t>We claim:</w:t>
      </w:r>
    </w:p>
    <w:p>
      <w:pPr>
        <w:spacing w:line="360" w:lineRule="auto" w:after="60"/>
        <w:ind w:left="360"/>
        <w:jc w:val="both"/>
      </w:pPr>
      <w:r>
        <w:rPr>
          <w:rFonts w:ascii="Times New Roman" w:hAnsi="Times New Roman"/>
          <w:color w:val="101010"/>
          <w:sz w:val="22"/>
        </w:rPr>
        <w:t>1. A failsafe arbitration method for an autonomous unmanned aerial</w:t>
      </w:r>
    </w:p>
    <w:p>
      <w:pPr>
        <w:spacing w:line="360" w:lineRule="auto" w:after="120"/>
        <w:jc w:val="both"/>
      </w:pPr>
      <w:r>
        <w:rPr>
          <w:rFonts w:ascii="Times New Roman" w:hAnsi="Times New Roman"/>
          <w:color w:val="101010"/>
          <w:sz w:val="22"/>
        </w:rPr>
        <w:t>vehicle (UAV) mission, executed periodically on a companion computer coupled to an autopilot, the method comprising: evaluating a plurality of named hazard conditions including at least a battery condition, a satellite-positioning condition, a geofence condition, and a mission-duration condition; and maintaining a single demanded recovery action over an ordered set comprising at least a return action and a land action, the land action being of higher severity, wherein the demanded action is updated only to an action of equal or higher severity, such that a demanded land action is never replaced by a return action within the mission.</w:t>
      </w:r>
    </w:p>
    <w:p>
      <w:pPr>
        <w:spacing w:line="360" w:lineRule="auto" w:after="60"/>
        <w:ind w:left="360"/>
        <w:jc w:val="both"/>
      </w:pPr>
      <w:r>
        <w:rPr>
          <w:rFonts w:ascii="Times New Roman" w:hAnsi="Times New Roman"/>
          <w:color w:val="101010"/>
          <w:sz w:val="22"/>
        </w:rPr>
        <w:t>2. The method of claim 1, wherein each named hazard condition causes at</w:t>
      </w:r>
    </w:p>
    <w:p>
      <w:pPr>
        <w:spacing w:line="360" w:lineRule="auto" w:after="120"/>
        <w:jc w:val="both"/>
      </w:pPr>
      <w:r>
        <w:rPr>
          <w:rFonts w:ascii="Times New Roman" w:hAnsi="Times New Roman"/>
          <w:color w:val="101010"/>
          <w:sz w:val="22"/>
        </w:rPr>
        <w:t>most one event emission per mission, a further emission for the same name being accepted only where it escalates the demanded action from the return action to the land action.</w:t>
      </w:r>
    </w:p>
    <w:p>
      <w:pPr>
        <w:spacing w:line="360" w:lineRule="auto" w:after="60"/>
        <w:ind w:left="360"/>
        <w:jc w:val="both"/>
      </w:pPr>
      <w:r>
        <w:rPr>
          <w:rFonts w:ascii="Times New Roman" w:hAnsi="Times New Roman"/>
          <w:color w:val="101010"/>
          <w:sz w:val="22"/>
        </w:rPr>
        <w:t>3. The method of claim 1 or 2, wherein the satellite-positioning</w:t>
      </w:r>
    </w:p>
    <w:p>
      <w:pPr>
        <w:spacing w:line="360" w:lineRule="auto" w:after="120"/>
        <w:jc w:val="both"/>
      </w:pPr>
      <w:r>
        <w:rPr>
          <w:rFonts w:ascii="Times New Roman" w:hAnsi="Times New Roman"/>
          <w:color w:val="101010"/>
          <w:sz w:val="22"/>
        </w:rPr>
        <w:t>condition is evaluated with a debounce, the condition firing only upon a configured number N ≥ 2 of consecutive periodic evaluations in which the positioning fix is absent or unusable, an intervening valid evaluation resetting the count, and wherein the action proposed by said condition is the land action.</w:t>
      </w:r>
    </w:p>
    <w:p>
      <w:pPr>
        <w:spacing w:line="360" w:lineRule="auto" w:after="60"/>
        <w:ind w:left="360"/>
        <w:jc w:val="both"/>
      </w:pPr>
      <w:r>
        <w:rPr>
          <w:rFonts w:ascii="Times New Roman" w:hAnsi="Times New Roman"/>
          <w:color w:val="101010"/>
          <w:sz w:val="22"/>
        </w:rPr>
        <w:t>4. The method of any of claims 1 to 3, wherein a mission executor</w:t>
      </w:r>
    </w:p>
    <w:p>
      <w:pPr>
        <w:spacing w:line="360" w:lineRule="auto" w:after="120"/>
        <w:jc w:val="both"/>
      </w:pPr>
      <w:r>
        <w:rPr>
          <w:rFonts w:ascii="Times New Roman" w:hAnsi="Times New Roman"/>
          <w:color w:val="101010"/>
          <w:sz w:val="22"/>
        </w:rPr>
        <w:t>conducting a return flight commanded by the return action re-reads the demanded action periodically during said return and, upon escalation to the land action, commands the land action during the return flight, abandoning the return.</w:t>
      </w:r>
    </w:p>
    <w:p>
      <w:pPr>
        <w:spacing w:line="360" w:lineRule="auto" w:after="60"/>
        <w:ind w:left="360"/>
        <w:jc w:val="both"/>
      </w:pPr>
      <w:r>
        <w:rPr>
          <w:rFonts w:ascii="Times New Roman" w:hAnsi="Times New Roman"/>
          <w:color w:val="101010"/>
          <w:sz w:val="22"/>
        </w:rPr>
        <w:t>5. The method of any of claims 1 to 4, wherein the battery condition</w:t>
      </w:r>
    </w:p>
    <w:p>
      <w:pPr>
        <w:spacing w:line="360" w:lineRule="auto" w:after="120"/>
        <w:jc w:val="both"/>
      </w:pPr>
      <w:r>
        <w:rPr>
          <w:rFonts w:ascii="Times New Roman" w:hAnsi="Times New Roman"/>
          <w:color w:val="101010"/>
          <w:sz w:val="22"/>
        </w:rPr>
        <w:t>comprises a low threshold proposing the return action and a critical threshold proposing the land action, the critical threshold thereby escalating an in-progress return commanded by the low threshold.</w:t>
      </w:r>
    </w:p>
    <w:p>
      <w:pPr>
        <w:spacing w:line="360" w:lineRule="auto" w:after="60"/>
        <w:ind w:left="360"/>
        <w:jc w:val="both"/>
      </w:pPr>
      <w:r>
        <w:rPr>
          <w:rFonts w:ascii="Times New Roman" w:hAnsi="Times New Roman"/>
          <w:color w:val="101010"/>
          <w:sz w:val="22"/>
        </w:rPr>
        <w:t>6. The method of any of claims 1 to 5, wherein every recovery action is</w:t>
      </w:r>
    </w:p>
    <w:p>
      <w:pPr>
        <w:spacing w:line="360" w:lineRule="auto" w:after="120"/>
        <w:jc w:val="both"/>
      </w:pPr>
      <w:r>
        <w:rPr>
          <w:rFonts w:ascii="Times New Roman" w:hAnsi="Times New Roman"/>
          <w:color w:val="101010"/>
          <w:sz w:val="22"/>
        </w:rPr>
        <w:t>commanded to the autopilot through a verified mode-transition procedure that treats the transition as delivered only upon the autopilot's self-reported flight mode matching the commanded mode.</w:t>
      </w:r>
    </w:p>
    <w:p>
      <w:pPr>
        <w:spacing w:line="360" w:lineRule="auto" w:after="60"/>
        <w:ind w:left="360"/>
        <w:jc w:val="both"/>
      </w:pPr>
      <w:r>
        <w:rPr>
          <w:rFonts w:ascii="Times New Roman" w:hAnsi="Times New Roman"/>
          <w:color w:val="101010"/>
          <w:sz w:val="22"/>
        </w:rPr>
        <w:t>7. A companion-computer system for supervising autonomous UAV missions,</w:t>
      </w:r>
    </w:p>
    <w:p>
      <w:pPr>
        <w:spacing w:line="360" w:lineRule="auto" w:after="120"/>
        <w:jc w:val="both"/>
      </w:pPr>
      <w:r>
        <w:rPr>
          <w:rFonts w:ascii="Times New Roman" w:hAnsi="Times New Roman"/>
          <w:color w:val="101010"/>
          <w:sz w:val="22"/>
        </w:rPr>
        <w:t>comprising a processor and memory storing instructions which, when executed, perform the method of any of claims 1 to 6, the system operating above unmodified autopilot firmware and in addition to any failsafe implemented in said firmware.</w:t>
      </w:r>
    </w:p>
    <w:p>
      <w:pPr>
        <w:spacing w:line="360" w:lineRule="auto" w:after="60"/>
        <w:ind w:left="360"/>
        <w:jc w:val="both"/>
      </w:pPr>
      <w:r>
        <w:rPr>
          <w:rFonts w:ascii="Times New Roman" w:hAnsi="Times New Roman"/>
          <w:color w:val="101010"/>
          <w:sz w:val="22"/>
        </w:rPr>
        <w:t>8. The system of claim 7, wherein accepted events are appended to a</w:t>
      </w:r>
    </w:p>
    <w:p>
      <w:pPr>
        <w:spacing w:line="360" w:lineRule="auto" w:after="120"/>
        <w:jc w:val="both"/>
      </w:pPr>
      <w:r>
        <w:rPr>
          <w:rFonts w:ascii="Times New Roman" w:hAnsi="Times New Roman"/>
          <w:color w:val="101010"/>
          <w:sz w:val="22"/>
        </w:rPr>
        <w:t>bounded incident record persisted with the mission, the record containing exactly one entry per named hazard per severity level.</w:t>
      </w:r>
    </w:p>
    <w:p>
      <w:pPr>
        <w:keepNext/>
        <w:spacing w:before="280" w:after="120"/>
      </w:pPr>
      <w:r>
        <w:rPr>
          <w:rFonts w:ascii="Calibri" w:hAnsi="Calibri"/>
          <w:b/>
          <w:i w:val="0"/>
          <w:color w:val="1F3A5F"/>
          <w:sz w:val="26"/>
        </w:rPr>
        <w:t>11. ABSTRACT</w:t>
      </w:r>
    </w:p>
    <w:p>
      <w:pPr>
        <w:spacing w:line="360" w:lineRule="auto" w:after="120"/>
        <w:jc w:val="both"/>
      </w:pPr>
      <w:r>
        <w:rPr>
          <w:rFonts w:ascii="Times New Roman" w:hAnsi="Times New Roman"/>
          <w:b/>
          <w:color w:val="101010"/>
          <w:sz w:val="22"/>
        </w:rPr>
        <w:t>Debounced, severity-ordered failsafe arbitration for autonomous UAV missions.</w:t>
      </w:r>
      <w:r>
        <w:rPr>
          <w:rFonts w:ascii="Times New Roman" w:hAnsi="Times New Roman"/>
          <w:color w:val="101010"/>
          <w:sz w:val="22"/>
        </w:rPr>
        <w:t xml:space="preserve"> A companion-computer supervisor periodically evaluates named hazard conditions — battery thresholds, satellite-positioning validity, geofence distance, and mission duration — and maintains a single demanded recovery action ordered land ≻ return-to-launch. The demand is monotone: a land demand is never downgraded. Positioning loss is debounced over N consecutive anomalous samples (reset on recovery) and demands land, since a return path is non-navigable without positioning. Each named hazard emits one event per mission, with re-emission only for severity escalation, keeping the incident record duplicate-free. The mission executor re-reads the demand inside every flight phase — including an in-progress return, which is abandoned for a land upon escalation. The supervisor operates above unmodified autopilot firmware. (Reference: Figure 5.)</w:t>
      </w:r>
    </w:p>
    <w:p>
      <w:pPr>
        <w:spacing w:line="360" w:lineRule="auto" w:after="120"/>
        <w:jc w:val="both"/>
      </w:pPr>
      <w:r>
        <w:rPr>
          <w:rFonts w:ascii="Times New Roman" w:hAnsi="Times New Roman"/>
          <w:i/>
          <w:color w:val="101010"/>
          <w:sz w:val="22"/>
        </w:rPr>
        <w:t>(Abstract word count ≈ 120.)</w:t>
      </w:r>
    </w:p>
    <w:p>
      <w:pPr>
        <w:spacing w:line="360" w:lineRule="auto" w:after="120"/>
        <w:jc w:val="both"/>
      </w:pPr>
      <w:r>
        <w:rPr>
          <w:rFonts w:ascii="Times New Roman" w:hAnsi="Times New Roman"/>
          <w:i/>
          <w:color w:val="101010"/>
          <w:sz w:val="22"/>
        </w:rPr>
        <w:t>Dated this ____ day of ________ 20__.</w:t>
      </w:r>
      <w:r>
        <w:rPr>
          <w:rFonts w:ascii="Times New Roman" w:hAnsi="Times New Roman"/>
          <w:color w:val="101010"/>
          <w:sz w:val="22"/>
        </w:rPr>
        <w:t xml:space="preserve"> </w:t>
      </w:r>
      <w:r>
        <w:rPr>
          <w:rFonts w:ascii="Times New Roman" w:hAnsi="Times New Roman"/>
          <w:i/>
          <w:color w:val="101010"/>
          <w:sz w:val="22"/>
        </w:rPr>
        <w:t>Signature: ______________________</w:t>
      </w:r>
      <w:r>
        <w:rPr>
          <w:rFonts w:ascii="Times New Roman" w:hAnsi="Times New Roman"/>
          <w:color w:val="101010"/>
          <w:sz w:val="22"/>
        </w:rPr>
        <w:t xml:space="preserve"> </w:t>
      </w:r>
      <w:r>
        <w:rPr>
          <w:rFonts w:ascii="Times New Roman" w:hAnsi="Times New Roman"/>
          <w:i/>
          <w:color w:val="101010"/>
          <w:sz w:val="22"/>
        </w:rPr>
        <w:t>Name of applicant / authorised patent agent: ______________________</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