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2E74B5"/>
          <w:sz w:val="22"/>
        </w:rPr>
        <w:t>SATQUERY AI  /  SENTRY</w:t>
      </w:r>
    </w:p>
    <w:p>
      <w:pPr>
        <w:spacing w:after="160"/>
      </w:pPr>
      <w:r>
        <w:rPr>
          <w:b/>
          <w:sz w:val="60"/>
        </w:rPr>
        <w:t>Earth, under evidence.</w:t>
      </w:r>
    </w:p>
    <w:p>
      <w:pPr>
        <w:spacing w:after="440"/>
      </w:pPr>
      <w:r>
        <w:rPr>
          <w:color w:val="2E74B5"/>
          <w:sz w:val="30"/>
        </w:rPr>
        <w:t>Operator, test and implementation handbook</w:t>
      </w:r>
    </w:p>
    <w:tbl>
      <w:tblPr>
        <w:tblStyle w:val="TableGrid"/>
        <w:tblW w:type="auto" w:w="0"/>
        <w:jc w:val="center"/>
        <w:tblLayout w:type="fixed"/>
        <w:tblLook w:firstColumn="1" w:firstRow="1" w:lastColumn="0" w:lastRow="0" w:noHBand="0" w:noVBand="1" w:val="04A0"/>
      </w:tblPr>
      <w:tblGrid>
        <w:gridCol w:w="5040"/>
        <w:gridCol w:w="5040"/>
      </w:tblGrid>
      <w:tr>
        <w:tc>
          <w:tcPr>
            <w:tcW w:type="dxa" w:w="1800"/>
            <w:shd w:fill="E8EEF5"/>
            <w:tcMar>
              <w:top w:w="80" w:type="dxa"/>
              <w:start w:w="100" w:type="dxa"/>
              <w:bottom w:w="80" w:type="dxa"/>
              <w:end w:w="100" w:type="dxa"/>
            </w:tcMar>
          </w:tcPr>
          <w:p>
            <w:pPr>
              <w:spacing w:after="0"/>
            </w:pPr>
            <w:r>
              <w:rPr>
                <w:b/>
                <w:color w:val="1F4D78"/>
                <w:sz w:val="18"/>
              </w:rPr>
              <w:t>Document</w:t>
            </w:r>
          </w:p>
        </w:tc>
        <w:tc>
          <w:tcPr>
            <w:tcW w:type="dxa" w:w="7560"/>
            <w:shd w:fill="E8EEF5"/>
            <w:tcMar>
              <w:top w:w="80" w:type="dxa"/>
              <w:start w:w="100" w:type="dxa"/>
              <w:bottom w:w="80" w:type="dxa"/>
              <w:end w:w="100" w:type="dxa"/>
            </w:tcMar>
          </w:tcPr>
          <w:p>
            <w:pPr>
              <w:spacing w:after="0"/>
            </w:pPr>
            <w:r>
              <w:rPr>
                <w:b/>
                <w:color w:val="1F4D78"/>
                <w:sz w:val="18"/>
              </w:rPr>
              <w:t>Value</w:t>
            </w:r>
          </w:p>
        </w:tc>
      </w:tr>
      <w:tr>
        <w:tc>
          <w:tcPr>
            <w:tcW w:type="dxa" w:w="1800"/>
            <w:tcMar>
              <w:top w:w="80" w:type="dxa"/>
              <w:start w:w="100" w:type="dxa"/>
              <w:bottom w:w="80" w:type="dxa"/>
              <w:end w:w="100" w:type="dxa"/>
            </w:tcMar>
            <w:vAlign w:val="center"/>
          </w:tcPr>
          <w:p>
            <w:pPr>
              <w:spacing w:after="0" w:line="252" w:lineRule="auto"/>
            </w:pPr>
            <w:r>
              <w:rPr>
                <w:sz w:val="18"/>
              </w:rPr>
              <w:t>Version</w:t>
            </w:r>
          </w:p>
        </w:tc>
        <w:tc>
          <w:tcPr>
            <w:tcW w:type="dxa" w:w="7560"/>
            <w:tcMar>
              <w:top w:w="80" w:type="dxa"/>
              <w:start w:w="100" w:type="dxa"/>
              <w:bottom w:w="80" w:type="dxa"/>
              <w:end w:w="100" w:type="dxa"/>
            </w:tcMar>
            <w:vAlign w:val="center"/>
          </w:tcPr>
          <w:p>
            <w:pPr>
              <w:spacing w:after="0" w:line="252" w:lineRule="auto"/>
            </w:pPr>
            <w:r>
              <w:rPr>
                <w:sz w:val="18"/>
              </w:rPr>
              <w:t>Prototype 0.1 / September 2026</w:t>
            </w:r>
          </w:p>
        </w:tc>
      </w:tr>
      <w:tr>
        <w:tc>
          <w:tcPr>
            <w:tcW w:type="dxa" w:w="1800"/>
            <w:tcMar>
              <w:top w:w="80" w:type="dxa"/>
              <w:start w:w="100" w:type="dxa"/>
              <w:bottom w:w="80" w:type="dxa"/>
              <w:end w:w="100" w:type="dxa"/>
            </w:tcMar>
            <w:vAlign w:val="center"/>
          </w:tcPr>
          <w:p>
            <w:pPr>
              <w:spacing w:after="0" w:line="252" w:lineRule="auto"/>
            </w:pPr>
            <w:r>
              <w:rPr>
                <w:sz w:val="18"/>
              </w:rPr>
              <w:t>Audience</w:t>
            </w:r>
          </w:p>
        </w:tc>
        <w:tc>
          <w:tcPr>
            <w:tcW w:type="dxa" w:w="7560"/>
            <w:tcMar>
              <w:top w:w="80" w:type="dxa"/>
              <w:start w:w="100" w:type="dxa"/>
              <w:bottom w:w="80" w:type="dxa"/>
              <w:end w:w="100" w:type="dxa"/>
            </w:tcMar>
            <w:vAlign w:val="center"/>
          </w:tcPr>
          <w:p>
            <w:pPr>
              <w:spacing w:after="0" w:line="252" w:lineRule="auto"/>
            </w:pPr>
            <w:r>
              <w:rPr>
                <w:sz w:val="18"/>
              </w:rPr>
              <w:t>Hackathon judges, operators, developers and future customers</w:t>
            </w:r>
          </w:p>
        </w:tc>
      </w:tr>
      <w:tr>
        <w:tc>
          <w:tcPr>
            <w:tcW w:type="dxa" w:w="1800"/>
            <w:tcMar>
              <w:top w:w="80" w:type="dxa"/>
              <w:start w:w="100" w:type="dxa"/>
              <w:bottom w:w="80" w:type="dxa"/>
              <w:end w:w="100" w:type="dxa"/>
            </w:tcMar>
            <w:vAlign w:val="center"/>
          </w:tcPr>
          <w:p>
            <w:pPr>
              <w:spacing w:after="0" w:line="252" w:lineRule="auto"/>
            </w:pPr>
            <w:r>
              <w:rPr>
                <w:sz w:val="18"/>
              </w:rPr>
              <w:t>Scope</w:t>
            </w:r>
          </w:p>
        </w:tc>
        <w:tc>
          <w:tcPr>
            <w:tcW w:type="dxa" w:w="7560"/>
            <w:tcMar>
              <w:top w:w="80" w:type="dxa"/>
              <w:start w:w="100" w:type="dxa"/>
              <w:bottom w:w="80" w:type="dxa"/>
              <w:end w:w="100" w:type="dxa"/>
            </w:tcMar>
            <w:vAlign w:val="center"/>
          </w:tcPr>
          <w:p>
            <w:pPr>
              <w:spacing w:after="0" w:line="252" w:lineRule="auto"/>
            </w:pPr>
            <w:r>
              <w:rPr>
                <w:sz w:val="18"/>
              </w:rPr>
              <w:t>Single-image VQA + grounding/captioning, bi-temporal change reasoning, optical–SAR fusion</w:t>
            </w:r>
          </w:p>
        </w:tc>
      </w:tr>
      <w:tr>
        <w:tc>
          <w:tcPr>
            <w:tcW w:type="dxa" w:w="1800"/>
            <w:tcMar>
              <w:top w:w="80" w:type="dxa"/>
              <w:start w:w="100" w:type="dxa"/>
              <w:bottom w:w="80" w:type="dxa"/>
              <w:end w:w="100" w:type="dxa"/>
            </w:tcMar>
            <w:vAlign w:val="center"/>
          </w:tcPr>
          <w:p>
            <w:pPr>
              <w:spacing w:after="0" w:line="252" w:lineRule="auto"/>
            </w:pPr>
            <w:r>
              <w:rPr>
                <w:sz w:val="18"/>
              </w:rPr>
              <w:t>Current deployment</w:t>
            </w:r>
          </w:p>
        </w:tc>
        <w:tc>
          <w:tcPr>
            <w:tcW w:type="dxa" w:w="7560"/>
            <w:tcMar>
              <w:top w:w="80" w:type="dxa"/>
              <w:start w:w="100" w:type="dxa"/>
              <w:bottom w:w="80" w:type="dxa"/>
              <w:end w:w="100" w:type="dxa"/>
            </w:tcMar>
            <w:vAlign w:val="center"/>
          </w:tcPr>
          <w:p>
            <w:pPr>
              <w:spacing w:after="0" w:line="252" w:lineRule="auto"/>
            </w:pPr>
            <w:r>
              <w:rPr>
                <w:sz w:val="18"/>
              </w:rPr>
              <w:t>Owner-only Sites deployment at satquery-sentry.shrutikaverma22.chatgpt.site</w:t>
            </w:r>
          </w:p>
        </w:tc>
      </w:tr>
    </w:tbl>
    <w:p>
      <w:pPr>
        <w:spacing w:after="160"/>
      </w:pPr>
      <w:r>
        <w:t>This handbook is deliberately practical. It explains the product idea, scientific design, current prototype behaviour, exact interface actions, repeatable tests, deployment, and the path to a production-grade remote-sensing platform.</w:t>
      </w:r>
    </w:p>
    <w:p>
      <w:r>
        <w:br w:type="page"/>
      </w:r>
    </w:p>
    <w:p>
      <w:pPr>
        <w:pStyle w:val="Heading1"/>
      </w:pPr>
      <w:r>
        <w:t>1. Executive summary</w:t>
      </w:r>
    </w:p>
    <w:p>
      <w:pPr>
        <w:spacing w:after="120"/>
      </w:pPr>
      <w:r>
        <w:t>SatQuery AI is an evidence-first assistant for asking plain-language questions about satellite observations. A user supplies one image, a co-registered optical–SAR pair, or two dates of the same area, then asks what matters in ordinary language. An agentic controller validates the inputs, classifies the requested task, selects a specialist remote-sensing tool, and returns an evidence contract: what the system believes, where it occurs, how large it may be, which sensor supports it, what could be wrong, and how confident the system is.</w:t>
      </w:r>
    </w:p>
    <w:p>
      <w:pPr>
        <w:spacing w:after="120"/>
      </w:pPr>
      <w:r>
        <w:t>The product is not a chat wrapper around a general model. Its defensible idea is a decision layer around specialised Earth-observation models. The interface makes the chain of evidence visible, allows abstention when sensors disagree, and preserves an execution trace that can be audited by an analyst, emergency team or infrastructure operator.</w:t>
      </w:r>
    </w:p>
    <w:p>
      <w:pPr>
        <w:pStyle w:val="Heading2"/>
      </w:pPr>
      <w:r>
        <w:t>What makes it distinctive</w:t>
      </w:r>
    </w:p>
    <w:p>
      <w:pPr>
        <w:pStyle w:val="ListBullet"/>
      </w:pPr>
      <w:r>
        <w:t>Evidence Contract: every answer contains a claim, location, magnitude, sensor case, confidence and next observation/limit.</w:t>
      </w:r>
    </w:p>
    <w:p>
      <w:pPr>
        <w:pStyle w:val="ListBullet"/>
      </w:pPr>
      <w:r>
        <w:t>Sensor Contribution Ledger: optical and SAR evidence are reported separately before fusion, so users can see whether a conclusion is genuinely cross-modal.</w:t>
      </w:r>
    </w:p>
    <w:p>
      <w:pPr>
        <w:pStyle w:val="ListBullet"/>
      </w:pPr>
      <w:r>
        <w:t>Change Ledger: bi-temporal reasoning records before/after observations, changed region, direction and uncertainty instead of only a class label.</w:t>
      </w:r>
    </w:p>
    <w:p>
      <w:pPr>
        <w:pStyle w:val="ListBullet"/>
      </w:pPr>
      <w:r>
        <w:t>Calibrated abstention: the assistant can withhold a region or magnitude when cloud, registration error or sensor disagreement makes the answer unsafe.</w:t>
      </w:r>
    </w:p>
    <w:p>
      <w:pPr>
        <w:pStyle w:val="ListBullet"/>
      </w:pPr>
      <w:r>
        <w:t>Query-driven routing: the task is selected from the query and input configuration; the workflow is observable instead of hidden behind one generic VLM.</w:t>
      </w:r>
    </w:p>
    <w:p>
      <w:pPr>
        <w:pStyle w:val="Heading2"/>
      </w:pPr>
      <w:r>
        <w:t>Prototype boundary</w:t>
      </w:r>
    </w:p>
    <w:p>
      <w:pPr>
        <w:spacing w:after="120"/>
      </w:pPr>
      <w:r>
        <w:t>The current web prototype performs real multipart validation and raster-header inspection, but its returned claims are deterministic representative outputs. It is not yet running a fine-tuned VQA, grounding, change model or optical–SAR fusion network. This clean vertical slice keeps the contract and orchestration testable while the roadmap below replaces each representative tool with benchmarked models.</w:t>
      </w:r>
    </w:p>
    <w:p>
      <w:pPr>
        <w:pStyle w:val="Heading1"/>
      </w:pPr>
      <w:r>
        <w:t>2. Problem statement and required scope</w:t>
      </w:r>
    </w:p>
    <w:p>
      <w:pPr>
        <w:spacing w:after="120"/>
      </w:pPr>
      <w:r>
        <w:t>Remote-sensing systems are often isolated applications: one classifier, one detector, one VQA model or one change detector. That forces non-specialists to understand sensors, GIS conventions, model parameters and expected input shapes. SatQuery AI treats the question and the available observations as the starting point.</w:t>
      </w:r>
    </w:p>
    <w:tbl>
      <w:tblPr>
        <w:tblStyle w:val="TableGrid"/>
        <w:tblW w:type="auto" w:w="0"/>
        <w:jc w:val="center"/>
        <w:tblLayout w:type="fixed"/>
        <w:tblLook w:firstColumn="1" w:firstRow="1" w:lastColumn="0" w:lastRow="0" w:noHBand="0" w:noVBand="1" w:val="04A0"/>
      </w:tblPr>
      <w:tblGrid>
        <w:gridCol w:w="5040"/>
        <w:gridCol w:w="5040"/>
      </w:tblGrid>
      <w:tr>
        <w:tc>
          <w:tcPr>
            <w:tcW w:type="dxa" w:w="2200"/>
            <w:shd w:fill="E8EEF5"/>
            <w:tcMar>
              <w:top w:w="80" w:type="dxa"/>
              <w:start w:w="100" w:type="dxa"/>
              <w:bottom w:w="80" w:type="dxa"/>
              <w:end w:w="100" w:type="dxa"/>
            </w:tcMar>
          </w:tcPr>
          <w:p>
            <w:pPr>
              <w:spacing w:after="0"/>
            </w:pPr>
            <w:r>
              <w:rPr>
                <w:b/>
                <w:color w:val="1F4D78"/>
                <w:sz w:val="18"/>
              </w:rPr>
              <w:t>Requirement</w:t>
            </w:r>
          </w:p>
        </w:tc>
        <w:tc>
          <w:tcPr>
            <w:tcW w:type="dxa" w:w="7160"/>
            <w:shd w:fill="E8EEF5"/>
            <w:tcMar>
              <w:top w:w="80" w:type="dxa"/>
              <w:start w:w="100" w:type="dxa"/>
              <w:bottom w:w="80" w:type="dxa"/>
              <w:end w:w="100" w:type="dxa"/>
            </w:tcMar>
          </w:tcPr>
          <w:p>
            <w:pPr>
              <w:spacing w:after="0"/>
            </w:pPr>
            <w:r>
              <w:rPr>
                <w:b/>
                <w:color w:val="1F4D78"/>
                <w:sz w:val="18"/>
              </w:rPr>
              <w:t>SatQuery implementation</w:t>
            </w:r>
          </w:p>
        </w:tc>
      </w:tr>
      <w:tr>
        <w:tc>
          <w:tcPr>
            <w:tcW w:type="dxa" w:w="2200"/>
            <w:tcMar>
              <w:top w:w="80" w:type="dxa"/>
              <w:start w:w="100" w:type="dxa"/>
              <w:bottom w:w="80" w:type="dxa"/>
              <w:end w:w="100" w:type="dxa"/>
            </w:tcMar>
            <w:vAlign w:val="center"/>
          </w:tcPr>
          <w:p>
            <w:pPr>
              <w:spacing w:after="0" w:line="252" w:lineRule="auto"/>
            </w:pPr>
            <w:r>
              <w:rPr>
                <w:sz w:val="18"/>
              </w:rPr>
              <w:t>Remote-sensing adaptation</w:t>
            </w:r>
          </w:p>
        </w:tc>
        <w:tc>
          <w:tcPr>
            <w:tcW w:type="dxa" w:w="7160"/>
            <w:tcMar>
              <w:top w:w="80" w:type="dxa"/>
              <w:start w:w="100" w:type="dxa"/>
              <w:bottom w:w="80" w:type="dxa"/>
              <w:end w:w="100" w:type="dxa"/>
            </w:tcMar>
            <w:vAlign w:val="center"/>
          </w:tcPr>
          <w:p>
            <w:pPr>
              <w:spacing w:after="0" w:line="252" w:lineRule="auto"/>
            </w:pPr>
            <w:r>
              <w:rPr>
                <w:sz w:val="18"/>
              </w:rPr>
              <w:t>Use BigEarthNet.txt (Sentinel-1 SAR + Sentinel-2 multispectral + text) for image–text adaptation; the model registry preserves sensor tokens.</w:t>
            </w:r>
          </w:p>
        </w:tc>
      </w:tr>
      <w:tr>
        <w:tc>
          <w:tcPr>
            <w:tcW w:type="dxa" w:w="2200"/>
            <w:tcMar>
              <w:top w:w="80" w:type="dxa"/>
              <w:start w:w="100" w:type="dxa"/>
              <w:bottom w:w="80" w:type="dxa"/>
              <w:end w:w="100" w:type="dxa"/>
            </w:tcMar>
            <w:vAlign w:val="center"/>
          </w:tcPr>
          <w:p>
            <w:pPr>
              <w:spacing w:after="0" w:line="252" w:lineRule="auto"/>
            </w:pPr>
            <w:r>
              <w:rPr>
                <w:sz w:val="18"/>
              </w:rPr>
              <w:t>Single-image VQA</w:t>
            </w:r>
          </w:p>
        </w:tc>
        <w:tc>
          <w:tcPr>
            <w:tcW w:type="dxa" w:w="7160"/>
            <w:tcMar>
              <w:top w:w="80" w:type="dxa"/>
              <w:start w:w="100" w:type="dxa"/>
              <w:bottom w:w="80" w:type="dxa"/>
              <w:end w:w="100" w:type="dxa"/>
            </w:tcMar>
            <w:vAlign w:val="center"/>
          </w:tcPr>
          <w:p>
            <w:pPr>
              <w:spacing w:after="0" w:line="252" w:lineRule="auto"/>
            </w:pPr>
            <w:r>
              <w:rPr>
                <w:sz w:val="18"/>
              </w:rPr>
              <w:t>SINGLE_IMAGE_VQA for land cover, objects, roads, water and built-up questions.</w:t>
            </w:r>
          </w:p>
        </w:tc>
      </w:tr>
      <w:tr>
        <w:tc>
          <w:tcPr>
            <w:tcW w:type="dxa" w:w="2200"/>
            <w:tcMar>
              <w:top w:w="80" w:type="dxa"/>
              <w:start w:w="100" w:type="dxa"/>
              <w:bottom w:w="80" w:type="dxa"/>
              <w:end w:w="100" w:type="dxa"/>
            </w:tcMar>
            <w:vAlign w:val="center"/>
          </w:tcPr>
          <w:p>
            <w:pPr>
              <w:spacing w:after="0" w:line="252" w:lineRule="auto"/>
            </w:pPr>
            <w:r>
              <w:rPr>
                <w:sz w:val="18"/>
              </w:rPr>
              <w:t>Second single-image task</w:t>
            </w:r>
          </w:p>
        </w:tc>
        <w:tc>
          <w:tcPr>
            <w:tcW w:type="dxa" w:w="7160"/>
            <w:tcMar>
              <w:top w:w="80" w:type="dxa"/>
              <w:start w:w="100" w:type="dxa"/>
              <w:bottom w:w="80" w:type="dxa"/>
              <w:end w:w="100" w:type="dxa"/>
            </w:tcMar>
            <w:vAlign w:val="center"/>
          </w:tcPr>
          <w:p>
            <w:pPr>
              <w:spacing w:after="0" w:line="252" w:lineRule="auto"/>
            </w:pPr>
            <w:r>
              <w:rPr>
                <w:sz w:val="18"/>
              </w:rPr>
              <w:t>TEXT_GUIDED_GROUNDING for highlight/locate/where/mark/region prompts; captioning can be added beside it.</w:t>
            </w:r>
          </w:p>
        </w:tc>
      </w:tr>
      <w:tr>
        <w:tc>
          <w:tcPr>
            <w:tcW w:type="dxa" w:w="2200"/>
            <w:tcMar>
              <w:top w:w="80" w:type="dxa"/>
              <w:start w:w="100" w:type="dxa"/>
              <w:bottom w:w="80" w:type="dxa"/>
              <w:end w:w="100" w:type="dxa"/>
            </w:tcMar>
            <w:vAlign w:val="center"/>
          </w:tcPr>
          <w:p>
            <w:pPr>
              <w:spacing w:after="0" w:line="252" w:lineRule="auto"/>
            </w:pPr>
            <w:r>
              <w:rPr>
                <w:sz w:val="18"/>
              </w:rPr>
              <w:t>Bi-temporal analysis</w:t>
            </w:r>
          </w:p>
        </w:tc>
        <w:tc>
          <w:tcPr>
            <w:tcW w:type="dxa" w:w="7160"/>
            <w:tcMar>
              <w:top w:w="80" w:type="dxa"/>
              <w:start w:w="100" w:type="dxa"/>
              <w:bottom w:w="80" w:type="dxa"/>
              <w:end w:w="100" w:type="dxa"/>
            </w:tcMar>
            <w:vAlign w:val="center"/>
          </w:tcPr>
          <w:p>
            <w:pPr>
              <w:spacing w:after="0" w:line="252" w:lineRule="auto"/>
            </w:pPr>
            <w:r>
              <w:rPr>
                <w:sz w:val="18"/>
              </w:rPr>
              <w:t>BI_TEMPORAL_CHANGE_VQA when two corresponding observations and a change/increase/decrease query are present.</w:t>
            </w:r>
          </w:p>
        </w:tc>
      </w:tr>
      <w:tr>
        <w:tc>
          <w:tcPr>
            <w:tcW w:type="dxa" w:w="2200"/>
            <w:tcMar>
              <w:top w:w="80" w:type="dxa"/>
              <w:start w:w="100" w:type="dxa"/>
              <w:bottom w:w="80" w:type="dxa"/>
              <w:end w:w="100" w:type="dxa"/>
            </w:tcMar>
            <w:vAlign w:val="center"/>
          </w:tcPr>
          <w:p>
            <w:pPr>
              <w:spacing w:after="0" w:line="252" w:lineRule="auto"/>
            </w:pPr>
            <w:r>
              <w:rPr>
                <w:sz w:val="18"/>
              </w:rPr>
              <w:t>Optical–SAR analysis</w:t>
            </w:r>
          </w:p>
        </w:tc>
        <w:tc>
          <w:tcPr>
            <w:tcW w:type="dxa" w:w="7160"/>
            <w:tcMar>
              <w:top w:w="80" w:type="dxa"/>
              <w:start w:w="100" w:type="dxa"/>
              <w:bottom w:w="80" w:type="dxa"/>
              <w:end w:w="100" w:type="dxa"/>
            </w:tcMar>
            <w:vAlign w:val="center"/>
          </w:tcPr>
          <w:p>
            <w:pPr>
              <w:spacing w:after="0" w:line="252" w:lineRule="auto"/>
            </w:pPr>
            <w:r>
              <w:rPr>
                <w:sz w:val="18"/>
              </w:rPr>
              <w:t>OPTICAL_SAR_FUSION for co-registered pairs and prompts mentioning SAR, radar, optical, together or fuse.</w:t>
            </w:r>
          </w:p>
        </w:tc>
      </w:tr>
      <w:tr>
        <w:tc>
          <w:tcPr>
            <w:tcW w:type="dxa" w:w="2200"/>
            <w:tcMar>
              <w:top w:w="80" w:type="dxa"/>
              <w:start w:w="100" w:type="dxa"/>
              <w:bottom w:w="80" w:type="dxa"/>
              <w:end w:w="100" w:type="dxa"/>
            </w:tcMar>
            <w:vAlign w:val="center"/>
          </w:tcPr>
          <w:p>
            <w:pPr>
              <w:spacing w:after="0" w:line="252" w:lineRule="auto"/>
            </w:pPr>
            <w:r>
              <w:rPr>
                <w:sz w:val="18"/>
              </w:rPr>
              <w:t>Agentic orchestration</w:t>
            </w:r>
          </w:p>
        </w:tc>
        <w:tc>
          <w:tcPr>
            <w:tcW w:type="dxa" w:w="7160"/>
            <w:tcMar>
              <w:top w:w="80" w:type="dxa"/>
              <w:start w:w="100" w:type="dxa"/>
              <w:bottom w:w="80" w:type="dxa"/>
              <w:end w:w="100" w:type="dxa"/>
            </w:tcMar>
            <w:vAlign w:val="center"/>
          </w:tcPr>
          <w:p>
            <w:pPr>
              <w:spacing w:after="0" w:line="252" w:lineRule="auto"/>
            </w:pPr>
            <w:r>
              <w:rPr>
                <w:sz w:val="18"/>
              </w:rPr>
              <w:t>Input inspector → query router → specialist registry → evidence builder → trace/report.</w:t>
            </w:r>
          </w:p>
        </w:tc>
      </w:tr>
      <w:tr>
        <w:tc>
          <w:tcPr>
            <w:tcW w:type="dxa" w:w="2200"/>
            <w:tcMar>
              <w:top w:w="80" w:type="dxa"/>
              <w:start w:w="100" w:type="dxa"/>
              <w:bottom w:w="80" w:type="dxa"/>
              <w:end w:w="100" w:type="dxa"/>
            </w:tcMar>
            <w:vAlign w:val="center"/>
          </w:tcPr>
          <w:p>
            <w:pPr>
              <w:spacing w:after="0" w:line="252" w:lineRule="auto"/>
            </w:pPr>
            <w:r>
              <w:rPr>
                <w:sz w:val="18"/>
              </w:rPr>
              <w:t>Accepted inputs</w:t>
            </w:r>
          </w:p>
        </w:tc>
        <w:tc>
          <w:tcPr>
            <w:tcW w:type="dxa" w:w="7160"/>
            <w:tcMar>
              <w:top w:w="80" w:type="dxa"/>
              <w:start w:w="100" w:type="dxa"/>
              <w:bottom w:w="80" w:type="dxa"/>
              <w:end w:w="100" w:type="dxa"/>
            </w:tcMar>
            <w:vAlign w:val="center"/>
          </w:tcPr>
          <w:p>
            <w:pPr>
              <w:spacing w:after="0" w:line="252" w:lineRule="auto"/>
            </w:pPr>
            <w:r>
              <w:rPr>
                <w:sz w:val="18"/>
              </w:rPr>
              <w:t>GeoTIFF/TIFF for geospatial imagery; PNG/JPEG for prescribed benchmark demonstrations.</w:t>
            </w:r>
          </w:p>
        </w:tc>
      </w:tr>
    </w:tbl>
    <w:p>
      <w:pPr>
        <w:pStyle w:val="Heading2"/>
      </w:pPr>
      <w:r>
        <w:t>Datasets and evaluation intent</w:t>
      </w:r>
    </w:p>
    <w:p>
      <w:pPr>
        <w:spacing w:after="120"/>
      </w:pPr>
      <w:r>
        <w:t>BigEarthNet.txt is the primary adaptation source named by the problem. VRSBench supports captioning, grounding and VQA; RSVQA supports single-image VQA; CDVQA supports change-based VQA. The closed ISRO/SAC set is expected to contain co-registered Cartosat-2S optical and RISAT SAR pairs with answers, boxes or masks. Keep train, validation and public-test handling separate and document the licence and provenance of every additional model or dataset.</w:t>
      </w:r>
    </w:p>
    <w:p>
      <w:pPr>
        <w:pStyle w:val="Heading1"/>
      </w:pPr>
      <w:r>
        <w:t>3. Product workflow and architecture</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200"/>
            <w:shd w:fill="E8EEF5"/>
            <w:tcMar>
              <w:top w:w="80" w:type="dxa"/>
              <w:start w:w="100" w:type="dxa"/>
              <w:bottom w:w="80" w:type="dxa"/>
              <w:end w:w="100" w:type="dxa"/>
            </w:tcMar>
          </w:tcPr>
          <w:p>
            <w:pPr>
              <w:spacing w:after="0"/>
            </w:pPr>
            <w:r>
              <w:rPr>
                <w:b/>
                <w:color w:val="1F4D78"/>
                <w:sz w:val="18"/>
              </w:rPr>
              <w:t>Stage</w:t>
            </w:r>
          </w:p>
        </w:tc>
        <w:tc>
          <w:tcPr>
            <w:tcW w:type="dxa" w:w="5000"/>
            <w:shd w:fill="E8EEF5"/>
            <w:tcMar>
              <w:top w:w="80" w:type="dxa"/>
              <w:start w:w="100" w:type="dxa"/>
              <w:bottom w:w="80" w:type="dxa"/>
              <w:end w:w="100" w:type="dxa"/>
            </w:tcMar>
          </w:tcPr>
          <w:p>
            <w:pPr>
              <w:spacing w:after="0"/>
            </w:pPr>
            <w:r>
              <w:rPr>
                <w:b/>
                <w:color w:val="1F4D78"/>
                <w:sz w:val="18"/>
              </w:rPr>
              <w:t>What happens</w:t>
            </w:r>
          </w:p>
        </w:tc>
        <w:tc>
          <w:tcPr>
            <w:tcW w:type="dxa" w:w="3160"/>
            <w:shd w:fill="E8EEF5"/>
            <w:tcMar>
              <w:top w:w="80" w:type="dxa"/>
              <w:start w:w="100" w:type="dxa"/>
              <w:bottom w:w="80" w:type="dxa"/>
              <w:end w:w="100" w:type="dxa"/>
            </w:tcMar>
          </w:tcPr>
          <w:p>
            <w:pPr>
              <w:spacing w:after="0"/>
            </w:pPr>
            <w:r>
              <w:rPr>
                <w:b/>
                <w:color w:val="1F4D78"/>
                <w:sz w:val="18"/>
              </w:rPr>
              <w:t>Observable output</w:t>
            </w:r>
          </w:p>
        </w:tc>
      </w:tr>
      <w:tr>
        <w:tc>
          <w:tcPr>
            <w:tcW w:type="dxa" w:w="1200"/>
            <w:tcMar>
              <w:top w:w="80" w:type="dxa"/>
              <w:start w:w="100" w:type="dxa"/>
              <w:bottom w:w="80" w:type="dxa"/>
              <w:end w:w="100" w:type="dxa"/>
            </w:tcMar>
            <w:vAlign w:val="center"/>
          </w:tcPr>
          <w:p>
            <w:pPr>
              <w:spacing w:after="0" w:line="252" w:lineRule="auto"/>
            </w:pPr>
            <w:r>
              <w:rPr>
                <w:sz w:val="18"/>
              </w:rPr>
              <w:t>1. Inspect</w:t>
            </w:r>
          </w:p>
        </w:tc>
        <w:tc>
          <w:tcPr>
            <w:tcW w:type="dxa" w:w="5000"/>
            <w:tcMar>
              <w:top w:w="80" w:type="dxa"/>
              <w:start w:w="100" w:type="dxa"/>
              <w:bottom w:w="80" w:type="dxa"/>
              <w:end w:w="100" w:type="dxa"/>
            </w:tcMar>
            <w:vAlign w:val="center"/>
          </w:tcPr>
          <w:p>
            <w:pPr>
              <w:spacing w:after="0" w:line="252" w:lineRule="auto"/>
            </w:pPr>
            <w:r>
              <w:rPr>
                <w:sz w:val="18"/>
              </w:rPr>
              <w:t>Check count, extension, byte size, raster signature, dimensions and band estimate.</w:t>
            </w:r>
          </w:p>
        </w:tc>
        <w:tc>
          <w:tcPr>
            <w:tcW w:type="dxa" w:w="3160"/>
            <w:tcMar>
              <w:top w:w="80" w:type="dxa"/>
              <w:start w:w="100" w:type="dxa"/>
              <w:bottom w:w="80" w:type="dxa"/>
              <w:end w:w="100" w:type="dxa"/>
            </w:tcMar>
            <w:vAlign w:val="center"/>
          </w:tcPr>
          <w:p>
            <w:pPr>
              <w:spacing w:after="0" w:line="252" w:lineRule="auto"/>
            </w:pPr>
            <w:r>
              <w:rPr>
                <w:sz w:val="18"/>
              </w:rPr>
              <w:t>Input summary with PASSED/PARTIAL/REJECTED.</w:t>
            </w:r>
          </w:p>
        </w:tc>
      </w:tr>
      <w:tr>
        <w:tc>
          <w:tcPr>
            <w:tcW w:type="dxa" w:w="1200"/>
            <w:tcMar>
              <w:top w:w="80" w:type="dxa"/>
              <w:start w:w="100" w:type="dxa"/>
              <w:bottom w:w="80" w:type="dxa"/>
              <w:end w:w="100" w:type="dxa"/>
            </w:tcMar>
            <w:vAlign w:val="center"/>
          </w:tcPr>
          <w:p>
            <w:pPr>
              <w:spacing w:after="0" w:line="252" w:lineRule="auto"/>
            </w:pPr>
            <w:r>
              <w:rPr>
                <w:sz w:val="18"/>
              </w:rPr>
              <w:t>2. Interpret</w:t>
            </w:r>
          </w:p>
        </w:tc>
        <w:tc>
          <w:tcPr>
            <w:tcW w:type="dxa" w:w="5000"/>
            <w:tcMar>
              <w:top w:w="80" w:type="dxa"/>
              <w:start w:w="100" w:type="dxa"/>
              <w:bottom w:w="80" w:type="dxa"/>
              <w:end w:w="100" w:type="dxa"/>
            </w:tcMar>
            <w:vAlign w:val="center"/>
          </w:tcPr>
          <w:p>
            <w:pPr>
              <w:spacing w:after="0" w:line="252" w:lineRule="auto"/>
            </w:pPr>
            <w:r>
              <w:rPr>
                <w:sz w:val="18"/>
              </w:rPr>
              <w:t>Classify the natural-language query with image count and selected case.</w:t>
            </w:r>
          </w:p>
        </w:tc>
        <w:tc>
          <w:tcPr>
            <w:tcW w:type="dxa" w:w="3160"/>
            <w:tcMar>
              <w:top w:w="80" w:type="dxa"/>
              <w:start w:w="100" w:type="dxa"/>
              <w:bottom w:w="80" w:type="dxa"/>
              <w:end w:w="100" w:type="dxa"/>
            </w:tcMar>
            <w:vAlign w:val="center"/>
          </w:tcPr>
          <w:p>
            <w:pPr>
              <w:spacing w:after="0" w:line="252" w:lineRule="auto"/>
            </w:pPr>
            <w:r>
              <w:rPr>
                <w:sz w:val="18"/>
              </w:rPr>
              <w:t>Task stamp such as BI_TEMPORAL_CHANGE_VQA.</w:t>
            </w:r>
          </w:p>
        </w:tc>
      </w:tr>
      <w:tr>
        <w:tc>
          <w:tcPr>
            <w:tcW w:type="dxa" w:w="1200"/>
            <w:tcMar>
              <w:top w:w="80" w:type="dxa"/>
              <w:start w:w="100" w:type="dxa"/>
              <w:bottom w:w="80" w:type="dxa"/>
              <w:end w:w="100" w:type="dxa"/>
            </w:tcMar>
            <w:vAlign w:val="center"/>
          </w:tcPr>
          <w:p>
            <w:pPr>
              <w:spacing w:after="0" w:line="252" w:lineRule="auto"/>
            </w:pPr>
            <w:r>
              <w:rPr>
                <w:sz w:val="18"/>
              </w:rPr>
              <w:t>3. Select</w:t>
            </w:r>
          </w:p>
        </w:tc>
        <w:tc>
          <w:tcPr>
            <w:tcW w:type="dxa" w:w="5000"/>
            <w:tcMar>
              <w:top w:w="80" w:type="dxa"/>
              <w:start w:w="100" w:type="dxa"/>
              <w:bottom w:w="80" w:type="dxa"/>
              <w:end w:w="100" w:type="dxa"/>
            </w:tcMar>
            <w:vAlign w:val="center"/>
          </w:tcPr>
          <w:p>
            <w:pPr>
              <w:spacing w:after="0" w:line="252" w:lineRule="auto"/>
            </w:pPr>
            <w:r>
              <w:rPr>
                <w:sz w:val="18"/>
              </w:rPr>
              <w:t>Resolve task against a registry of specialists and allowed parameters.</w:t>
            </w:r>
          </w:p>
        </w:tc>
        <w:tc>
          <w:tcPr>
            <w:tcW w:type="dxa" w:w="3160"/>
            <w:tcMar>
              <w:top w:w="80" w:type="dxa"/>
              <w:start w:w="100" w:type="dxa"/>
              <w:bottom w:w="80" w:type="dxa"/>
              <w:end w:w="100" w:type="dxa"/>
            </w:tcMar>
            <w:vAlign w:val="center"/>
          </w:tcPr>
          <w:p>
            <w:pPr>
              <w:spacing w:after="0" w:line="252" w:lineRule="auto"/>
            </w:pPr>
            <w:r>
              <w:rPr>
                <w:sz w:val="18"/>
              </w:rPr>
              <w:t>Trace names the selected tool.</w:t>
            </w:r>
          </w:p>
        </w:tc>
      </w:tr>
      <w:tr>
        <w:tc>
          <w:tcPr>
            <w:tcW w:type="dxa" w:w="1200"/>
            <w:tcMar>
              <w:top w:w="80" w:type="dxa"/>
              <w:start w:w="100" w:type="dxa"/>
              <w:bottom w:w="80" w:type="dxa"/>
              <w:end w:w="100" w:type="dxa"/>
            </w:tcMar>
            <w:vAlign w:val="center"/>
          </w:tcPr>
          <w:p>
            <w:pPr>
              <w:spacing w:after="0" w:line="252" w:lineRule="auto"/>
            </w:pPr>
            <w:r>
              <w:rPr>
                <w:sz w:val="18"/>
              </w:rPr>
              <w:t>4. Execute</w:t>
            </w:r>
          </w:p>
        </w:tc>
        <w:tc>
          <w:tcPr>
            <w:tcW w:type="dxa" w:w="5000"/>
            <w:tcMar>
              <w:top w:w="80" w:type="dxa"/>
              <w:start w:w="100" w:type="dxa"/>
              <w:bottom w:w="80" w:type="dxa"/>
              <w:end w:w="100" w:type="dxa"/>
            </w:tcMar>
            <w:vAlign w:val="center"/>
          </w:tcPr>
          <w:p>
            <w:pPr>
              <w:spacing w:after="0" w:line="252" w:lineRule="auto"/>
            </w:pPr>
            <w:r>
              <w:rPr>
                <w:sz w:val="18"/>
              </w:rPr>
              <w:t>Run VQA, grounding, change or fusion inference; align outputs to the input grid.</w:t>
            </w:r>
          </w:p>
        </w:tc>
        <w:tc>
          <w:tcPr>
            <w:tcW w:type="dxa" w:w="3160"/>
            <w:tcMar>
              <w:top w:w="80" w:type="dxa"/>
              <w:start w:w="100" w:type="dxa"/>
              <w:bottom w:w="80" w:type="dxa"/>
              <w:end w:w="100" w:type="dxa"/>
            </w:tcMar>
            <w:vAlign w:val="center"/>
          </w:tcPr>
          <w:p>
            <w:pPr>
              <w:spacing w:after="0" w:line="252" w:lineRule="auto"/>
            </w:pPr>
            <w:r>
              <w:rPr>
                <w:sz w:val="18"/>
              </w:rPr>
              <w:t>Text claim plus optional map, mask or box.</w:t>
            </w:r>
          </w:p>
        </w:tc>
      </w:tr>
      <w:tr>
        <w:tc>
          <w:tcPr>
            <w:tcW w:type="dxa" w:w="1200"/>
            <w:tcMar>
              <w:top w:w="80" w:type="dxa"/>
              <w:start w:w="100" w:type="dxa"/>
              <w:bottom w:w="80" w:type="dxa"/>
              <w:end w:w="100" w:type="dxa"/>
            </w:tcMar>
            <w:vAlign w:val="center"/>
          </w:tcPr>
          <w:p>
            <w:pPr>
              <w:spacing w:after="0" w:line="252" w:lineRule="auto"/>
            </w:pPr>
            <w:r>
              <w:rPr>
                <w:sz w:val="18"/>
              </w:rPr>
              <w:t>5. Validate</w:t>
            </w:r>
          </w:p>
        </w:tc>
        <w:tc>
          <w:tcPr>
            <w:tcW w:type="dxa" w:w="5000"/>
            <w:tcMar>
              <w:top w:w="80" w:type="dxa"/>
              <w:start w:w="100" w:type="dxa"/>
              <w:bottom w:w="80" w:type="dxa"/>
              <w:end w:w="100" w:type="dxa"/>
            </w:tcMar>
            <w:vAlign w:val="center"/>
          </w:tcPr>
          <w:p>
            <w:pPr>
              <w:spacing w:after="0" w:line="252" w:lineRule="auto"/>
            </w:pPr>
            <w:r>
              <w:rPr>
                <w:sz w:val="18"/>
              </w:rPr>
              <w:t>Compare modalities, check confidence and enforce abstention gates.</w:t>
            </w:r>
          </w:p>
        </w:tc>
        <w:tc>
          <w:tcPr>
            <w:tcW w:type="dxa" w:w="3160"/>
            <w:tcMar>
              <w:top w:w="80" w:type="dxa"/>
              <w:start w:w="100" w:type="dxa"/>
              <w:bottom w:w="80" w:type="dxa"/>
              <w:end w:w="100" w:type="dxa"/>
            </w:tcMar>
            <w:vAlign w:val="center"/>
          </w:tcPr>
          <w:p>
            <w:pPr>
              <w:spacing w:after="0" w:line="252" w:lineRule="auto"/>
            </w:pPr>
            <w:r>
              <w:rPr>
                <w:sz w:val="18"/>
              </w:rPr>
              <w:t>Sensor case, limit and decision.</w:t>
            </w:r>
          </w:p>
        </w:tc>
      </w:tr>
      <w:tr>
        <w:tc>
          <w:tcPr>
            <w:tcW w:type="dxa" w:w="1200"/>
            <w:tcMar>
              <w:top w:w="80" w:type="dxa"/>
              <w:start w:w="100" w:type="dxa"/>
              <w:bottom w:w="80" w:type="dxa"/>
              <w:end w:w="100" w:type="dxa"/>
            </w:tcMar>
            <w:vAlign w:val="center"/>
          </w:tcPr>
          <w:p>
            <w:pPr>
              <w:spacing w:after="0" w:line="252" w:lineRule="auto"/>
            </w:pPr>
            <w:r>
              <w:rPr>
                <w:sz w:val="18"/>
              </w:rPr>
              <w:t>6. Report</w:t>
            </w:r>
          </w:p>
        </w:tc>
        <w:tc>
          <w:tcPr>
            <w:tcW w:type="dxa" w:w="5000"/>
            <w:tcMar>
              <w:top w:w="80" w:type="dxa"/>
              <w:start w:w="100" w:type="dxa"/>
              <w:bottom w:w="80" w:type="dxa"/>
              <w:end w:w="100" w:type="dxa"/>
            </w:tcMar>
            <w:vAlign w:val="center"/>
          </w:tcPr>
          <w:p>
            <w:pPr>
              <w:spacing w:after="0" w:line="252" w:lineRule="auto"/>
            </w:pPr>
            <w:r>
              <w:rPr>
                <w:sz w:val="18"/>
              </w:rPr>
              <w:t>Render the same contract in UI and download it.</w:t>
            </w:r>
          </w:p>
        </w:tc>
        <w:tc>
          <w:tcPr>
            <w:tcW w:type="dxa" w:w="3160"/>
            <w:tcMar>
              <w:top w:w="80" w:type="dxa"/>
              <w:start w:w="100" w:type="dxa"/>
              <w:bottom w:w="80" w:type="dxa"/>
              <w:end w:w="100" w:type="dxa"/>
            </w:tcMar>
            <w:vAlign w:val="center"/>
          </w:tcPr>
          <w:p>
            <w:pPr>
              <w:spacing w:after="0" w:line="252" w:lineRule="auto"/>
            </w:pPr>
            <w:r>
              <w:rPr>
                <w:sz w:val="18"/>
              </w:rPr>
              <w:t>Evidence report and trace.</w:t>
            </w:r>
          </w:p>
        </w:tc>
      </w:tr>
    </w:tbl>
    <w:p>
      <w:pPr>
        <w:spacing w:after="160" w:line="240" w:lineRule="auto"/>
        <w:ind w:left="259"/>
      </w:pPr>
      <w:r>
        <w:rPr>
          <w:rFonts w:ascii="Consolas" w:hAnsi="Consolas"/>
          <w:color w:val="1C2733"/>
          <w:sz w:val="18"/>
        </w:rPr>
        <w:t>Browser UI</w:t>
        <w:br/>
        <w:t xml:space="preserve">    │  query + 0/1/2 observations</w:t>
        <w:br/>
        <w:t xml:space="preserve">    ▼</w:t>
        <w:br/>
        <w:t>POST /api/analyse (multipart/form-data)</w:t>
        <w:br/>
        <w:t xml:space="preserve">    │</w:t>
        <w:br/>
        <w:t xml:space="preserve">    ├─ Input Inspector: extension, size, signature, dimensions, bands</w:t>
        <w:br/>
        <w:t xml:space="preserve">    ├─ Query Router: VQA | Grounding | Change VQA | Optical–SAR Fusion</w:t>
        <w:br/>
        <w:t xml:space="preserve">    ├─ Specialist Registry: model + permitted parameters</w:t>
        <w:br/>
        <w:t xml:space="preserve">    ├─ Evidence Builder: claim, where, magnitude, sensor case, limit</w:t>
        <w:br/>
        <w:t xml:space="preserve">    └─ Trace + report</w:t>
        <w:br/>
        <w:t xml:space="preserve">    ▼</w:t>
        <w:br/>
        <w:t>Evidence map + confidence + auditable execution summary</w:t>
      </w:r>
    </w:p>
    <w:p>
      <w:pPr>
        <w:spacing w:after="120"/>
      </w:pPr>
      <w:r>
        <w:t>The governing principle is simple: an answer is incomplete until a human can tell what was observed, where it was observed, which source contributed and what would change the conclusion.</w:t>
      </w:r>
    </w:p>
    <w:p>
      <w:pPr>
        <w:pStyle w:val="Heading1"/>
      </w:pPr>
      <w:r>
        <w:t>4. Using the deployed interface</w:t>
      </w:r>
    </w:p>
    <w:p>
      <w:pPr>
        <w:spacing w:after="120"/>
      </w:pPr>
      <w:r>
        <w:t>Open https://satquery-sentry.shrutikaverma22.chatgpt.site. The controls and typography intentionally use a black-and-white brutalist system. The evidence field uses a higher-quality full-colour satellite-style basemap so spatial evidence is easier to read.</w:t>
      </w:r>
    </w:p>
    <w:p>
      <w:pPr>
        <w:pStyle w:val="Heading2"/>
      </w:pPr>
      <w:r>
        <w:t>Screen map</w:t>
      </w:r>
    </w:p>
    <w:p>
      <w:pPr>
        <w:pStyle w:val="ListBullet"/>
      </w:pPr>
      <w:r>
        <w:t>01 / OBSERVATIONS: choose a curated case or load your own files. Case cards communicate expected sensor and temporal configuration.</w:t>
      </w:r>
    </w:p>
    <w:p>
      <w:pPr>
        <w:pStyle w:val="ListBullet"/>
      </w:pPr>
      <w:r>
        <w:t>02 / EVIDENCE FIELD: switch FUSED, OPTICAL or SAR to inspect the evidence through a modality lens.</w:t>
      </w:r>
    </w:p>
    <w:p>
      <w:pPr>
        <w:pStyle w:val="ListBullet"/>
      </w:pPr>
      <w:r>
        <w:t>ASK THE OBSERVATION: type a question, choose a suggestion, and press RUN →. The button reads RUNNING… while processing.</w:t>
      </w:r>
    </w:p>
    <w:p>
      <w:pPr>
        <w:pStyle w:val="ListBullet"/>
      </w:pPr>
      <w:r>
        <w:t>03 / EVIDENCE CONTRACT: read claim, location, magnitude, sensor support, limitation, confidence and decision. Expand OBSERVABLE EXECUTION TRACE for routing steps.</w:t>
      </w:r>
    </w:p>
    <w:p>
      <w:pPr>
        <w:pStyle w:val="ListBullet"/>
      </w:pPr>
      <w:r>
        <w:t>DOWNLOAD EVIDENCE REPORT ↓: save the displayed contract and trace as a plain-text report for a ticket or analyst hand-off.</w:t>
      </w:r>
    </w:p>
    <w:p>
      <w:pPr>
        <w:pStyle w:val="Heading2"/>
      </w:pPr>
      <w:r>
        <w:t>Curated cases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100"/>
            <w:shd w:fill="E8EEF5"/>
            <w:tcMar>
              <w:top w:w="80" w:type="dxa"/>
              <w:start w:w="100" w:type="dxa"/>
              <w:bottom w:w="80" w:type="dxa"/>
              <w:end w:w="100" w:type="dxa"/>
            </w:tcMar>
          </w:tcPr>
          <w:p>
            <w:pPr>
              <w:spacing w:after="0"/>
            </w:pPr>
            <w:r>
              <w:rPr>
                <w:b/>
                <w:color w:val="1F4D78"/>
                <w:sz w:val="18"/>
              </w:rPr>
              <w:t>Case</w:t>
            </w:r>
          </w:p>
        </w:tc>
        <w:tc>
          <w:tcPr>
            <w:tcW w:type="dxa" w:w="4860"/>
            <w:shd w:fill="E8EEF5"/>
            <w:tcMar>
              <w:top w:w="80" w:type="dxa"/>
              <w:start w:w="100" w:type="dxa"/>
              <w:bottom w:w="80" w:type="dxa"/>
              <w:end w:w="100" w:type="dxa"/>
            </w:tcMar>
          </w:tcPr>
          <w:p>
            <w:pPr>
              <w:spacing w:after="0"/>
            </w:pPr>
            <w:r>
              <w:rPr>
                <w:b/>
                <w:color w:val="1F4D78"/>
                <w:sz w:val="18"/>
              </w:rPr>
              <w:t>Intended demonstration</w:t>
            </w:r>
          </w:p>
        </w:tc>
        <w:tc>
          <w:tcPr>
            <w:tcW w:type="dxa" w:w="2400"/>
            <w:shd w:fill="E8EEF5"/>
            <w:tcMar>
              <w:top w:w="80" w:type="dxa"/>
              <w:start w:w="100" w:type="dxa"/>
              <w:bottom w:w="80" w:type="dxa"/>
              <w:end w:w="100" w:type="dxa"/>
            </w:tcMar>
          </w:tcPr>
          <w:p>
            <w:pPr>
              <w:spacing w:after="0"/>
            </w:pPr>
            <w:r>
              <w:rPr>
                <w:b/>
                <w:color w:val="1F4D78"/>
                <w:sz w:val="18"/>
              </w:rPr>
              <w:t>Expected routing</w:t>
            </w:r>
          </w:p>
        </w:tc>
      </w:tr>
      <w:tr>
        <w:tc>
          <w:tcPr>
            <w:tcW w:type="dxa" w:w="2100"/>
            <w:tcMar>
              <w:top w:w="80" w:type="dxa"/>
              <w:start w:w="100" w:type="dxa"/>
              <w:bottom w:w="80" w:type="dxa"/>
              <w:end w:w="100" w:type="dxa"/>
            </w:tcMar>
            <w:vAlign w:val="center"/>
          </w:tcPr>
          <w:p>
            <w:pPr>
              <w:spacing w:after="0" w:line="252" w:lineRule="auto"/>
            </w:pPr>
            <w:r>
              <w:rPr>
                <w:sz w:val="18"/>
              </w:rPr>
              <w:t>CASE_001 / ASSAM FLOOD</w:t>
            </w:r>
          </w:p>
        </w:tc>
        <w:tc>
          <w:tcPr>
            <w:tcW w:type="dxa" w:w="4860"/>
            <w:tcMar>
              <w:top w:w="80" w:type="dxa"/>
              <w:start w:w="100" w:type="dxa"/>
              <w:bottom w:w="80" w:type="dxa"/>
              <w:end w:w="100" w:type="dxa"/>
            </w:tcMar>
            <w:vAlign w:val="center"/>
          </w:tcPr>
          <w:p>
            <w:pPr>
              <w:spacing w:after="0" w:line="252" w:lineRule="auto"/>
            </w:pPr>
            <w:r>
              <w:rPr>
                <w:sz w:val="18"/>
              </w:rPr>
              <w:t>Sentinel-2 optical + Sentinel-1 SAR, two dates. Ask what changed and which sensor supports it.</w:t>
            </w:r>
          </w:p>
        </w:tc>
        <w:tc>
          <w:tcPr>
            <w:tcW w:type="dxa" w:w="2400"/>
            <w:tcMar>
              <w:top w:w="80" w:type="dxa"/>
              <w:start w:w="100" w:type="dxa"/>
              <w:bottom w:w="80" w:type="dxa"/>
              <w:end w:w="100" w:type="dxa"/>
            </w:tcMar>
            <w:vAlign w:val="center"/>
          </w:tcPr>
          <w:p>
            <w:pPr>
              <w:spacing w:after="0" w:line="252" w:lineRule="auto"/>
            </w:pPr>
            <w:r>
              <w:rPr>
                <w:sz w:val="18"/>
              </w:rPr>
              <w:t>BI_TEMPORAL_CHANGE_VQA</w:t>
            </w:r>
          </w:p>
        </w:tc>
      </w:tr>
      <w:tr>
        <w:tc>
          <w:tcPr>
            <w:tcW w:type="dxa" w:w="2100"/>
            <w:tcMar>
              <w:top w:w="80" w:type="dxa"/>
              <w:start w:w="100" w:type="dxa"/>
              <w:bottom w:w="80" w:type="dxa"/>
              <w:end w:w="100" w:type="dxa"/>
            </w:tcMar>
            <w:vAlign w:val="center"/>
          </w:tcPr>
          <w:p>
            <w:pPr>
              <w:spacing w:after="0" w:line="252" w:lineRule="auto"/>
            </w:pPr>
            <w:r>
              <w:rPr>
                <w:sz w:val="18"/>
              </w:rPr>
              <w:t>CASE_002 / URBAN WATER</w:t>
            </w:r>
          </w:p>
        </w:tc>
        <w:tc>
          <w:tcPr>
            <w:tcW w:type="dxa" w:w="4860"/>
            <w:tcMar>
              <w:top w:w="80" w:type="dxa"/>
              <w:start w:w="100" w:type="dxa"/>
              <w:bottom w:w="80" w:type="dxa"/>
              <w:end w:w="100" w:type="dxa"/>
            </w:tcMar>
            <w:vAlign w:val="center"/>
          </w:tcPr>
          <w:p>
            <w:pPr>
              <w:spacing w:after="0" w:line="252" w:lineRule="auto"/>
            </w:pPr>
            <w:r>
              <w:rPr>
                <w:sz w:val="18"/>
              </w:rPr>
              <w:t>RISAT SAR single-image question. Ask what is visible or where water is located.</w:t>
            </w:r>
          </w:p>
        </w:tc>
        <w:tc>
          <w:tcPr>
            <w:tcW w:type="dxa" w:w="2400"/>
            <w:tcMar>
              <w:top w:w="80" w:type="dxa"/>
              <w:start w:w="100" w:type="dxa"/>
              <w:bottom w:w="80" w:type="dxa"/>
              <w:end w:w="100" w:type="dxa"/>
            </w:tcMar>
            <w:vAlign w:val="center"/>
          </w:tcPr>
          <w:p>
            <w:pPr>
              <w:spacing w:after="0" w:line="252" w:lineRule="auto"/>
            </w:pPr>
            <w:r>
              <w:rPr>
                <w:sz w:val="18"/>
              </w:rPr>
              <w:t>SINGLE_IMAGE_VQA or TEXT_GUIDED_GROUNDING</w:t>
            </w:r>
          </w:p>
        </w:tc>
      </w:tr>
      <w:tr>
        <w:tc>
          <w:tcPr>
            <w:tcW w:type="dxa" w:w="2100"/>
            <w:tcMar>
              <w:top w:w="80" w:type="dxa"/>
              <w:start w:w="100" w:type="dxa"/>
              <w:bottom w:w="80" w:type="dxa"/>
              <w:end w:w="100" w:type="dxa"/>
            </w:tcMar>
            <w:vAlign w:val="center"/>
          </w:tcPr>
          <w:p>
            <w:pPr>
              <w:spacing w:after="0" w:line="252" w:lineRule="auto"/>
            </w:pPr>
            <w:r>
              <w:rPr>
                <w:sz w:val="18"/>
              </w:rPr>
              <w:t>CASE_003 / BUILT CHANGE</w:t>
            </w:r>
          </w:p>
        </w:tc>
        <w:tc>
          <w:tcPr>
            <w:tcW w:type="dxa" w:w="4860"/>
            <w:tcMar>
              <w:top w:w="80" w:type="dxa"/>
              <w:start w:w="100" w:type="dxa"/>
              <w:bottom w:w="80" w:type="dxa"/>
              <w:end w:w="100" w:type="dxa"/>
            </w:tcMar>
            <w:vAlign w:val="center"/>
          </w:tcPr>
          <w:p>
            <w:pPr>
              <w:spacing w:after="0" w:line="252" w:lineRule="auto"/>
            </w:pPr>
            <w:r>
              <w:rPr>
                <w:sz w:val="18"/>
              </w:rPr>
              <w:t>Cartosat-2S optical, two dates. Ask whether built-up area increased, decreased or stayed unchanged.</w:t>
            </w:r>
          </w:p>
        </w:tc>
        <w:tc>
          <w:tcPr>
            <w:tcW w:type="dxa" w:w="2400"/>
            <w:tcMar>
              <w:top w:w="80" w:type="dxa"/>
              <w:start w:w="100" w:type="dxa"/>
              <w:bottom w:w="80" w:type="dxa"/>
              <w:end w:w="100" w:type="dxa"/>
            </w:tcMar>
            <w:vAlign w:val="center"/>
          </w:tcPr>
          <w:p>
            <w:pPr>
              <w:spacing w:after="0" w:line="252" w:lineRule="auto"/>
            </w:pPr>
            <w:r>
              <w:rPr>
                <w:sz w:val="18"/>
              </w:rPr>
              <w:t>BI_TEMPORAL_CHANGE_VQA</w:t>
            </w:r>
          </w:p>
        </w:tc>
      </w:tr>
    </w:tbl>
    <w:p>
      <w:pPr>
        <w:pStyle w:val="Heading2"/>
      </w:pPr>
      <w:r>
        <w:t>What each control does</w:t>
      </w:r>
    </w:p>
    <w:p>
      <w:pPr>
        <w:pStyle w:val="ListNumber"/>
      </w:pPr>
      <w:r>
        <w:t>Click a case card. The active card is selected and existing files are cleared so configurations cannot be mixed accidentally.</w:t>
      </w:r>
    </w:p>
    <w:p>
      <w:pPr>
        <w:pStyle w:val="ListNumber"/>
      </w:pPr>
      <w:r>
        <w:t>Click + ADD OBSERVATION. Select up to two .tif, .tiff, .png, .jpg or .jpeg files. File names and header-derived metadata appear in the left panel.</w:t>
      </w:r>
    </w:p>
    <w:p>
      <w:pPr>
        <w:pStyle w:val="ListNumber"/>
      </w:pPr>
      <w:r>
        <w:t>Choose FUSED, OPTICAL or SAR. This changes the evidence view; it does not invent a missing modality.</w:t>
      </w:r>
    </w:p>
    <w:p>
      <w:pPr>
        <w:pStyle w:val="ListNumber"/>
      </w:pPr>
      <w:r>
        <w:t>Edit the question or click a suggestion. Prefer specific language such as “What changed between these dates?” or “Highlight water-covered regions”.</w:t>
      </w:r>
    </w:p>
    <w:p>
      <w:pPr>
        <w:pStyle w:val="ListNumber"/>
      </w:pPr>
      <w:r>
        <w:t>Press RUN →. The browser sends a multipart request to /api/analyse and replaces the contract, confidence and trace when it returns.</w:t>
      </w:r>
    </w:p>
    <w:p>
      <w:pPr>
        <w:pStyle w:val="ListNumber"/>
      </w:pPr>
      <w:r>
        <w:t>Press DOWNLOAD EVIDENCE REPORT ↓. A file named satquery-&lt;case&gt;-report.txt is generated locally by the browser.</w:t>
      </w:r>
    </w:p>
    <w:p>
      <w:pPr>
        <w:pStyle w:val="Heading1"/>
      </w:pPr>
      <w:r>
        <w:t>5. Test recipes and expected results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700"/>
            <w:shd w:fill="E8EEF5"/>
            <w:tcMar>
              <w:top w:w="80" w:type="dxa"/>
              <w:start w:w="100" w:type="dxa"/>
              <w:bottom w:w="80" w:type="dxa"/>
              <w:end w:w="100" w:type="dxa"/>
            </w:tcMar>
          </w:tcPr>
          <w:p>
            <w:pPr>
              <w:spacing w:after="0"/>
            </w:pPr>
            <w:r>
              <w:rPr>
                <w:b/>
                <w:color w:val="1F4D78"/>
                <w:sz w:val="18"/>
              </w:rPr>
              <w:t>Test</w:t>
            </w:r>
          </w:p>
        </w:tc>
        <w:tc>
          <w:tcPr>
            <w:tcW w:type="dxa" w:w="4300"/>
            <w:shd w:fill="E8EEF5"/>
            <w:tcMar>
              <w:top w:w="80" w:type="dxa"/>
              <w:start w:w="100" w:type="dxa"/>
              <w:bottom w:w="80" w:type="dxa"/>
              <w:end w:w="100" w:type="dxa"/>
            </w:tcMar>
          </w:tcPr>
          <w:p>
            <w:pPr>
              <w:spacing w:after="0"/>
            </w:pPr>
            <w:r>
              <w:rPr>
                <w:b/>
                <w:color w:val="1F4D78"/>
                <w:sz w:val="18"/>
              </w:rPr>
              <w:t>Action</w:t>
            </w:r>
          </w:p>
        </w:tc>
        <w:tc>
          <w:tcPr>
            <w:tcW w:type="dxa" w:w="3360"/>
            <w:shd w:fill="E8EEF5"/>
            <w:tcMar>
              <w:top w:w="80" w:type="dxa"/>
              <w:start w:w="100" w:type="dxa"/>
              <w:bottom w:w="80" w:type="dxa"/>
              <w:end w:w="100" w:type="dxa"/>
            </w:tcMar>
          </w:tcPr>
          <w:p>
            <w:pPr>
              <w:spacing w:after="0"/>
            </w:pPr>
            <w:r>
              <w:rPr>
                <w:b/>
                <w:color w:val="1F4D78"/>
                <w:sz w:val="18"/>
              </w:rPr>
              <w:t>Expected result</w:t>
            </w:r>
          </w:p>
        </w:tc>
      </w:tr>
      <w:tr>
        <w:tc>
          <w:tcPr>
            <w:tcW w:type="dxa" w:w="1700"/>
            <w:tcMar>
              <w:top w:w="80" w:type="dxa"/>
              <w:start w:w="100" w:type="dxa"/>
              <w:bottom w:w="80" w:type="dxa"/>
              <w:end w:w="100" w:type="dxa"/>
            </w:tcMar>
            <w:vAlign w:val="center"/>
          </w:tcPr>
          <w:p>
            <w:pPr>
              <w:spacing w:after="0" w:line="252" w:lineRule="auto"/>
            </w:pPr>
            <w:r>
              <w:rPr>
                <w:sz w:val="18"/>
              </w:rPr>
              <w:t>Default change</w:t>
            </w:r>
          </w:p>
        </w:tc>
        <w:tc>
          <w:tcPr>
            <w:tcW w:type="dxa" w:w="4300"/>
            <w:tcMar>
              <w:top w:w="80" w:type="dxa"/>
              <w:start w:w="100" w:type="dxa"/>
              <w:bottom w:w="80" w:type="dxa"/>
              <w:end w:w="100" w:type="dxa"/>
            </w:tcMar>
            <w:vAlign w:val="center"/>
          </w:tcPr>
          <w:p>
            <w:pPr>
              <w:spacing w:after="0" w:line="252" w:lineRule="auto"/>
            </w:pPr>
            <w:r>
              <w:rPr>
                <w:sz w:val="18"/>
              </w:rPr>
              <w:t>Keep CASE_001; run “What changed, where, and which sensor supports it?”</w:t>
            </w:r>
          </w:p>
        </w:tc>
        <w:tc>
          <w:tcPr>
            <w:tcW w:type="dxa" w:w="3360"/>
            <w:tcMar>
              <w:top w:w="80" w:type="dxa"/>
              <w:start w:w="100" w:type="dxa"/>
              <w:bottom w:w="80" w:type="dxa"/>
              <w:end w:w="100" w:type="dxa"/>
            </w:tcMar>
            <w:vAlign w:val="center"/>
          </w:tcPr>
          <w:p>
            <w:pPr>
              <w:spacing w:after="0" w:line="252" w:lineRule="auto"/>
            </w:pPr>
            <w:r>
              <w:rPr>
                <w:sz w:val="18"/>
              </w:rPr>
              <w:t>BI_TEMPORAL_CHANGE_VQA; confidence 82; newly inundated land likely; Zones A + B; CHANGE_ANALYST trace.</w:t>
            </w:r>
          </w:p>
        </w:tc>
      </w:tr>
      <w:tr>
        <w:tc>
          <w:tcPr>
            <w:tcW w:type="dxa" w:w="1700"/>
            <w:tcMar>
              <w:top w:w="80" w:type="dxa"/>
              <w:start w:w="100" w:type="dxa"/>
              <w:bottom w:w="80" w:type="dxa"/>
              <w:end w:w="100" w:type="dxa"/>
            </w:tcMar>
            <w:vAlign w:val="center"/>
          </w:tcPr>
          <w:p>
            <w:pPr>
              <w:spacing w:after="0" w:line="252" w:lineRule="auto"/>
            </w:pPr>
            <w:r>
              <w:rPr>
                <w:sz w:val="18"/>
              </w:rPr>
              <w:t>Single-image VQA</w:t>
            </w:r>
          </w:p>
        </w:tc>
        <w:tc>
          <w:tcPr>
            <w:tcW w:type="dxa" w:w="4300"/>
            <w:tcMar>
              <w:top w:w="80" w:type="dxa"/>
              <w:start w:w="100" w:type="dxa"/>
              <w:bottom w:w="80" w:type="dxa"/>
              <w:end w:w="100" w:type="dxa"/>
            </w:tcMar>
            <w:vAlign w:val="center"/>
          </w:tcPr>
          <w:p>
            <w:pPr>
              <w:spacing w:after="0" w:line="252" w:lineRule="auto"/>
            </w:pPr>
            <w:r>
              <w:rPr>
                <w:sz w:val="18"/>
              </w:rPr>
              <w:t>CASE_002; run “Describe the land-cover and major objects visible in this image.”</w:t>
            </w:r>
          </w:p>
        </w:tc>
        <w:tc>
          <w:tcPr>
            <w:tcW w:type="dxa" w:w="3360"/>
            <w:tcMar>
              <w:top w:w="80" w:type="dxa"/>
              <w:start w:w="100" w:type="dxa"/>
              <w:bottom w:w="80" w:type="dxa"/>
              <w:end w:w="100" w:type="dxa"/>
            </w:tcMar>
            <w:vAlign w:val="center"/>
          </w:tcPr>
          <w:p>
            <w:pPr>
              <w:spacing w:after="0" w:line="252" w:lineRule="auto"/>
            </w:pPr>
            <w:r>
              <w:rPr>
                <w:sz w:val="18"/>
              </w:rPr>
              <w:t>SINGLE_IMAGE_VQA; confidence 76; water, built-up land and road corridors.</w:t>
            </w:r>
          </w:p>
        </w:tc>
      </w:tr>
      <w:tr>
        <w:tc>
          <w:tcPr>
            <w:tcW w:type="dxa" w:w="1700"/>
            <w:tcMar>
              <w:top w:w="80" w:type="dxa"/>
              <w:start w:w="100" w:type="dxa"/>
              <w:bottom w:w="80" w:type="dxa"/>
              <w:end w:w="100" w:type="dxa"/>
            </w:tcMar>
            <w:vAlign w:val="center"/>
          </w:tcPr>
          <w:p>
            <w:pPr>
              <w:spacing w:after="0" w:line="252" w:lineRule="auto"/>
            </w:pPr>
            <w:r>
              <w:rPr>
                <w:sz w:val="18"/>
              </w:rPr>
              <w:t>Grounding</w:t>
            </w:r>
          </w:p>
        </w:tc>
        <w:tc>
          <w:tcPr>
            <w:tcW w:type="dxa" w:w="4300"/>
            <w:tcMar>
              <w:top w:w="80" w:type="dxa"/>
              <w:start w:w="100" w:type="dxa"/>
              <w:bottom w:w="80" w:type="dxa"/>
              <w:end w:w="100" w:type="dxa"/>
            </w:tcMar>
            <w:vAlign w:val="center"/>
          </w:tcPr>
          <w:p>
            <w:pPr>
              <w:spacing w:after="0" w:line="252" w:lineRule="auto"/>
            </w:pPr>
            <w:r>
              <w:rPr>
                <w:sz w:val="18"/>
              </w:rPr>
              <w:t>Run “Highlight water-covered regions”.</w:t>
            </w:r>
          </w:p>
        </w:tc>
        <w:tc>
          <w:tcPr>
            <w:tcW w:type="dxa" w:w="3360"/>
            <w:tcMar>
              <w:top w:w="80" w:type="dxa"/>
              <w:start w:w="100" w:type="dxa"/>
              <w:bottom w:w="80" w:type="dxa"/>
              <w:end w:w="100" w:type="dxa"/>
            </w:tcMar>
            <w:vAlign w:val="center"/>
          </w:tcPr>
          <w:p>
            <w:pPr>
              <w:spacing w:after="0" w:line="252" w:lineRule="auto"/>
            </w:pPr>
            <w:r>
              <w:rPr>
                <w:sz w:val="18"/>
              </w:rPr>
              <w:t>TEXT_GUIDED_GROUNDING; map regions A and B remain visible when evidence is sufficient.</w:t>
            </w:r>
          </w:p>
        </w:tc>
      </w:tr>
      <w:tr>
        <w:tc>
          <w:tcPr>
            <w:tcW w:type="dxa" w:w="1700"/>
            <w:tcMar>
              <w:top w:w="80" w:type="dxa"/>
              <w:start w:w="100" w:type="dxa"/>
              <w:bottom w:w="80" w:type="dxa"/>
              <w:end w:w="100" w:type="dxa"/>
            </w:tcMar>
            <w:vAlign w:val="center"/>
          </w:tcPr>
          <w:p>
            <w:pPr>
              <w:spacing w:after="0" w:line="252" w:lineRule="auto"/>
            </w:pPr>
            <w:r>
              <w:rPr>
                <w:sz w:val="18"/>
              </w:rPr>
              <w:t>Optical–SAR fusion</w:t>
            </w:r>
          </w:p>
        </w:tc>
        <w:tc>
          <w:tcPr>
            <w:tcW w:type="dxa" w:w="4300"/>
            <w:tcMar>
              <w:top w:w="80" w:type="dxa"/>
              <w:start w:w="100" w:type="dxa"/>
              <w:bottom w:w="80" w:type="dxa"/>
              <w:end w:w="100" w:type="dxa"/>
            </w:tcMar>
            <w:vAlign w:val="center"/>
          </w:tcPr>
          <w:p>
            <w:pPr>
              <w:spacing w:after="0" w:line="252" w:lineRule="auto"/>
            </w:pPr>
            <w:r>
              <w:rPr>
                <w:sz w:val="18"/>
              </w:rPr>
              <w:t>With two observations, run “Use the optical and SAR images together to identify built-up and water-covered regions.”</w:t>
            </w:r>
          </w:p>
        </w:tc>
        <w:tc>
          <w:tcPr>
            <w:tcW w:type="dxa" w:w="3360"/>
            <w:tcMar>
              <w:top w:w="80" w:type="dxa"/>
              <w:start w:w="100" w:type="dxa"/>
              <w:bottom w:w="80" w:type="dxa"/>
              <w:end w:w="100" w:type="dxa"/>
            </w:tcMar>
            <w:vAlign w:val="center"/>
          </w:tcPr>
          <w:p>
            <w:pPr>
              <w:spacing w:after="0" w:line="252" w:lineRule="auto"/>
            </w:pPr>
            <w:r>
              <w:rPr>
                <w:sz w:val="18"/>
              </w:rPr>
              <w:t>OPTICAL_SAR_FUSION; sensor case reports SAR strong support and optical partial agreement.</w:t>
            </w:r>
          </w:p>
        </w:tc>
      </w:tr>
      <w:tr>
        <w:tc>
          <w:tcPr>
            <w:tcW w:type="dxa" w:w="1700"/>
            <w:tcMar>
              <w:top w:w="80" w:type="dxa"/>
              <w:start w:w="100" w:type="dxa"/>
              <w:bottom w:w="80" w:type="dxa"/>
              <w:end w:w="100" w:type="dxa"/>
            </w:tcMar>
            <w:vAlign w:val="center"/>
          </w:tcPr>
          <w:p>
            <w:pPr>
              <w:spacing w:after="0" w:line="252" w:lineRule="auto"/>
            </w:pPr>
            <w:r>
              <w:rPr>
                <w:sz w:val="18"/>
              </w:rPr>
              <w:t>Abstention</w:t>
            </w:r>
          </w:p>
        </w:tc>
        <w:tc>
          <w:tcPr>
            <w:tcW w:type="dxa" w:w="4300"/>
            <w:tcMar>
              <w:top w:w="80" w:type="dxa"/>
              <w:start w:w="100" w:type="dxa"/>
              <w:bottom w:w="80" w:type="dxa"/>
              <w:end w:w="100" w:type="dxa"/>
            </w:tcMar>
            <w:vAlign w:val="center"/>
          </w:tcPr>
          <w:p>
            <w:pPr>
              <w:spacing w:after="0" w:line="252" w:lineRule="auto"/>
            </w:pPr>
            <w:r>
              <w:rPr>
                <w:sz w:val="18"/>
              </w:rPr>
              <w:t>Add “cloud” or “uncertain”, for example “What changed despite cloud uncertainty?”</w:t>
            </w:r>
          </w:p>
        </w:tc>
        <w:tc>
          <w:tcPr>
            <w:tcW w:type="dxa" w:w="3360"/>
            <w:tcMar>
              <w:top w:w="80" w:type="dxa"/>
              <w:start w:w="100" w:type="dxa"/>
              <w:bottom w:w="80" w:type="dxa"/>
              <w:end w:w="100" w:type="dxa"/>
            </w:tcMar>
            <w:vAlign w:val="center"/>
          </w:tcPr>
          <w:p>
            <w:pPr>
              <w:spacing w:after="0" w:line="252" w:lineRule="auto"/>
            </w:pPr>
            <w:r>
              <w:rPr>
                <w:sz w:val="18"/>
              </w:rPr>
              <w:t>Confidence 43; INSUFFICIENT EVIDENCE; regions withheld; next observation recommends cloud-free optical or analyst review.</w:t>
            </w:r>
          </w:p>
        </w:tc>
      </w:tr>
      <w:tr>
        <w:tc>
          <w:tcPr>
            <w:tcW w:type="dxa" w:w="1700"/>
            <w:tcMar>
              <w:top w:w="80" w:type="dxa"/>
              <w:start w:w="100" w:type="dxa"/>
              <w:bottom w:w="80" w:type="dxa"/>
              <w:end w:w="100" w:type="dxa"/>
            </w:tcMar>
            <w:vAlign w:val="center"/>
          </w:tcPr>
          <w:p>
            <w:pPr>
              <w:spacing w:after="0" w:line="252" w:lineRule="auto"/>
            </w:pPr>
            <w:r>
              <w:rPr>
                <w:sz w:val="18"/>
              </w:rPr>
              <w:t>PNG metadata</w:t>
            </w:r>
          </w:p>
        </w:tc>
        <w:tc>
          <w:tcPr>
            <w:tcW w:type="dxa" w:w="4300"/>
            <w:tcMar>
              <w:top w:w="80" w:type="dxa"/>
              <w:start w:w="100" w:type="dxa"/>
              <w:bottom w:w="80" w:type="dxa"/>
              <w:end w:w="100" w:type="dxa"/>
            </w:tcMar>
            <w:vAlign w:val="center"/>
          </w:tcPr>
          <w:p>
            <w:pPr>
              <w:spacing w:after="0" w:line="252" w:lineRule="auto"/>
            </w:pPr>
            <w:r>
              <w:rPr>
                <w:sz w:val="18"/>
              </w:rPr>
              <w:t>Upload D:\satquery-ai\public\og.png.</w:t>
            </w:r>
          </w:p>
        </w:tc>
        <w:tc>
          <w:tcPr>
            <w:tcW w:type="dxa" w:w="3360"/>
            <w:tcMar>
              <w:top w:w="80" w:type="dxa"/>
              <w:start w:w="100" w:type="dxa"/>
              <w:bottom w:w="80" w:type="dxa"/>
              <w:end w:w="100" w:type="dxa"/>
            </w:tcMar>
            <w:vAlign w:val="center"/>
          </w:tcPr>
          <w:p>
            <w:pPr>
              <w:spacing w:after="0" w:line="252" w:lineRule="auto"/>
            </w:pPr>
            <w:r>
              <w:rPr>
                <w:sz w:val="18"/>
              </w:rPr>
              <w:t>PNG header parsed; 1200 × 630, estimated 3 bands, PASSED.</w:t>
            </w:r>
          </w:p>
        </w:tc>
      </w:tr>
      <w:tr>
        <w:tc>
          <w:tcPr>
            <w:tcW w:type="dxa" w:w="1700"/>
            <w:tcMar>
              <w:top w:w="80" w:type="dxa"/>
              <w:start w:w="100" w:type="dxa"/>
              <w:bottom w:w="80" w:type="dxa"/>
              <w:end w:w="100" w:type="dxa"/>
            </w:tcMar>
            <w:vAlign w:val="center"/>
          </w:tcPr>
          <w:p>
            <w:pPr>
              <w:spacing w:after="0" w:line="252" w:lineRule="auto"/>
            </w:pPr>
            <w:r>
              <w:rPr>
                <w:sz w:val="18"/>
              </w:rPr>
              <w:t>Unsupported file</w:t>
            </w:r>
          </w:p>
        </w:tc>
        <w:tc>
          <w:tcPr>
            <w:tcW w:type="dxa" w:w="4300"/>
            <w:tcMar>
              <w:top w:w="80" w:type="dxa"/>
              <w:start w:w="100" w:type="dxa"/>
              <w:bottom w:w="80" w:type="dxa"/>
              <w:end w:w="100" w:type="dxa"/>
            </w:tcMar>
            <w:vAlign w:val="center"/>
          </w:tcPr>
          <w:p>
            <w:pPr>
              <w:spacing w:after="0" w:line="252" w:lineRule="auto"/>
            </w:pPr>
            <w:r>
              <w:rPr>
                <w:sz w:val="18"/>
              </w:rPr>
              <w:t>Try a PDF.</w:t>
            </w:r>
          </w:p>
        </w:tc>
        <w:tc>
          <w:tcPr>
            <w:tcW w:type="dxa" w:w="3360"/>
            <w:tcMar>
              <w:top w:w="80" w:type="dxa"/>
              <w:start w:w="100" w:type="dxa"/>
              <w:bottom w:w="80" w:type="dxa"/>
              <w:end w:w="100" w:type="dxa"/>
            </w:tcMar>
            <w:vAlign w:val="center"/>
          </w:tcPr>
          <w:p>
            <w:pPr>
              <w:spacing w:after="0" w:line="252" w:lineRule="auto"/>
            </w:pPr>
            <w:r>
              <w:rPr>
                <w:sz w:val="18"/>
              </w:rPr>
              <w:t>UI input error; API responds HTTP 415 with filename and supported formats.</w:t>
            </w:r>
          </w:p>
        </w:tc>
      </w:tr>
    </w:tbl>
    <w:p>
      <w:pPr>
        <w:pStyle w:val="Heading2"/>
      </w:pPr>
      <w:r>
        <w:t>Direct API smoke test</w:t>
      </w:r>
    </w:p>
    <w:p>
      <w:pPr>
        <w:spacing w:after="160" w:line="240" w:lineRule="auto"/>
        <w:ind w:left="259"/>
      </w:pPr>
      <w:r>
        <w:rPr>
          <w:rFonts w:ascii="Consolas" w:hAnsi="Consolas"/>
          <w:color w:val="1C2733"/>
          <w:sz w:val="18"/>
        </w:rPr>
        <w:t>Set-Location D:\satquery-ai</w:t>
        <w:br/>
        <w:t>$body = @{</w:t>
        <w:br/>
        <w:t xml:space="preserve">  caseId = "assam-flood"</w:t>
        <w:br/>
        <w:t xml:space="preserve">  query = "What changed, where, and which sensor supports it?"</w:t>
        <w:br/>
        <w:t xml:space="preserve">  files = Get-Item .\public\og.png</w:t>
        <w:br/>
        <w:t>}</w:t>
        <w:br/>
        <w:t>Invoke-RestMethod -Uri http://localhost:3000/api/analyse -Method Post -Form $body</w:t>
      </w:r>
    </w:p>
    <w:p>
      <w:pPr>
        <w:spacing w:after="120"/>
      </w:pPr>
      <w:r>
        <w:t>The response is JSON. Check task, confidence, inputSummary and trace first, then claim/where/magnitude/limit. A request with no files demonstrates a curated case; an upload exercises byte-level header inspection.</w:t>
      </w:r>
    </w:p>
    <w:p>
      <w:pPr>
        <w:pStyle w:val="Heading1"/>
      </w:pPr>
      <w:r>
        <w:t>6. Local development</w:t>
      </w:r>
    </w:p>
    <w:p>
      <w:pPr>
        <w:pStyle w:val="ListNumber"/>
      </w:pPr>
      <w:r>
        <w:t>Install Node.js 22 or newer and Git.</w:t>
      </w:r>
    </w:p>
    <w:p>
      <w:pPr>
        <w:pStyle w:val="ListNumber"/>
      </w:pPr>
      <w:r>
        <w:t>In PowerShell: Set-Location D:\satquery-ai</w:t>
      </w:r>
    </w:p>
    <w:p>
      <w:pPr>
        <w:pStyle w:val="ListNumber"/>
      </w:pPr>
      <w:r>
        <w:t>Install dependencies if needed: npm install</w:t>
      </w:r>
    </w:p>
    <w:p>
      <w:pPr>
        <w:pStyle w:val="ListNumber"/>
      </w:pPr>
      <w:r>
        <w:t>Start: npm run dev</w:t>
      </w:r>
    </w:p>
    <w:p>
      <w:pPr>
        <w:pStyle w:val="ListNumber"/>
      </w:pPr>
      <w:r>
        <w:t>Open http://localhost:3000</w:t>
      </w:r>
    </w:p>
    <w:p>
      <w:pPr>
        <w:pStyle w:val="ListNumber"/>
      </w:pPr>
      <w:r>
        <w:t>Before committing, run npm run lint and npm run build.</w:t>
      </w:r>
    </w:p>
    <w:p>
      <w:pPr>
        <w:pStyle w:val="Heading2"/>
      </w:pPr>
      <w:r>
        <w:t>Useful files</w:t>
      </w:r>
    </w:p>
    <w:tbl>
      <w:tblPr>
        <w:tblStyle w:val="TableGrid"/>
        <w:tblW w:type="auto" w:w="0"/>
        <w:jc w:val="center"/>
        <w:tblLayout w:type="fixed"/>
        <w:tblLook w:firstColumn="1" w:firstRow="1" w:lastColumn="0" w:lastRow="0" w:noHBand="0" w:noVBand="1" w:val="04A0"/>
      </w:tblPr>
      <w:tblGrid>
        <w:gridCol w:w="5040"/>
        <w:gridCol w:w="5040"/>
      </w:tblGrid>
      <w:tr>
        <w:tc>
          <w:tcPr>
            <w:tcW w:type="dxa" w:w="2800"/>
            <w:shd w:fill="E8EEF5"/>
            <w:tcMar>
              <w:top w:w="80" w:type="dxa"/>
              <w:start w:w="100" w:type="dxa"/>
              <w:bottom w:w="80" w:type="dxa"/>
              <w:end w:w="100" w:type="dxa"/>
            </w:tcMar>
          </w:tcPr>
          <w:p>
            <w:pPr>
              <w:spacing w:after="0"/>
            </w:pPr>
            <w:r>
              <w:rPr>
                <w:b/>
                <w:color w:val="1F4D78"/>
                <w:sz w:val="18"/>
              </w:rPr>
              <w:t>Path</w:t>
            </w:r>
          </w:p>
        </w:tc>
        <w:tc>
          <w:tcPr>
            <w:tcW w:type="dxa" w:w="6560"/>
            <w:shd w:fill="E8EEF5"/>
            <w:tcMar>
              <w:top w:w="80" w:type="dxa"/>
              <w:start w:w="100" w:type="dxa"/>
              <w:bottom w:w="80" w:type="dxa"/>
              <w:end w:w="100" w:type="dxa"/>
            </w:tcMar>
          </w:tcPr>
          <w:p>
            <w:pPr>
              <w:spacing w:after="0"/>
            </w:pPr>
            <w:r>
              <w:rPr>
                <w:b/>
                <w:color w:val="1F4D78"/>
                <w:sz w:val="18"/>
              </w:rPr>
              <w:t>Purpose</w:t>
            </w:r>
          </w:p>
        </w:tc>
      </w:tr>
      <w:tr>
        <w:tc>
          <w:tcPr>
            <w:tcW w:type="dxa" w:w="2800"/>
            <w:tcMar>
              <w:top w:w="80" w:type="dxa"/>
              <w:start w:w="100" w:type="dxa"/>
              <w:bottom w:w="80" w:type="dxa"/>
              <w:end w:w="100" w:type="dxa"/>
            </w:tcMar>
            <w:vAlign w:val="center"/>
          </w:tcPr>
          <w:p>
            <w:pPr>
              <w:spacing w:after="0" w:line="252" w:lineRule="auto"/>
            </w:pPr>
            <w:r>
              <w:rPr>
                <w:sz w:val="18"/>
              </w:rPr>
              <w:t>app/satquery-console.tsx</w:t>
            </w:r>
          </w:p>
        </w:tc>
        <w:tc>
          <w:tcPr>
            <w:tcW w:type="dxa" w:w="6560"/>
            <w:tcMar>
              <w:top w:w="80" w:type="dxa"/>
              <w:start w:w="100" w:type="dxa"/>
              <w:bottom w:w="80" w:type="dxa"/>
              <w:end w:w="100" w:type="dxa"/>
            </w:tcMar>
            <w:vAlign w:val="center"/>
          </w:tcPr>
          <w:p>
            <w:pPr>
              <w:spacing w:after="0" w:line="252" w:lineRule="auto"/>
            </w:pPr>
            <w:r>
              <w:rPr>
                <w:sz w:val="18"/>
              </w:rPr>
              <w:t>Client UI, cases, modes, upload handling, request submission and report download.</w:t>
            </w:r>
          </w:p>
        </w:tc>
      </w:tr>
      <w:tr>
        <w:tc>
          <w:tcPr>
            <w:tcW w:type="dxa" w:w="2800"/>
            <w:tcMar>
              <w:top w:w="80" w:type="dxa"/>
              <w:start w:w="100" w:type="dxa"/>
              <w:bottom w:w="80" w:type="dxa"/>
              <w:end w:w="100" w:type="dxa"/>
            </w:tcMar>
            <w:vAlign w:val="center"/>
          </w:tcPr>
          <w:p>
            <w:pPr>
              <w:spacing w:after="0" w:line="252" w:lineRule="auto"/>
            </w:pPr>
            <w:r>
              <w:rPr>
                <w:sz w:val="18"/>
              </w:rPr>
              <w:t>app/api/analyse/route.ts</w:t>
            </w:r>
          </w:p>
        </w:tc>
        <w:tc>
          <w:tcPr>
            <w:tcW w:type="dxa" w:w="6560"/>
            <w:tcMar>
              <w:top w:w="80" w:type="dxa"/>
              <w:start w:w="100" w:type="dxa"/>
              <w:bottom w:w="80" w:type="dxa"/>
              <w:end w:w="100" w:type="dxa"/>
            </w:tcMar>
            <w:vAlign w:val="center"/>
          </w:tcPr>
          <w:p>
            <w:pPr>
              <w:spacing w:after="0" w:line="252" w:lineRule="auto"/>
            </w:pPr>
            <w:r>
              <w:rPr>
                <w:sz w:val="18"/>
              </w:rPr>
              <w:t>Multipart API, raster parsers, task classifier and current representative contract.</w:t>
            </w:r>
          </w:p>
        </w:tc>
      </w:tr>
      <w:tr>
        <w:tc>
          <w:tcPr>
            <w:tcW w:type="dxa" w:w="2800"/>
            <w:tcMar>
              <w:top w:w="80" w:type="dxa"/>
              <w:start w:w="100" w:type="dxa"/>
              <w:bottom w:w="80" w:type="dxa"/>
              <w:end w:w="100" w:type="dxa"/>
            </w:tcMar>
            <w:vAlign w:val="center"/>
          </w:tcPr>
          <w:p>
            <w:pPr>
              <w:spacing w:after="0" w:line="252" w:lineRule="auto"/>
            </w:pPr>
            <w:r>
              <w:rPr>
                <w:sz w:val="18"/>
              </w:rPr>
              <w:t>app/globals.css</w:t>
            </w:r>
          </w:p>
        </w:tc>
        <w:tc>
          <w:tcPr>
            <w:tcW w:type="dxa" w:w="6560"/>
            <w:tcMar>
              <w:top w:w="80" w:type="dxa"/>
              <w:start w:w="100" w:type="dxa"/>
              <w:bottom w:w="80" w:type="dxa"/>
              <w:end w:w="100" w:type="dxa"/>
            </w:tcMar>
            <w:vAlign w:val="center"/>
          </w:tcPr>
          <w:p>
            <w:pPr>
              <w:spacing w:after="0" w:line="252" w:lineRule="auto"/>
            </w:pPr>
            <w:r>
              <w:rPr>
                <w:sz w:val="18"/>
              </w:rPr>
              <w:t>Brutalist control system, map presentation and modality overlays.</w:t>
            </w:r>
          </w:p>
        </w:tc>
      </w:tr>
      <w:tr>
        <w:tc>
          <w:tcPr>
            <w:tcW w:type="dxa" w:w="2800"/>
            <w:tcMar>
              <w:top w:w="80" w:type="dxa"/>
              <w:start w:w="100" w:type="dxa"/>
              <w:bottom w:w="80" w:type="dxa"/>
              <w:end w:w="100" w:type="dxa"/>
            </w:tcMar>
            <w:vAlign w:val="center"/>
          </w:tcPr>
          <w:p>
            <w:pPr>
              <w:spacing w:after="0" w:line="252" w:lineRule="auto"/>
            </w:pPr>
            <w:r>
              <w:rPr>
                <w:sz w:val="18"/>
              </w:rPr>
              <w:t>public/evidence-map.png</w:t>
            </w:r>
          </w:p>
        </w:tc>
        <w:tc>
          <w:tcPr>
            <w:tcW w:type="dxa" w:w="6560"/>
            <w:tcMar>
              <w:top w:w="80" w:type="dxa"/>
              <w:start w:w="100" w:type="dxa"/>
              <w:bottom w:w="80" w:type="dxa"/>
              <w:end w:w="100" w:type="dxa"/>
            </w:tcMar>
            <w:vAlign w:val="center"/>
          </w:tcPr>
          <w:p>
            <w:pPr>
              <w:spacing w:after="0" w:line="252" w:lineRule="auto"/>
            </w:pPr>
            <w:r>
              <w:rPr>
                <w:sz w:val="18"/>
              </w:rPr>
              <w:t>Full-colour satellite-style evidence basemap.</w:t>
            </w:r>
          </w:p>
        </w:tc>
      </w:tr>
      <w:tr>
        <w:tc>
          <w:tcPr>
            <w:tcW w:type="dxa" w:w="2800"/>
            <w:tcMar>
              <w:top w:w="80" w:type="dxa"/>
              <w:start w:w="100" w:type="dxa"/>
              <w:bottom w:w="80" w:type="dxa"/>
              <w:end w:w="100" w:type="dxa"/>
            </w:tcMar>
            <w:vAlign w:val="center"/>
          </w:tcPr>
          <w:p>
            <w:pPr>
              <w:spacing w:after="0" w:line="252" w:lineRule="auto"/>
            </w:pPr>
            <w:r>
              <w:rPr>
                <w:sz w:val="18"/>
              </w:rPr>
              <w:t>public/og.png</w:t>
            </w:r>
          </w:p>
        </w:tc>
        <w:tc>
          <w:tcPr>
            <w:tcW w:type="dxa" w:w="6560"/>
            <w:tcMar>
              <w:top w:w="80" w:type="dxa"/>
              <w:start w:w="100" w:type="dxa"/>
              <w:bottom w:w="80" w:type="dxa"/>
              <w:end w:w="100" w:type="dxa"/>
            </w:tcMar>
            <w:vAlign w:val="center"/>
          </w:tcPr>
          <w:p>
            <w:pPr>
              <w:spacing w:after="0" w:line="252" w:lineRule="auto"/>
            </w:pPr>
            <w:r>
              <w:rPr>
                <w:sz w:val="18"/>
              </w:rPr>
              <w:t>Social preview image.</w:t>
            </w:r>
          </w:p>
        </w:tc>
      </w:tr>
      <w:tr>
        <w:tc>
          <w:tcPr>
            <w:tcW w:type="dxa" w:w="2800"/>
            <w:tcMar>
              <w:top w:w="80" w:type="dxa"/>
              <w:start w:w="100" w:type="dxa"/>
              <w:bottom w:w="80" w:type="dxa"/>
              <w:end w:w="100" w:type="dxa"/>
            </w:tcMar>
            <w:vAlign w:val="center"/>
          </w:tcPr>
          <w:p>
            <w:pPr>
              <w:spacing w:after="0" w:line="252" w:lineRule="auto"/>
            </w:pPr>
            <w:r>
              <w:rPr>
                <w:sz w:val="18"/>
              </w:rPr>
              <w:t>app/layout.tsx</w:t>
            </w:r>
          </w:p>
        </w:tc>
        <w:tc>
          <w:tcPr>
            <w:tcW w:type="dxa" w:w="6560"/>
            <w:tcMar>
              <w:top w:w="80" w:type="dxa"/>
              <w:start w:w="100" w:type="dxa"/>
              <w:bottom w:w="80" w:type="dxa"/>
              <w:end w:w="100" w:type="dxa"/>
            </w:tcMar>
            <w:vAlign w:val="center"/>
          </w:tcPr>
          <w:p>
            <w:pPr>
              <w:spacing w:after="0" w:line="252" w:lineRule="auto"/>
            </w:pPr>
            <w:r>
              <w:rPr>
                <w:sz w:val="18"/>
              </w:rPr>
              <w:t>Document metadata and social-card references.</w:t>
            </w:r>
          </w:p>
        </w:tc>
      </w:tr>
      <w:tr>
        <w:tc>
          <w:tcPr>
            <w:tcW w:type="dxa" w:w="2800"/>
            <w:tcMar>
              <w:top w:w="80" w:type="dxa"/>
              <w:start w:w="100" w:type="dxa"/>
              <w:bottom w:w="80" w:type="dxa"/>
              <w:end w:w="100" w:type="dxa"/>
            </w:tcMar>
            <w:vAlign w:val="center"/>
          </w:tcPr>
          <w:p>
            <w:pPr>
              <w:spacing w:after="0" w:line="252" w:lineRule="auto"/>
            </w:pPr>
            <w:r>
              <w:rPr>
                <w:sz w:val="18"/>
              </w:rPr>
              <w:t>.openai/hosting.json</w:t>
            </w:r>
          </w:p>
        </w:tc>
        <w:tc>
          <w:tcPr>
            <w:tcW w:type="dxa" w:w="6560"/>
            <w:tcMar>
              <w:top w:w="80" w:type="dxa"/>
              <w:start w:w="100" w:type="dxa"/>
              <w:bottom w:w="80" w:type="dxa"/>
              <w:end w:w="100" w:type="dxa"/>
            </w:tcMar>
            <w:vAlign w:val="center"/>
          </w:tcPr>
          <w:p>
            <w:pPr>
              <w:spacing w:after="0" w:line="252" w:lineRule="auto"/>
            </w:pPr>
            <w:r>
              <w:rPr>
                <w:sz w:val="18"/>
              </w:rPr>
              <w:t>Sites project configuration.</w:t>
            </w:r>
          </w:p>
        </w:tc>
      </w:tr>
    </w:tbl>
    <w:p>
      <w:pPr>
        <w:pStyle w:val="Heading1"/>
      </w:pPr>
      <w:r>
        <w:t>7. API contract</w:t>
      </w:r>
    </w:p>
    <w:p>
      <w:pPr>
        <w:pStyle w:val="Heading2"/>
      </w:pPr>
      <w:r>
        <w:t>Request</w:t>
      </w:r>
    </w:p>
    <w:p>
      <w:pPr>
        <w:spacing w:after="120"/>
      </w:pPr>
      <w:r>
        <w:t>POST /api/analyse with multipart/form-data. Fields: caseId (optional), query (required, at least five characters), and zero to two files under files. Accepted extensions are .tif/.tiff/.png/.jpg/.jpeg; the prototype rejects files over 50 MB.</w:t>
      </w:r>
    </w:p>
    <w:p>
      <w:pPr>
        <w:pStyle w:val="Heading2"/>
      </w:pPr>
      <w:r>
        <w:t>Response fields</w:t>
      </w:r>
    </w:p>
    <w:tbl>
      <w:tblPr>
        <w:tblStyle w:val="TableGrid"/>
        <w:tblW w:type="auto" w:w="0"/>
        <w:jc w:val="center"/>
        <w:tblLayout w:type="fixed"/>
        <w:tblLook w:firstColumn="1" w:firstRow="1" w:lastColumn="0" w:lastRow="0" w:noHBand="0" w:noVBand="1" w:val="04A0"/>
      </w:tblPr>
      <w:tblGrid>
        <w:gridCol w:w="5040"/>
        <w:gridCol w:w="5040"/>
      </w:tblGrid>
      <w:tr>
        <w:tc>
          <w:tcPr>
            <w:tcW w:type="dxa" w:w="2300"/>
            <w:shd w:fill="E8EEF5"/>
            <w:tcMar>
              <w:top w:w="80" w:type="dxa"/>
              <w:start w:w="100" w:type="dxa"/>
              <w:bottom w:w="80" w:type="dxa"/>
              <w:end w:w="100" w:type="dxa"/>
            </w:tcMar>
          </w:tcPr>
          <w:p>
            <w:pPr>
              <w:spacing w:after="0"/>
            </w:pPr>
            <w:r>
              <w:rPr>
                <w:b/>
                <w:color w:val="1F4D78"/>
                <w:sz w:val="18"/>
              </w:rPr>
              <w:t>Field</w:t>
            </w:r>
          </w:p>
        </w:tc>
        <w:tc>
          <w:tcPr>
            <w:tcW w:type="dxa" w:w="7060"/>
            <w:shd w:fill="E8EEF5"/>
            <w:tcMar>
              <w:top w:w="80" w:type="dxa"/>
              <w:start w:w="100" w:type="dxa"/>
              <w:bottom w:w="80" w:type="dxa"/>
              <w:end w:w="100" w:type="dxa"/>
            </w:tcMar>
          </w:tcPr>
          <w:p>
            <w:pPr>
              <w:spacing w:after="0"/>
            </w:pPr>
            <w:r>
              <w:rPr>
                <w:b/>
                <w:color w:val="1F4D78"/>
                <w:sz w:val="18"/>
              </w:rPr>
              <w:t>Meaning</w:t>
            </w:r>
          </w:p>
        </w:tc>
      </w:tr>
      <w:tr>
        <w:tc>
          <w:tcPr>
            <w:tcW w:type="dxa" w:w="2300"/>
            <w:tcMar>
              <w:top w:w="80" w:type="dxa"/>
              <w:start w:w="100" w:type="dxa"/>
              <w:bottom w:w="80" w:type="dxa"/>
              <w:end w:w="100" w:type="dxa"/>
            </w:tcMar>
            <w:vAlign w:val="center"/>
          </w:tcPr>
          <w:p>
            <w:pPr>
              <w:spacing w:after="0" w:line="252" w:lineRule="auto"/>
            </w:pPr>
            <w:r>
              <w:rPr>
                <w:sz w:val="18"/>
              </w:rPr>
              <w:t>task</w:t>
            </w:r>
          </w:p>
        </w:tc>
        <w:tc>
          <w:tcPr>
            <w:tcW w:type="dxa" w:w="7060"/>
            <w:tcMar>
              <w:top w:w="80" w:type="dxa"/>
              <w:start w:w="100" w:type="dxa"/>
              <w:bottom w:w="80" w:type="dxa"/>
              <w:end w:w="100" w:type="dxa"/>
            </w:tcMar>
            <w:vAlign w:val="center"/>
          </w:tcPr>
          <w:p>
            <w:pPr>
              <w:spacing w:after="0" w:line="252" w:lineRule="auto"/>
            </w:pPr>
            <w:r>
              <w:rPr>
                <w:sz w:val="18"/>
              </w:rPr>
              <w:t>Selected specialist workflow identifier.</w:t>
            </w:r>
          </w:p>
        </w:tc>
      </w:tr>
      <w:tr>
        <w:tc>
          <w:tcPr>
            <w:tcW w:type="dxa" w:w="2300"/>
            <w:tcMar>
              <w:top w:w="80" w:type="dxa"/>
              <w:start w:w="100" w:type="dxa"/>
              <w:bottom w:w="80" w:type="dxa"/>
              <w:end w:w="100" w:type="dxa"/>
            </w:tcMar>
            <w:vAlign w:val="center"/>
          </w:tcPr>
          <w:p>
            <w:pPr>
              <w:spacing w:after="0" w:line="252" w:lineRule="auto"/>
            </w:pPr>
            <w:r>
              <w:rPr>
                <w:sz w:val="18"/>
              </w:rPr>
              <w:t>claim</w:t>
            </w:r>
          </w:p>
        </w:tc>
        <w:tc>
          <w:tcPr>
            <w:tcW w:type="dxa" w:w="7060"/>
            <w:tcMar>
              <w:top w:w="80" w:type="dxa"/>
              <w:start w:w="100" w:type="dxa"/>
              <w:bottom w:w="80" w:type="dxa"/>
              <w:end w:w="100" w:type="dxa"/>
            </w:tcMar>
            <w:vAlign w:val="center"/>
          </w:tcPr>
          <w:p>
            <w:pPr>
              <w:spacing w:after="0" w:line="252" w:lineRule="auto"/>
            </w:pPr>
            <w:r>
              <w:rPr>
                <w:sz w:val="18"/>
              </w:rPr>
              <w:t>Plain-language conclusion released by the evidence builder.</w:t>
            </w:r>
          </w:p>
        </w:tc>
      </w:tr>
      <w:tr>
        <w:tc>
          <w:tcPr>
            <w:tcW w:type="dxa" w:w="2300"/>
            <w:tcMar>
              <w:top w:w="80" w:type="dxa"/>
              <w:start w:w="100" w:type="dxa"/>
              <w:bottom w:w="80" w:type="dxa"/>
              <w:end w:w="100" w:type="dxa"/>
            </w:tcMar>
            <w:vAlign w:val="center"/>
          </w:tcPr>
          <w:p>
            <w:pPr>
              <w:spacing w:after="0" w:line="252" w:lineRule="auto"/>
            </w:pPr>
            <w:r>
              <w:rPr>
                <w:sz w:val="18"/>
              </w:rPr>
              <w:t>where</w:t>
            </w:r>
          </w:p>
        </w:tc>
        <w:tc>
          <w:tcPr>
            <w:tcW w:type="dxa" w:w="7060"/>
            <w:tcMar>
              <w:top w:w="80" w:type="dxa"/>
              <w:start w:w="100" w:type="dxa"/>
              <w:bottom w:w="80" w:type="dxa"/>
              <w:end w:w="100" w:type="dxa"/>
            </w:tcMar>
            <w:vAlign w:val="center"/>
          </w:tcPr>
          <w:p>
            <w:pPr>
              <w:spacing w:after="0" w:line="252" w:lineRule="auto"/>
            </w:pPr>
            <w:r>
              <w:rPr>
                <w:sz w:val="18"/>
              </w:rPr>
              <w:t>Named or spatially grounded area associated with the claim.</w:t>
            </w:r>
          </w:p>
        </w:tc>
      </w:tr>
      <w:tr>
        <w:tc>
          <w:tcPr>
            <w:tcW w:type="dxa" w:w="2300"/>
            <w:tcMar>
              <w:top w:w="80" w:type="dxa"/>
              <w:start w:w="100" w:type="dxa"/>
              <w:bottom w:w="80" w:type="dxa"/>
              <w:end w:w="100" w:type="dxa"/>
            </w:tcMar>
            <w:vAlign w:val="center"/>
          </w:tcPr>
          <w:p>
            <w:pPr>
              <w:spacing w:after="0" w:line="252" w:lineRule="auto"/>
            </w:pPr>
            <w:r>
              <w:rPr>
                <w:sz w:val="18"/>
              </w:rPr>
              <w:t>magnitude</w:t>
            </w:r>
          </w:p>
        </w:tc>
        <w:tc>
          <w:tcPr>
            <w:tcW w:type="dxa" w:w="7060"/>
            <w:tcMar>
              <w:top w:w="80" w:type="dxa"/>
              <w:start w:w="100" w:type="dxa"/>
              <w:bottom w:w="80" w:type="dxa"/>
              <w:end w:w="100" w:type="dxa"/>
            </w:tcMar>
            <w:vAlign w:val="center"/>
          </w:tcPr>
          <w:p>
            <w:pPr>
              <w:spacing w:after="0" w:line="252" w:lineRule="auto"/>
            </w:pPr>
            <w:r>
              <w:rPr>
                <w:sz w:val="18"/>
              </w:rPr>
              <w:t>Estimated area/quantity and uncertainty.</w:t>
            </w:r>
          </w:p>
        </w:tc>
      </w:tr>
      <w:tr>
        <w:tc>
          <w:tcPr>
            <w:tcW w:type="dxa" w:w="2300"/>
            <w:tcMar>
              <w:top w:w="80" w:type="dxa"/>
              <w:start w:w="100" w:type="dxa"/>
              <w:bottom w:w="80" w:type="dxa"/>
              <w:end w:w="100" w:type="dxa"/>
            </w:tcMar>
            <w:vAlign w:val="center"/>
          </w:tcPr>
          <w:p>
            <w:pPr>
              <w:spacing w:after="0" w:line="252" w:lineRule="auto"/>
            </w:pPr>
            <w:r>
              <w:rPr>
                <w:sz w:val="18"/>
              </w:rPr>
              <w:t>sensorCase</w:t>
            </w:r>
          </w:p>
        </w:tc>
        <w:tc>
          <w:tcPr>
            <w:tcW w:type="dxa" w:w="7060"/>
            <w:tcMar>
              <w:top w:w="80" w:type="dxa"/>
              <w:start w:w="100" w:type="dxa"/>
              <w:bottom w:w="80" w:type="dxa"/>
              <w:end w:w="100" w:type="dxa"/>
            </w:tcMar>
            <w:vAlign w:val="center"/>
          </w:tcPr>
          <w:p>
            <w:pPr>
              <w:spacing w:after="0" w:line="252" w:lineRule="auto"/>
            </w:pPr>
            <w:r>
              <w:rPr>
                <w:sz w:val="18"/>
              </w:rPr>
              <w:t>Per-sensor support or disagreement summary.</w:t>
            </w:r>
          </w:p>
        </w:tc>
      </w:tr>
      <w:tr>
        <w:tc>
          <w:tcPr>
            <w:tcW w:type="dxa" w:w="2300"/>
            <w:tcMar>
              <w:top w:w="80" w:type="dxa"/>
              <w:start w:w="100" w:type="dxa"/>
              <w:bottom w:w="80" w:type="dxa"/>
              <w:end w:w="100" w:type="dxa"/>
            </w:tcMar>
            <w:vAlign w:val="center"/>
          </w:tcPr>
          <w:p>
            <w:pPr>
              <w:spacing w:after="0" w:line="252" w:lineRule="auto"/>
            </w:pPr>
            <w:r>
              <w:rPr>
                <w:sz w:val="18"/>
              </w:rPr>
              <w:t>limit</w:t>
            </w:r>
          </w:p>
        </w:tc>
        <w:tc>
          <w:tcPr>
            <w:tcW w:type="dxa" w:w="7060"/>
            <w:tcMar>
              <w:top w:w="80" w:type="dxa"/>
              <w:start w:w="100" w:type="dxa"/>
              <w:bottom w:w="80" w:type="dxa"/>
              <w:end w:w="100" w:type="dxa"/>
            </w:tcMar>
            <w:vAlign w:val="center"/>
          </w:tcPr>
          <w:p>
            <w:pPr>
              <w:spacing w:after="0" w:line="252" w:lineRule="auto"/>
            </w:pPr>
            <w:r>
              <w:rPr>
                <w:sz w:val="18"/>
              </w:rPr>
              <w:t>Known limitation and recommended next observation.</w:t>
            </w:r>
          </w:p>
        </w:tc>
      </w:tr>
      <w:tr>
        <w:tc>
          <w:tcPr>
            <w:tcW w:type="dxa" w:w="2300"/>
            <w:tcMar>
              <w:top w:w="80" w:type="dxa"/>
              <w:start w:w="100" w:type="dxa"/>
              <w:bottom w:w="80" w:type="dxa"/>
              <w:end w:w="100" w:type="dxa"/>
            </w:tcMar>
            <w:vAlign w:val="center"/>
          </w:tcPr>
          <w:p>
            <w:pPr>
              <w:spacing w:after="0" w:line="252" w:lineRule="auto"/>
            </w:pPr>
            <w:r>
              <w:rPr>
                <w:sz w:val="18"/>
              </w:rPr>
              <w:t>confidence / decision</w:t>
            </w:r>
          </w:p>
        </w:tc>
        <w:tc>
          <w:tcPr>
            <w:tcW w:type="dxa" w:w="7060"/>
            <w:tcMar>
              <w:top w:w="80" w:type="dxa"/>
              <w:start w:w="100" w:type="dxa"/>
              <w:bottom w:w="80" w:type="dxa"/>
              <w:end w:w="100" w:type="dxa"/>
            </w:tcMar>
            <w:vAlign w:val="center"/>
          </w:tcPr>
          <w:p>
            <w:pPr>
              <w:spacing w:after="0" w:line="252" w:lineRule="auto"/>
            </w:pPr>
            <w:r>
              <w:rPr>
                <w:sz w:val="18"/>
              </w:rPr>
              <w:t>Calibrated score and operational release state.</w:t>
            </w:r>
          </w:p>
        </w:tc>
      </w:tr>
      <w:tr>
        <w:tc>
          <w:tcPr>
            <w:tcW w:type="dxa" w:w="2300"/>
            <w:tcMar>
              <w:top w:w="80" w:type="dxa"/>
              <w:start w:w="100" w:type="dxa"/>
              <w:bottom w:w="80" w:type="dxa"/>
              <w:end w:w="100" w:type="dxa"/>
            </w:tcMar>
            <w:vAlign w:val="center"/>
          </w:tcPr>
          <w:p>
            <w:pPr>
              <w:spacing w:after="0" w:line="252" w:lineRule="auto"/>
            </w:pPr>
            <w:r>
              <w:rPr>
                <w:sz w:val="18"/>
              </w:rPr>
              <w:t>inputSummary</w:t>
            </w:r>
          </w:p>
        </w:tc>
        <w:tc>
          <w:tcPr>
            <w:tcW w:type="dxa" w:w="7060"/>
            <w:tcMar>
              <w:top w:w="80" w:type="dxa"/>
              <w:start w:w="100" w:type="dxa"/>
              <w:bottom w:w="80" w:type="dxa"/>
              <w:end w:w="100" w:type="dxa"/>
            </w:tcMar>
            <w:vAlign w:val="center"/>
          </w:tcPr>
          <w:p>
            <w:pPr>
              <w:spacing w:after="0" w:line="252" w:lineRule="auto"/>
            </w:pPr>
            <w:r>
              <w:rPr>
                <w:sz w:val="18"/>
              </w:rPr>
              <w:t>File name, format, bytes, dimensions/bands and status.</w:t>
            </w:r>
          </w:p>
        </w:tc>
      </w:tr>
      <w:tr>
        <w:tc>
          <w:tcPr>
            <w:tcW w:type="dxa" w:w="2300"/>
            <w:tcMar>
              <w:top w:w="80" w:type="dxa"/>
              <w:start w:w="100" w:type="dxa"/>
              <w:bottom w:w="80" w:type="dxa"/>
              <w:end w:w="100" w:type="dxa"/>
            </w:tcMar>
            <w:vAlign w:val="center"/>
          </w:tcPr>
          <w:p>
            <w:pPr>
              <w:spacing w:after="0" w:line="252" w:lineRule="auto"/>
            </w:pPr>
            <w:r>
              <w:rPr>
                <w:sz w:val="18"/>
              </w:rPr>
              <w:t>trace</w:t>
            </w:r>
          </w:p>
        </w:tc>
        <w:tc>
          <w:tcPr>
            <w:tcW w:type="dxa" w:w="7060"/>
            <w:tcMar>
              <w:top w:w="80" w:type="dxa"/>
              <w:start w:w="100" w:type="dxa"/>
              <w:bottom w:w="80" w:type="dxa"/>
              <w:end w:w="100" w:type="dxa"/>
            </w:tcMar>
            <w:vAlign w:val="center"/>
          </w:tcPr>
          <w:p>
            <w:pPr>
              <w:spacing w:after="0" w:line="252" w:lineRule="auto"/>
            </w:pPr>
            <w:r>
              <w:rPr>
                <w:sz w:val="18"/>
              </w:rPr>
              <w:t>Ordered step/tool/status rows making orchestration auditable.</w:t>
            </w:r>
          </w:p>
        </w:tc>
      </w:tr>
    </w:tbl>
    <w:p>
      <w:pPr>
        <w:pStyle w:val="Heading2"/>
      </w:pPr>
      <w:r>
        <w:t>Error semantics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200"/>
            <w:shd w:fill="E8EEF5"/>
            <w:tcMar>
              <w:top w:w="80" w:type="dxa"/>
              <w:start w:w="100" w:type="dxa"/>
              <w:bottom w:w="80" w:type="dxa"/>
              <w:end w:w="100" w:type="dxa"/>
            </w:tcMar>
          </w:tcPr>
          <w:p>
            <w:pPr>
              <w:spacing w:after="0"/>
            </w:pPr>
            <w:r>
              <w:rPr>
                <w:b/>
                <w:color w:val="1F4D78"/>
                <w:sz w:val="18"/>
              </w:rPr>
              <w:t>HTTP</w:t>
            </w:r>
          </w:p>
        </w:tc>
        <w:tc>
          <w:tcPr>
            <w:tcW w:type="dxa" w:w="4200"/>
            <w:shd w:fill="E8EEF5"/>
            <w:tcMar>
              <w:top w:w="80" w:type="dxa"/>
              <w:start w:w="100" w:type="dxa"/>
              <w:bottom w:w="80" w:type="dxa"/>
              <w:end w:w="100" w:type="dxa"/>
            </w:tcMar>
          </w:tcPr>
          <w:p>
            <w:pPr>
              <w:spacing w:after="0"/>
            </w:pPr>
            <w:r>
              <w:rPr>
                <w:b/>
                <w:color w:val="1F4D78"/>
                <w:sz w:val="18"/>
              </w:rPr>
              <w:t>Condition</w:t>
            </w:r>
          </w:p>
        </w:tc>
        <w:tc>
          <w:tcPr>
            <w:tcW w:type="dxa" w:w="3960"/>
            <w:shd w:fill="E8EEF5"/>
            <w:tcMar>
              <w:top w:w="80" w:type="dxa"/>
              <w:start w:w="100" w:type="dxa"/>
              <w:bottom w:w="80" w:type="dxa"/>
              <w:end w:w="100" w:type="dxa"/>
            </w:tcMar>
          </w:tcPr>
          <w:p>
            <w:pPr>
              <w:spacing w:after="0"/>
            </w:pPr>
            <w:r>
              <w:rPr>
                <w:b/>
                <w:color w:val="1F4D78"/>
                <w:sz w:val="18"/>
              </w:rPr>
              <w:t>Action</w:t>
            </w:r>
          </w:p>
        </w:tc>
      </w:tr>
      <w:tr>
        <w:tc>
          <w:tcPr>
            <w:tcW w:type="dxa" w:w="1200"/>
            <w:tcMar>
              <w:top w:w="80" w:type="dxa"/>
              <w:start w:w="100" w:type="dxa"/>
              <w:bottom w:w="80" w:type="dxa"/>
              <w:end w:w="100" w:type="dxa"/>
            </w:tcMar>
            <w:vAlign w:val="center"/>
          </w:tcPr>
          <w:p>
            <w:pPr>
              <w:spacing w:after="0" w:line="252" w:lineRule="auto"/>
            </w:pPr>
            <w:r>
              <w:rPr>
                <w:sz w:val="18"/>
              </w:rPr>
              <w:t>400</w:t>
            </w:r>
          </w:p>
        </w:tc>
        <w:tc>
          <w:tcPr>
            <w:tcW w:type="dxa" w:w="4200"/>
            <w:tcMar>
              <w:top w:w="80" w:type="dxa"/>
              <w:start w:w="100" w:type="dxa"/>
              <w:bottom w:w="80" w:type="dxa"/>
              <w:end w:w="100" w:type="dxa"/>
            </w:tcMar>
            <w:vAlign w:val="center"/>
          </w:tcPr>
          <w:p>
            <w:pPr>
              <w:spacing w:after="0" w:line="252" w:lineRule="auto"/>
            </w:pPr>
            <w:r>
              <w:rPr>
                <w:sz w:val="18"/>
              </w:rPr>
              <w:t>Body is not multipart form data.</w:t>
            </w:r>
          </w:p>
        </w:tc>
        <w:tc>
          <w:tcPr>
            <w:tcW w:type="dxa" w:w="3960"/>
            <w:tcMar>
              <w:top w:w="80" w:type="dxa"/>
              <w:start w:w="100" w:type="dxa"/>
              <w:bottom w:w="80" w:type="dxa"/>
              <w:end w:w="100" w:type="dxa"/>
            </w:tcMar>
            <w:vAlign w:val="center"/>
          </w:tcPr>
          <w:p>
            <w:pPr>
              <w:spacing w:after="0" w:line="252" w:lineRule="auto"/>
            </w:pPr>
            <w:r>
              <w:rPr>
                <w:sz w:val="18"/>
              </w:rPr>
              <w:t>Send FormData; do not JSON-encode file upload.</w:t>
            </w:r>
          </w:p>
        </w:tc>
      </w:tr>
      <w:tr>
        <w:tc>
          <w:tcPr>
            <w:tcW w:type="dxa" w:w="1200"/>
            <w:tcMar>
              <w:top w:w="80" w:type="dxa"/>
              <w:start w:w="100" w:type="dxa"/>
              <w:bottom w:w="80" w:type="dxa"/>
              <w:end w:w="100" w:type="dxa"/>
            </w:tcMar>
            <w:vAlign w:val="center"/>
          </w:tcPr>
          <w:p>
            <w:pPr>
              <w:spacing w:after="0" w:line="252" w:lineRule="auto"/>
            </w:pPr>
            <w:r>
              <w:rPr>
                <w:sz w:val="18"/>
              </w:rPr>
              <w:t>415</w:t>
            </w:r>
          </w:p>
        </w:tc>
        <w:tc>
          <w:tcPr>
            <w:tcW w:type="dxa" w:w="4200"/>
            <w:tcMar>
              <w:top w:w="80" w:type="dxa"/>
              <w:start w:w="100" w:type="dxa"/>
              <w:bottom w:w="80" w:type="dxa"/>
              <w:end w:w="100" w:type="dxa"/>
            </w:tcMar>
            <w:vAlign w:val="center"/>
          </w:tcPr>
          <w:p>
            <w:pPr>
              <w:spacing w:after="0" w:line="252" w:lineRule="auto"/>
            </w:pPr>
            <w:r>
              <w:rPr>
                <w:sz w:val="18"/>
              </w:rPr>
              <w:t>Unsupported extension, invalid signature or oversized file.</w:t>
            </w:r>
          </w:p>
        </w:tc>
        <w:tc>
          <w:tcPr>
            <w:tcW w:type="dxa" w:w="3960"/>
            <w:tcMar>
              <w:top w:w="80" w:type="dxa"/>
              <w:start w:w="100" w:type="dxa"/>
              <w:bottom w:w="80" w:type="dxa"/>
              <w:end w:w="100" w:type="dxa"/>
            </w:tcMar>
            <w:vAlign w:val="center"/>
          </w:tcPr>
          <w:p>
            <w:pPr>
              <w:spacing w:after="0" w:line="252" w:lineRule="auto"/>
            </w:pPr>
            <w:r>
              <w:rPr>
                <w:sz w:val="18"/>
              </w:rPr>
              <w:t>Use a real GeoTIFF/TIFF/PNG/JPEG under 50 MB.</w:t>
            </w:r>
          </w:p>
        </w:tc>
      </w:tr>
      <w:tr>
        <w:tc>
          <w:tcPr>
            <w:tcW w:type="dxa" w:w="1200"/>
            <w:tcMar>
              <w:top w:w="80" w:type="dxa"/>
              <w:start w:w="100" w:type="dxa"/>
              <w:bottom w:w="80" w:type="dxa"/>
              <w:end w:w="100" w:type="dxa"/>
            </w:tcMar>
            <w:vAlign w:val="center"/>
          </w:tcPr>
          <w:p>
            <w:pPr>
              <w:spacing w:after="0" w:line="252" w:lineRule="auto"/>
            </w:pPr>
            <w:r>
              <w:rPr>
                <w:sz w:val="18"/>
              </w:rPr>
              <w:t>422</w:t>
            </w:r>
          </w:p>
        </w:tc>
        <w:tc>
          <w:tcPr>
            <w:tcW w:type="dxa" w:w="4200"/>
            <w:tcMar>
              <w:top w:w="80" w:type="dxa"/>
              <w:start w:w="100" w:type="dxa"/>
              <w:bottom w:w="80" w:type="dxa"/>
              <w:end w:w="100" w:type="dxa"/>
            </w:tcMar>
            <w:vAlign w:val="center"/>
          </w:tcPr>
          <w:p>
            <w:pPr>
              <w:spacing w:after="0" w:line="252" w:lineRule="auto"/>
            </w:pPr>
            <w:r>
              <w:rPr>
                <w:sz w:val="18"/>
              </w:rPr>
              <w:t>Question missing or too vague.</w:t>
            </w:r>
          </w:p>
        </w:tc>
        <w:tc>
          <w:tcPr>
            <w:tcW w:type="dxa" w:w="3960"/>
            <w:tcMar>
              <w:top w:w="80" w:type="dxa"/>
              <w:start w:w="100" w:type="dxa"/>
              <w:bottom w:w="80" w:type="dxa"/>
              <w:end w:w="100" w:type="dxa"/>
            </w:tcMar>
            <w:vAlign w:val="center"/>
          </w:tcPr>
          <w:p>
            <w:pPr>
              <w:spacing w:after="0" w:line="252" w:lineRule="auto"/>
            </w:pPr>
            <w:r>
              <w:rPr>
                <w:sz w:val="18"/>
              </w:rPr>
              <w:t>Write a concrete question of at least five characters.</w:t>
            </w:r>
          </w:p>
        </w:tc>
      </w:tr>
    </w:tbl>
    <w:p>
      <w:pPr>
        <w:pStyle w:val="Heading1"/>
      </w:pPr>
      <w:r>
        <w:t>8. Scientific design for production</w:t>
      </w:r>
    </w:p>
    <w:p>
      <w:pPr>
        <w:spacing w:after="120"/>
      </w:pPr>
      <w:r>
        <w:t>Retain the current contract while replacing representative outputs with measured models. Model selection should be a constrained classification problem, not an invitation for an LLM to invent tools or parameters.</w:t>
      </w:r>
    </w:p>
    <w:p>
      <w:pPr>
        <w:pStyle w:val="Heading2"/>
      </w:pPr>
      <w:r>
        <w:t>Adaptation and registry</w:t>
      </w:r>
    </w:p>
    <w:p>
      <w:pPr>
        <w:pStyle w:val="ListBullet"/>
      </w:pPr>
      <w:r>
        <w:t>Use BigEarthNet.txt to adapt a dual-encoder or encoder–decoder image–text representation across Sentinel-1 SAR, Sentinel-2 multispectral imagery and text. Preserve sensor tokens and acquisition metadata.</w:t>
      </w:r>
    </w:p>
    <w:p>
      <w:pPr>
        <w:pStyle w:val="ListBullet"/>
      </w:pPr>
      <w:r>
        <w:t>Register models with task, modality, required image count, alignment requirement, supported bands, version, checksum, calibration set and permitted parameters.</w:t>
      </w:r>
    </w:p>
    <w:p>
      <w:pPr>
        <w:pStyle w:val="ListBullet"/>
      </w:pPr>
      <w:r>
        <w:t>Keep frozen validation slices per task for calibration. A high raw logit is not an operational confidence score.</w:t>
      </w:r>
    </w:p>
    <w:p>
      <w:pPr>
        <w:pStyle w:val="Heading2"/>
      </w:pPr>
      <w:r>
        <w:t>Fusion, change and grounding</w:t>
      </w:r>
    </w:p>
    <w:p>
      <w:pPr>
        <w:spacing w:after="120"/>
      </w:pPr>
      <w:r>
        <w:t>For optical–SAR pairs, align grids and footprints first, then encode each modality separately. Fuse only after recording per-modality evidence. A disagreement head should detect cloud, layover, shadow, speckle and registration errors. For bi-temporal reasoning, predict change probability, direction and semantic description; expose a mask only after registration, morphology and confidence gates. For grounding, return boxes/polygons and, for GeoTIFF, convert them to the source CRS. Store geometry, CRS and score in the report.</w:t>
      </w:r>
    </w:p>
    <w:p>
      <w:pPr>
        <w:pStyle w:val="Heading1"/>
      </w:pPr>
      <w:r>
        <w:t>9. Roadmap from prototype to startup</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900"/>
            <w:shd w:fill="E8EEF5"/>
            <w:tcMar>
              <w:top w:w="80" w:type="dxa"/>
              <w:start w:w="100" w:type="dxa"/>
              <w:bottom w:w="80" w:type="dxa"/>
              <w:end w:w="100" w:type="dxa"/>
            </w:tcMar>
          </w:tcPr>
          <w:p>
            <w:pPr>
              <w:spacing w:after="0"/>
            </w:pPr>
            <w:r>
              <w:rPr>
                <w:b/>
                <w:color w:val="1F4D78"/>
                <w:sz w:val="18"/>
              </w:rPr>
              <w:t>Phase</w:t>
            </w:r>
          </w:p>
        </w:tc>
        <w:tc>
          <w:tcPr>
            <w:tcW w:type="dxa" w:w="5000"/>
            <w:shd w:fill="E8EEF5"/>
            <w:tcMar>
              <w:top w:w="80" w:type="dxa"/>
              <w:start w:w="100" w:type="dxa"/>
              <w:bottom w:w="80" w:type="dxa"/>
              <w:end w:w="100" w:type="dxa"/>
            </w:tcMar>
          </w:tcPr>
          <w:p>
            <w:pPr>
              <w:spacing w:after="0"/>
            </w:pPr>
            <w:r>
              <w:rPr>
                <w:b/>
                <w:color w:val="1F4D78"/>
                <w:sz w:val="18"/>
              </w:rPr>
              <w:t>Build</w:t>
            </w:r>
          </w:p>
        </w:tc>
        <w:tc>
          <w:tcPr>
            <w:tcW w:type="dxa" w:w="2960"/>
            <w:shd w:fill="E8EEF5"/>
            <w:tcMar>
              <w:top w:w="80" w:type="dxa"/>
              <w:start w:w="100" w:type="dxa"/>
              <w:bottom w:w="80" w:type="dxa"/>
              <w:end w:w="100" w:type="dxa"/>
            </w:tcMar>
          </w:tcPr>
          <w:p>
            <w:pPr>
              <w:spacing w:after="0"/>
            </w:pPr>
            <w:r>
              <w:rPr>
                <w:b/>
                <w:color w:val="1F4D78"/>
                <w:sz w:val="18"/>
              </w:rPr>
              <w:t>Exit criteria</w:t>
            </w:r>
          </w:p>
        </w:tc>
      </w:tr>
      <w:tr>
        <w:tc>
          <w:tcPr>
            <w:tcW w:type="dxa" w:w="1900"/>
            <w:tcMar>
              <w:top w:w="80" w:type="dxa"/>
              <w:start w:w="100" w:type="dxa"/>
              <w:bottom w:w="80" w:type="dxa"/>
              <w:end w:w="100" w:type="dxa"/>
            </w:tcMar>
            <w:vAlign w:val="center"/>
          </w:tcPr>
          <w:p>
            <w:pPr>
              <w:spacing w:after="0" w:line="252" w:lineRule="auto"/>
            </w:pPr>
            <w:r>
              <w:rPr>
                <w:sz w:val="18"/>
              </w:rPr>
              <w:t>0 / Demo hardening</w:t>
            </w:r>
          </w:p>
        </w:tc>
        <w:tc>
          <w:tcPr>
            <w:tcW w:type="dxa" w:w="5000"/>
            <w:tcMar>
              <w:top w:w="80" w:type="dxa"/>
              <w:start w:w="100" w:type="dxa"/>
              <w:bottom w:w="80" w:type="dxa"/>
              <w:end w:w="100" w:type="dxa"/>
            </w:tcMar>
            <w:vAlign w:val="center"/>
          </w:tcPr>
          <w:p>
            <w:pPr>
              <w:spacing w:after="0" w:line="252" w:lineRule="auto"/>
            </w:pPr>
            <w:r>
              <w:rPr>
                <w:sz w:val="18"/>
              </w:rPr>
              <w:t>Current UI, input checks, deterministic contract, map, report, trace and deployment.</w:t>
            </w:r>
          </w:p>
        </w:tc>
        <w:tc>
          <w:tcPr>
            <w:tcW w:type="dxa" w:w="2960"/>
            <w:tcMar>
              <w:top w:w="80" w:type="dxa"/>
              <w:start w:w="100" w:type="dxa"/>
              <w:bottom w:w="80" w:type="dxa"/>
              <w:end w:w="100" w:type="dxa"/>
            </w:tcMar>
            <w:vAlign w:val="center"/>
          </w:tcPr>
          <w:p>
            <w:pPr>
              <w:spacing w:after="0" w:line="252" w:lineRule="auto"/>
            </w:pPr>
            <w:r>
              <w:rPr>
                <w:sz w:val="18"/>
              </w:rPr>
              <w:t>All mandatory flows clickable and reproducible.</w:t>
            </w:r>
          </w:p>
        </w:tc>
      </w:tr>
      <w:tr>
        <w:tc>
          <w:tcPr>
            <w:tcW w:type="dxa" w:w="1900"/>
            <w:tcMar>
              <w:top w:w="80" w:type="dxa"/>
              <w:start w:w="100" w:type="dxa"/>
              <w:bottom w:w="80" w:type="dxa"/>
              <w:end w:w="100" w:type="dxa"/>
            </w:tcMar>
            <w:vAlign w:val="center"/>
          </w:tcPr>
          <w:p>
            <w:pPr>
              <w:spacing w:after="0" w:line="252" w:lineRule="auto"/>
            </w:pPr>
            <w:r>
              <w:rPr>
                <w:sz w:val="18"/>
              </w:rPr>
              <w:t>1 / Benchmark baseline</w:t>
            </w:r>
          </w:p>
        </w:tc>
        <w:tc>
          <w:tcPr>
            <w:tcW w:type="dxa" w:w="5000"/>
            <w:tcMar>
              <w:top w:w="80" w:type="dxa"/>
              <w:start w:w="100" w:type="dxa"/>
              <w:bottom w:w="80" w:type="dxa"/>
              <w:end w:w="100" w:type="dxa"/>
            </w:tcMar>
            <w:vAlign w:val="center"/>
          </w:tcPr>
          <w:p>
            <w:pPr>
              <w:spacing w:after="0" w:line="252" w:lineRule="auto"/>
            </w:pPr>
            <w:r>
              <w:rPr>
                <w:sz w:val="18"/>
              </w:rPr>
              <w:t>Adapt one remote-sensing VLM; add RSVQA/VRSBench adapters and grounding.</w:t>
            </w:r>
          </w:p>
        </w:tc>
        <w:tc>
          <w:tcPr>
            <w:tcW w:type="dxa" w:w="2960"/>
            <w:tcMar>
              <w:top w:w="80" w:type="dxa"/>
              <w:start w:w="100" w:type="dxa"/>
              <w:bottom w:w="80" w:type="dxa"/>
              <w:end w:w="100" w:type="dxa"/>
            </w:tcMar>
            <w:vAlign w:val="center"/>
          </w:tcPr>
          <w:p>
            <w:pPr>
              <w:spacing w:after="0" w:line="252" w:lineRule="auto"/>
            </w:pPr>
            <w:r>
              <w:rPr>
                <w:sz w:val="18"/>
              </w:rPr>
              <w:t>Held-out scores, latency and failure cases recorded.</w:t>
            </w:r>
          </w:p>
        </w:tc>
      </w:tr>
      <w:tr>
        <w:tc>
          <w:tcPr>
            <w:tcW w:type="dxa" w:w="1900"/>
            <w:tcMar>
              <w:top w:w="80" w:type="dxa"/>
              <w:start w:w="100" w:type="dxa"/>
              <w:bottom w:w="80" w:type="dxa"/>
              <w:end w:w="100" w:type="dxa"/>
            </w:tcMar>
            <w:vAlign w:val="center"/>
          </w:tcPr>
          <w:p>
            <w:pPr>
              <w:spacing w:after="0" w:line="252" w:lineRule="auto"/>
            </w:pPr>
            <w:r>
              <w:rPr>
                <w:sz w:val="18"/>
              </w:rPr>
              <w:t>2 / Change intelligence</w:t>
            </w:r>
          </w:p>
        </w:tc>
        <w:tc>
          <w:tcPr>
            <w:tcW w:type="dxa" w:w="5000"/>
            <w:tcMar>
              <w:top w:w="80" w:type="dxa"/>
              <w:start w:w="100" w:type="dxa"/>
              <w:bottom w:w="80" w:type="dxa"/>
              <w:end w:w="100" w:type="dxa"/>
            </w:tcMar>
            <w:vAlign w:val="center"/>
          </w:tcPr>
          <w:p>
            <w:pPr>
              <w:spacing w:after="0" w:line="252" w:lineRule="auto"/>
            </w:pPr>
            <w:r>
              <w:rPr>
                <w:sz w:val="18"/>
              </w:rPr>
              <w:t>CDVQA/change captioning, registration and mask post-processing.</w:t>
            </w:r>
          </w:p>
        </w:tc>
        <w:tc>
          <w:tcPr>
            <w:tcW w:type="dxa" w:w="2960"/>
            <w:tcMar>
              <w:top w:w="80" w:type="dxa"/>
              <w:start w:w="100" w:type="dxa"/>
              <w:bottom w:w="80" w:type="dxa"/>
              <w:end w:w="100" w:type="dxa"/>
            </w:tcMar>
            <w:vAlign w:val="center"/>
          </w:tcPr>
          <w:p>
            <w:pPr>
              <w:spacing w:after="0" w:line="252" w:lineRule="auto"/>
            </w:pPr>
            <w:r>
              <w:rPr>
                <w:sz w:val="18"/>
              </w:rPr>
              <w:t>Temporal answers include direction, geometry and calibrated uncertainty.</w:t>
            </w:r>
          </w:p>
        </w:tc>
      </w:tr>
      <w:tr>
        <w:tc>
          <w:tcPr>
            <w:tcW w:type="dxa" w:w="1900"/>
            <w:tcMar>
              <w:top w:w="80" w:type="dxa"/>
              <w:start w:w="100" w:type="dxa"/>
              <w:bottom w:w="80" w:type="dxa"/>
              <w:end w:w="100" w:type="dxa"/>
            </w:tcMar>
            <w:vAlign w:val="center"/>
          </w:tcPr>
          <w:p>
            <w:pPr>
              <w:spacing w:after="0" w:line="252" w:lineRule="auto"/>
            </w:pPr>
            <w:r>
              <w:rPr>
                <w:sz w:val="18"/>
              </w:rPr>
              <w:t>3 / Optical–SAR ledger</w:t>
            </w:r>
          </w:p>
        </w:tc>
        <w:tc>
          <w:tcPr>
            <w:tcW w:type="dxa" w:w="5000"/>
            <w:tcMar>
              <w:top w:w="80" w:type="dxa"/>
              <w:start w:w="100" w:type="dxa"/>
              <w:bottom w:w="80" w:type="dxa"/>
              <w:end w:w="100" w:type="dxa"/>
            </w:tcMar>
            <w:vAlign w:val="center"/>
          </w:tcPr>
          <w:p>
            <w:pPr>
              <w:spacing w:after="0" w:line="252" w:lineRule="auto"/>
            </w:pPr>
            <w:r>
              <w:rPr>
                <w:sz w:val="18"/>
              </w:rPr>
              <w:t>Modality-specific encoders and disagreement/quality heads.</w:t>
            </w:r>
          </w:p>
        </w:tc>
        <w:tc>
          <w:tcPr>
            <w:tcW w:type="dxa" w:w="2960"/>
            <w:tcMar>
              <w:top w:w="80" w:type="dxa"/>
              <w:start w:w="100" w:type="dxa"/>
              <w:bottom w:w="80" w:type="dxa"/>
              <w:end w:w="100" w:type="dxa"/>
            </w:tcMar>
            <w:vAlign w:val="center"/>
          </w:tcPr>
          <w:p>
            <w:pPr>
              <w:spacing w:after="0" w:line="252" w:lineRule="auto"/>
            </w:pPr>
            <w:r>
              <w:rPr>
                <w:sz w:val="18"/>
              </w:rPr>
              <w:t>Fused result beats optical-only and SAR-only in ablation.</w:t>
            </w:r>
          </w:p>
        </w:tc>
      </w:tr>
      <w:tr>
        <w:tc>
          <w:tcPr>
            <w:tcW w:type="dxa" w:w="1900"/>
            <w:tcMar>
              <w:top w:w="80" w:type="dxa"/>
              <w:start w:w="100" w:type="dxa"/>
              <w:bottom w:w="80" w:type="dxa"/>
              <w:end w:w="100" w:type="dxa"/>
            </w:tcMar>
            <w:vAlign w:val="center"/>
          </w:tcPr>
          <w:p>
            <w:pPr>
              <w:spacing w:after="0" w:line="252" w:lineRule="auto"/>
            </w:pPr>
            <w:r>
              <w:rPr>
                <w:sz w:val="18"/>
              </w:rPr>
              <w:t>4 / Analyst workspace</w:t>
            </w:r>
          </w:p>
        </w:tc>
        <w:tc>
          <w:tcPr>
            <w:tcW w:type="dxa" w:w="5000"/>
            <w:tcMar>
              <w:top w:w="80" w:type="dxa"/>
              <w:start w:w="100" w:type="dxa"/>
              <w:bottom w:w="80" w:type="dxa"/>
              <w:end w:w="100" w:type="dxa"/>
            </w:tcMar>
            <w:vAlign w:val="center"/>
          </w:tcPr>
          <w:p>
            <w:pPr>
              <w:spacing w:after="0" w:line="252" w:lineRule="auto"/>
            </w:pPr>
            <w:r>
              <w:rPr>
                <w:sz w:val="18"/>
              </w:rPr>
              <w:t>AOI/CRS handling, annotation review, report templates and feedback.</w:t>
            </w:r>
          </w:p>
        </w:tc>
        <w:tc>
          <w:tcPr>
            <w:tcW w:type="dxa" w:w="2960"/>
            <w:tcMar>
              <w:top w:w="80" w:type="dxa"/>
              <w:start w:w="100" w:type="dxa"/>
              <w:bottom w:w="80" w:type="dxa"/>
              <w:end w:w="100" w:type="dxa"/>
            </w:tcMar>
            <w:vAlign w:val="center"/>
          </w:tcPr>
          <w:p>
            <w:pPr>
              <w:spacing w:after="0" w:line="252" w:lineRule="auto"/>
            </w:pPr>
            <w:r>
              <w:rPr>
                <w:sz w:val="18"/>
              </w:rPr>
              <w:t>Analyst can reproduce and correct an answer.</w:t>
            </w:r>
          </w:p>
        </w:tc>
      </w:tr>
      <w:tr>
        <w:tc>
          <w:tcPr>
            <w:tcW w:type="dxa" w:w="1900"/>
            <w:tcMar>
              <w:top w:w="80" w:type="dxa"/>
              <w:start w:w="100" w:type="dxa"/>
              <w:bottom w:w="80" w:type="dxa"/>
              <w:end w:w="100" w:type="dxa"/>
            </w:tcMar>
            <w:vAlign w:val="center"/>
          </w:tcPr>
          <w:p>
            <w:pPr>
              <w:spacing w:after="0" w:line="252" w:lineRule="auto"/>
            </w:pPr>
            <w:r>
              <w:rPr>
                <w:sz w:val="18"/>
              </w:rPr>
              <w:t>5 / Commercial platform</w:t>
            </w:r>
          </w:p>
        </w:tc>
        <w:tc>
          <w:tcPr>
            <w:tcW w:type="dxa" w:w="5000"/>
            <w:tcMar>
              <w:top w:w="80" w:type="dxa"/>
              <w:start w:w="100" w:type="dxa"/>
              <w:bottom w:w="80" w:type="dxa"/>
              <w:end w:w="100" w:type="dxa"/>
            </w:tcMar>
            <w:vAlign w:val="center"/>
          </w:tcPr>
          <w:p>
            <w:pPr>
              <w:spacing w:after="0" w:line="252" w:lineRule="auto"/>
            </w:pPr>
            <w:r>
              <w:rPr>
                <w:sz w:val="18"/>
              </w:rPr>
              <w:t>Async jobs, storage, GPU workers, tenant isolation, registry and audit log.</w:t>
            </w:r>
          </w:p>
        </w:tc>
        <w:tc>
          <w:tcPr>
            <w:tcW w:type="dxa" w:w="2960"/>
            <w:tcMar>
              <w:top w:w="80" w:type="dxa"/>
              <w:start w:w="100" w:type="dxa"/>
              <w:bottom w:w="80" w:type="dxa"/>
              <w:end w:w="100" w:type="dxa"/>
            </w:tcMar>
            <w:vAlign w:val="center"/>
          </w:tcPr>
          <w:p>
            <w:pPr>
              <w:spacing w:after="0" w:line="252" w:lineRule="auto"/>
            </w:pPr>
            <w:r>
              <w:rPr>
                <w:sz w:val="18"/>
              </w:rPr>
              <w:t>Repeatable SLA, cost/km², access controls and monitoring.</w:t>
            </w:r>
          </w:p>
        </w:tc>
      </w:tr>
    </w:tbl>
    <w:p>
      <w:pPr>
        <w:pStyle w:val="Heading2"/>
      </w:pPr>
      <w:r>
        <w:t>Startup wedge</w:t>
      </w:r>
    </w:p>
    <w:p>
      <w:pPr>
        <w:spacing w:after="120"/>
      </w:pPr>
      <w:r>
        <w:t>The first customer should be a high-cost decision where evidence and uncertainty matter: flood triage for insurers/disaster teams, infrastructure change monitoring for public works, or water/urban expansion intelligence for planners. The moat is the labelled evidence trail and sensor-disagreement data collected from analyst corrections, not a generic chat experience.</w:t>
      </w:r>
    </w:p>
    <w:p>
      <w:pPr>
        <w:pStyle w:val="Heading1"/>
      </w:pPr>
      <w:r>
        <w:t>10. Evaluation and acceptance criteria</w:t>
      </w:r>
    </w:p>
    <w:tbl>
      <w:tblPr>
        <w:tblStyle w:val="TableGrid"/>
        <w:tblW w:type="auto" w:w="0"/>
        <w:jc w:val="center"/>
        <w:tblLayout w:type="fixed"/>
        <w:tblLook w:firstColumn="1" w:firstRow="1" w:lastColumn="0" w:lastRow="0" w:noHBand="0" w:noVBand="1" w:val="04A0"/>
      </w:tblPr>
      <w:tblGrid>
        <w:gridCol w:w="5040"/>
        <w:gridCol w:w="5040"/>
      </w:tblGrid>
      <w:tr>
        <w:tc>
          <w:tcPr>
            <w:tcW w:type="dxa" w:w="2400"/>
            <w:shd w:fill="E8EEF5"/>
            <w:tcMar>
              <w:top w:w="80" w:type="dxa"/>
              <w:start w:w="100" w:type="dxa"/>
              <w:bottom w:w="80" w:type="dxa"/>
              <w:end w:w="100" w:type="dxa"/>
            </w:tcMar>
          </w:tcPr>
          <w:p>
            <w:pPr>
              <w:spacing w:after="0"/>
            </w:pPr>
            <w:r>
              <w:rPr>
                <w:b/>
                <w:color w:val="1F4D78"/>
                <w:sz w:val="18"/>
              </w:rPr>
              <w:t>Dimension</w:t>
            </w:r>
          </w:p>
        </w:tc>
        <w:tc>
          <w:tcPr>
            <w:tcW w:type="dxa" w:w="6960"/>
            <w:shd w:fill="E8EEF5"/>
            <w:tcMar>
              <w:top w:w="80" w:type="dxa"/>
              <w:start w:w="100" w:type="dxa"/>
              <w:bottom w:w="80" w:type="dxa"/>
              <w:end w:w="100" w:type="dxa"/>
            </w:tcMar>
          </w:tcPr>
          <w:p>
            <w:pPr>
              <w:spacing w:after="0"/>
            </w:pPr>
            <w:r>
              <w:rPr>
                <w:b/>
                <w:color w:val="1F4D78"/>
                <w:sz w:val="18"/>
              </w:rPr>
              <w:t>Measure</w:t>
            </w:r>
          </w:p>
        </w:tc>
      </w:tr>
      <w:tr>
        <w:tc>
          <w:tcPr>
            <w:tcW w:type="dxa" w:w="2400"/>
            <w:tcMar>
              <w:top w:w="80" w:type="dxa"/>
              <w:start w:w="100" w:type="dxa"/>
              <w:bottom w:w="80" w:type="dxa"/>
              <w:end w:w="100" w:type="dxa"/>
            </w:tcMar>
            <w:vAlign w:val="center"/>
          </w:tcPr>
          <w:p>
            <w:pPr>
              <w:spacing w:after="0" w:line="252" w:lineRule="auto"/>
            </w:pPr>
            <w:r>
              <w:rPr>
                <w:sz w:val="18"/>
              </w:rPr>
              <w:t>Answer quality</w:t>
            </w:r>
          </w:p>
        </w:tc>
        <w:tc>
          <w:tcPr>
            <w:tcW w:type="dxa" w:w="6960"/>
            <w:tcMar>
              <w:top w:w="80" w:type="dxa"/>
              <w:start w:w="100" w:type="dxa"/>
              <w:bottom w:w="80" w:type="dxa"/>
              <w:end w:w="100" w:type="dxa"/>
            </w:tcMar>
            <w:vAlign w:val="center"/>
          </w:tcPr>
          <w:p>
            <w:pPr>
              <w:spacing w:after="0" w:line="252" w:lineRule="auto"/>
            </w:pPr>
            <w:r>
              <w:rPr>
                <w:sz w:val="18"/>
              </w:rPr>
              <w:t>VRSBench/RSVQA/CDVQA metrics on prescribed splits with confidence intervals.</w:t>
            </w:r>
          </w:p>
        </w:tc>
      </w:tr>
      <w:tr>
        <w:tc>
          <w:tcPr>
            <w:tcW w:type="dxa" w:w="2400"/>
            <w:tcMar>
              <w:top w:w="80" w:type="dxa"/>
              <w:start w:w="100" w:type="dxa"/>
              <w:bottom w:w="80" w:type="dxa"/>
              <w:end w:w="100" w:type="dxa"/>
            </w:tcMar>
            <w:vAlign w:val="center"/>
          </w:tcPr>
          <w:p>
            <w:pPr>
              <w:spacing w:after="0" w:line="252" w:lineRule="auto"/>
            </w:pPr>
            <w:r>
              <w:rPr>
                <w:sz w:val="18"/>
              </w:rPr>
              <w:t>Spatial quality</w:t>
            </w:r>
          </w:p>
        </w:tc>
        <w:tc>
          <w:tcPr>
            <w:tcW w:type="dxa" w:w="6960"/>
            <w:tcMar>
              <w:top w:w="80" w:type="dxa"/>
              <w:start w:w="100" w:type="dxa"/>
              <w:bottom w:w="80" w:type="dxa"/>
              <w:end w:w="100" w:type="dxa"/>
            </w:tcMar>
            <w:vAlign w:val="center"/>
          </w:tcPr>
          <w:p>
            <w:pPr>
              <w:spacing w:after="0" w:line="252" w:lineRule="auto"/>
            </w:pPr>
            <w:r>
              <w:rPr>
                <w:sz w:val="18"/>
              </w:rPr>
              <w:t>Grounding IoU/mask IoU, CRS correctness and valid geometry rate.</w:t>
            </w:r>
          </w:p>
        </w:tc>
      </w:tr>
      <w:tr>
        <w:tc>
          <w:tcPr>
            <w:tcW w:type="dxa" w:w="2400"/>
            <w:tcMar>
              <w:top w:w="80" w:type="dxa"/>
              <w:start w:w="100" w:type="dxa"/>
              <w:bottom w:w="80" w:type="dxa"/>
              <w:end w:w="100" w:type="dxa"/>
            </w:tcMar>
            <w:vAlign w:val="center"/>
          </w:tcPr>
          <w:p>
            <w:pPr>
              <w:spacing w:after="0" w:line="252" w:lineRule="auto"/>
            </w:pPr>
            <w:r>
              <w:rPr>
                <w:sz w:val="18"/>
              </w:rPr>
              <w:t>Fusion value</w:t>
            </w:r>
          </w:p>
        </w:tc>
        <w:tc>
          <w:tcPr>
            <w:tcW w:type="dxa" w:w="6960"/>
            <w:tcMar>
              <w:top w:w="80" w:type="dxa"/>
              <w:start w:w="100" w:type="dxa"/>
              <w:bottom w:w="80" w:type="dxa"/>
              <w:end w:w="100" w:type="dxa"/>
            </w:tcMar>
            <w:vAlign w:val="center"/>
          </w:tcPr>
          <w:p>
            <w:pPr>
              <w:spacing w:after="0" w:line="252" w:lineRule="auto"/>
            </w:pPr>
            <w:r>
              <w:rPr>
                <w:sz w:val="18"/>
              </w:rPr>
              <w:t>Optical-only vs SAR-only vs fused ablation and sensor contribution consistency.</w:t>
            </w:r>
          </w:p>
        </w:tc>
      </w:tr>
      <w:tr>
        <w:tc>
          <w:tcPr>
            <w:tcW w:type="dxa" w:w="2400"/>
            <w:tcMar>
              <w:top w:w="80" w:type="dxa"/>
              <w:start w:w="100" w:type="dxa"/>
              <w:bottom w:w="80" w:type="dxa"/>
              <w:end w:w="100" w:type="dxa"/>
            </w:tcMar>
            <w:vAlign w:val="center"/>
          </w:tcPr>
          <w:p>
            <w:pPr>
              <w:spacing w:after="0" w:line="252" w:lineRule="auto"/>
            </w:pPr>
            <w:r>
              <w:rPr>
                <w:sz w:val="18"/>
              </w:rPr>
              <w:t>Calibration</w:t>
            </w:r>
          </w:p>
        </w:tc>
        <w:tc>
          <w:tcPr>
            <w:tcW w:type="dxa" w:w="6960"/>
            <w:tcMar>
              <w:top w:w="80" w:type="dxa"/>
              <w:start w:w="100" w:type="dxa"/>
              <w:bottom w:w="80" w:type="dxa"/>
              <w:end w:w="100" w:type="dxa"/>
            </w:tcMar>
            <w:vAlign w:val="center"/>
          </w:tcPr>
          <w:p>
            <w:pPr>
              <w:spacing w:after="0" w:line="252" w:lineRule="auto"/>
            </w:pPr>
            <w:r>
              <w:rPr>
                <w:sz w:val="18"/>
              </w:rPr>
              <w:t>Expected calibration error, abstention precision and error rate at release thresholds.</w:t>
            </w:r>
          </w:p>
        </w:tc>
      </w:tr>
      <w:tr>
        <w:tc>
          <w:tcPr>
            <w:tcW w:type="dxa" w:w="2400"/>
            <w:tcMar>
              <w:top w:w="80" w:type="dxa"/>
              <w:start w:w="100" w:type="dxa"/>
              <w:bottom w:w="80" w:type="dxa"/>
              <w:end w:w="100" w:type="dxa"/>
            </w:tcMar>
            <w:vAlign w:val="center"/>
          </w:tcPr>
          <w:p>
            <w:pPr>
              <w:spacing w:after="0" w:line="252" w:lineRule="auto"/>
            </w:pPr>
            <w:r>
              <w:rPr>
                <w:sz w:val="18"/>
              </w:rPr>
              <w:t>System quality</w:t>
            </w:r>
          </w:p>
        </w:tc>
        <w:tc>
          <w:tcPr>
            <w:tcW w:type="dxa" w:w="6960"/>
            <w:tcMar>
              <w:top w:w="80" w:type="dxa"/>
              <w:start w:w="100" w:type="dxa"/>
              <w:bottom w:w="80" w:type="dxa"/>
              <w:end w:w="100" w:type="dxa"/>
            </w:tcMar>
            <w:vAlign w:val="center"/>
          </w:tcPr>
          <w:p>
            <w:pPr>
              <w:spacing w:after="0" w:line="252" w:lineRule="auto"/>
            </w:pPr>
            <w:r>
              <w:rPr>
                <w:sz w:val="18"/>
              </w:rPr>
              <w:t>Input rejection accuracy, p50/p95 latency, trace completeness and report reproducibility.</w:t>
            </w:r>
          </w:p>
        </w:tc>
      </w:tr>
      <w:tr>
        <w:tc>
          <w:tcPr>
            <w:tcW w:type="dxa" w:w="2400"/>
            <w:tcMar>
              <w:top w:w="80" w:type="dxa"/>
              <w:start w:w="100" w:type="dxa"/>
              <w:bottom w:w="80" w:type="dxa"/>
              <w:end w:w="100" w:type="dxa"/>
            </w:tcMar>
            <w:vAlign w:val="center"/>
          </w:tcPr>
          <w:p>
            <w:pPr>
              <w:spacing w:after="0" w:line="252" w:lineRule="auto"/>
            </w:pPr>
            <w:r>
              <w:rPr>
                <w:sz w:val="18"/>
              </w:rPr>
              <w:t>Human factors</w:t>
            </w:r>
          </w:p>
        </w:tc>
        <w:tc>
          <w:tcPr>
            <w:tcW w:type="dxa" w:w="6960"/>
            <w:tcMar>
              <w:top w:w="80" w:type="dxa"/>
              <w:start w:w="100" w:type="dxa"/>
              <w:bottom w:w="80" w:type="dxa"/>
              <w:end w:w="100" w:type="dxa"/>
            </w:tcMar>
            <w:vAlign w:val="center"/>
          </w:tcPr>
          <w:p>
            <w:pPr>
              <w:spacing w:after="0" w:line="252" w:lineRule="auto"/>
            </w:pPr>
            <w:r>
              <w:rPr>
                <w:sz w:val="18"/>
              </w:rPr>
              <w:t>Time to first useful answer, analyst correction rate and accepted-answer percentage.</w:t>
            </w:r>
          </w:p>
        </w:tc>
      </w:tr>
    </w:tbl>
    <w:p>
      <w:pPr>
        <w:spacing w:after="120"/>
      </w:pPr>
      <w:r>
        <w:t>A strong demo shows one correct answer, one spatial result, one cross-modal comparison and one deliberate abstention. Showing only confident successes hides the main operational risk.</w:t>
      </w:r>
    </w:p>
    <w:p>
      <w:pPr>
        <w:pStyle w:val="Heading1"/>
      </w:pPr>
      <w:r>
        <w:t>11. Deployment and GitHub</w:t>
      </w:r>
    </w:p>
    <w:p>
      <w:pPr>
        <w:pStyle w:val="Heading2"/>
      </w:pPr>
      <w:r>
        <w:t>Current web deployment</w:t>
      </w:r>
    </w:p>
    <w:p>
      <w:pPr>
        <w:spacing w:after="120"/>
      </w:pPr>
      <w:r>
        <w:t>The prototype is deployed as an owner-only Sites application at https://satquery-sentry.shrutikaverma22.chatgpt.site. It is suitable for review and demonstration, not public production traffic or sensitive imagery.</w:t>
      </w:r>
    </w:p>
    <w:p>
      <w:pPr>
        <w:pStyle w:val="Heading2"/>
      </w:pPr>
      <w:r>
        <w:t>Rebuild and deploy after a source change</w:t>
      </w:r>
    </w:p>
    <w:p>
      <w:pPr>
        <w:spacing w:after="160" w:line="240" w:lineRule="auto"/>
        <w:ind w:left="259"/>
      </w:pPr>
      <w:r>
        <w:rPr>
          <w:rFonts w:ascii="Consolas" w:hAnsi="Consolas"/>
          <w:color w:val="1C2733"/>
          <w:sz w:val="18"/>
        </w:rPr>
        <w:t>Set-Location D:\satquery-ai</w:t>
        <w:br/>
        <w:t>npm run lint</w:t>
        <w:br/>
        <w:t>npm run build</w:t>
        <w:br/>
        <w:t># Package dist with the Sites hosting workflow, save a version, deploy privately,</w:t>
        <w:br/>
        <w:t># and poll until READY.</w:t>
      </w:r>
    </w:p>
    <w:p>
      <w:pPr>
        <w:spacing w:after="120"/>
      </w:pPr>
      <w:r>
        <w:t>Source control and hosting are separate concerns: commit source, build, package deployment output, save a version, deploy, and record the deployed URL/version in release notes.</w:t>
      </w:r>
    </w:p>
    <w:p>
      <w:pPr>
        <w:pStyle w:val="Heading2"/>
      </w:pPr>
      <w:r>
        <w:t>GitHub publishing</w:t>
      </w:r>
    </w:p>
    <w:p>
      <w:pPr>
        <w:spacing w:after="120"/>
      </w:pPr>
      <w:r>
        <w:t>The GitHub CLI is installed but this environment is not authenticated. Run this once in PowerShell and complete the browser login:</w:t>
      </w:r>
    </w:p>
    <w:p>
      <w:pPr>
        <w:spacing w:after="160" w:line="240" w:lineRule="auto"/>
        <w:ind w:left="259"/>
      </w:pPr>
      <w:r>
        <w:rPr>
          <w:rFonts w:ascii="Consolas" w:hAnsi="Consolas"/>
          <w:color w:val="1C2733"/>
          <w:sz w:val="18"/>
        </w:rPr>
        <w:t>gh auth login</w:t>
        <w:br/>
        <w:t># Choose GitHub.com → HTTPS → Login with a web browser</w:t>
      </w:r>
    </w:p>
    <w:p>
      <w:pPr>
        <w:spacing w:after="120"/>
      </w:pPr>
      <w:r>
        <w:t>After authentication, a sensible default for an unfinished hackathon system is a private repository:</w:t>
      </w:r>
    </w:p>
    <w:p>
      <w:pPr>
        <w:spacing w:after="160" w:line="240" w:lineRule="auto"/>
        <w:ind w:left="259"/>
      </w:pPr>
      <w:r>
        <w:rPr>
          <w:rFonts w:ascii="Consolas" w:hAnsi="Consolas"/>
          <w:color w:val="1C2733"/>
          <w:sz w:val="18"/>
        </w:rPr>
        <w:t>Set-Location D:\satquery-ai</w:t>
        <w:br/>
        <w:t>gh repo create satquery-ai --private --source . --remote origin --push</w:t>
      </w:r>
    </w:p>
    <w:p>
      <w:pPr>
        <w:spacing w:after="120"/>
      </w:pPr>
      <w:r>
        <w:t>Use --public only after reviewing source, model weights, dataset licences and secrets. Never commit API keys, service tokens, evaluation annotations or private imagery.</w:t>
      </w:r>
    </w:p>
    <w:p>
      <w:pPr>
        <w:pStyle w:val="Heading1"/>
      </w:pPr>
      <w:r>
        <w:t>12. Troubleshooting</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500"/>
            <w:shd w:fill="E8EEF5"/>
            <w:tcMar>
              <w:top w:w="80" w:type="dxa"/>
              <w:start w:w="100" w:type="dxa"/>
              <w:bottom w:w="80" w:type="dxa"/>
              <w:end w:w="100" w:type="dxa"/>
            </w:tcMar>
          </w:tcPr>
          <w:p>
            <w:pPr>
              <w:spacing w:after="0"/>
            </w:pPr>
            <w:r>
              <w:rPr>
                <w:b/>
                <w:color w:val="1F4D78"/>
                <w:sz w:val="18"/>
              </w:rPr>
              <w:t>Symptom</w:t>
            </w:r>
          </w:p>
        </w:tc>
        <w:tc>
          <w:tcPr>
            <w:tcW w:type="dxa" w:w="4200"/>
            <w:shd w:fill="E8EEF5"/>
            <w:tcMar>
              <w:top w:w="80" w:type="dxa"/>
              <w:start w:w="100" w:type="dxa"/>
              <w:bottom w:w="80" w:type="dxa"/>
              <w:end w:w="100" w:type="dxa"/>
            </w:tcMar>
          </w:tcPr>
          <w:p>
            <w:pPr>
              <w:spacing w:after="0"/>
            </w:pPr>
            <w:r>
              <w:rPr>
                <w:b/>
                <w:color w:val="1F4D78"/>
                <w:sz w:val="18"/>
              </w:rPr>
              <w:t>Likely cause</w:t>
            </w:r>
          </w:p>
        </w:tc>
        <w:tc>
          <w:tcPr>
            <w:tcW w:type="dxa" w:w="4060"/>
            <w:shd w:fill="E8EEF5"/>
            <w:tcMar>
              <w:top w:w="80" w:type="dxa"/>
              <w:start w:w="100" w:type="dxa"/>
              <w:bottom w:w="80" w:type="dxa"/>
              <w:end w:w="100" w:type="dxa"/>
            </w:tcMar>
          </w:tcPr>
          <w:p>
            <w:pPr>
              <w:spacing w:after="0"/>
            </w:pPr>
            <w:r>
              <w:rPr>
                <w:b/>
                <w:color w:val="1F4D78"/>
                <w:sz w:val="18"/>
              </w:rPr>
              <w:t>Fix</w:t>
            </w:r>
          </w:p>
        </w:tc>
      </w:tr>
      <w:tr>
        <w:tc>
          <w:tcPr>
            <w:tcW w:type="dxa" w:w="2500"/>
            <w:tcMar>
              <w:top w:w="80" w:type="dxa"/>
              <w:start w:w="100" w:type="dxa"/>
              <w:bottom w:w="80" w:type="dxa"/>
              <w:end w:w="100" w:type="dxa"/>
            </w:tcMar>
            <w:vAlign w:val="center"/>
          </w:tcPr>
          <w:p>
            <w:pPr>
              <w:spacing w:after="0" w:line="252" w:lineRule="auto"/>
            </w:pPr>
            <w:r>
              <w:rPr>
                <w:sz w:val="18"/>
              </w:rPr>
              <w:t>Run button input error</w:t>
            </w:r>
          </w:p>
        </w:tc>
        <w:tc>
          <w:tcPr>
            <w:tcW w:type="dxa" w:w="4200"/>
            <w:tcMar>
              <w:top w:w="80" w:type="dxa"/>
              <w:start w:w="100" w:type="dxa"/>
              <w:bottom w:w="80" w:type="dxa"/>
              <w:end w:w="100" w:type="dxa"/>
            </w:tcMar>
            <w:vAlign w:val="center"/>
          </w:tcPr>
          <w:p>
            <w:pPr>
              <w:spacing w:after="0" w:line="252" w:lineRule="auto"/>
            </w:pPr>
            <w:r>
              <w:rPr>
                <w:sz w:val="18"/>
              </w:rPr>
              <w:t>Unsupported extension or invalid signature.</w:t>
            </w:r>
          </w:p>
        </w:tc>
        <w:tc>
          <w:tcPr>
            <w:tcW w:type="dxa" w:w="4060"/>
            <w:tcMar>
              <w:top w:w="80" w:type="dxa"/>
              <w:start w:w="100" w:type="dxa"/>
              <w:bottom w:w="80" w:type="dxa"/>
              <w:end w:w="100" w:type="dxa"/>
            </w:tcMar>
            <w:vAlign w:val="center"/>
          </w:tcPr>
          <w:p>
            <w:pPr>
              <w:spacing w:after="0" w:line="252" w:lineRule="auto"/>
            </w:pPr>
            <w:r>
              <w:rPr>
                <w:sz w:val="18"/>
              </w:rPr>
              <w:t>Use a real TIFF/GeoTIFF/PNG/JPEG and inspect file name/size.</w:t>
            </w:r>
          </w:p>
        </w:tc>
      </w:tr>
      <w:tr>
        <w:tc>
          <w:tcPr>
            <w:tcW w:type="dxa" w:w="2500"/>
            <w:tcMar>
              <w:top w:w="80" w:type="dxa"/>
              <w:start w:w="100" w:type="dxa"/>
              <w:bottom w:w="80" w:type="dxa"/>
              <w:end w:w="100" w:type="dxa"/>
            </w:tcMar>
            <w:vAlign w:val="center"/>
          </w:tcPr>
          <w:p>
            <w:pPr>
              <w:spacing w:after="0" w:line="252" w:lineRule="auto"/>
            </w:pPr>
            <w:r>
              <w:rPr>
                <w:sz w:val="18"/>
              </w:rPr>
              <w:t>Only curated metadata</w:t>
            </w:r>
          </w:p>
        </w:tc>
        <w:tc>
          <w:tcPr>
            <w:tcW w:type="dxa" w:w="4200"/>
            <w:tcMar>
              <w:top w:w="80" w:type="dxa"/>
              <w:start w:w="100" w:type="dxa"/>
              <w:bottom w:w="80" w:type="dxa"/>
              <w:end w:w="100" w:type="dxa"/>
            </w:tcMar>
            <w:vAlign w:val="center"/>
          </w:tcPr>
          <w:p>
            <w:pPr>
              <w:spacing w:after="0" w:line="252" w:lineRule="auto"/>
            </w:pPr>
            <w:r>
              <w:rPr>
                <w:sz w:val="18"/>
              </w:rPr>
              <w:t>No file uploaded for selected case.</w:t>
            </w:r>
          </w:p>
        </w:tc>
        <w:tc>
          <w:tcPr>
            <w:tcW w:type="dxa" w:w="4060"/>
            <w:tcMar>
              <w:top w:w="80" w:type="dxa"/>
              <w:start w:w="100" w:type="dxa"/>
              <w:bottom w:w="80" w:type="dxa"/>
              <w:end w:w="100" w:type="dxa"/>
            </w:tcMar>
            <w:vAlign w:val="center"/>
          </w:tcPr>
          <w:p>
            <w:pPr>
              <w:spacing w:after="0" w:line="252" w:lineRule="auto"/>
            </w:pPr>
            <w:r>
              <w:rPr>
                <w:sz w:val="18"/>
              </w:rPr>
              <w:t>Click ADD OBSERVATION and load one or two files.</w:t>
            </w:r>
          </w:p>
        </w:tc>
      </w:tr>
      <w:tr>
        <w:tc>
          <w:tcPr>
            <w:tcW w:type="dxa" w:w="2500"/>
            <w:tcMar>
              <w:top w:w="80" w:type="dxa"/>
              <w:start w:w="100" w:type="dxa"/>
              <w:bottom w:w="80" w:type="dxa"/>
              <w:end w:w="100" w:type="dxa"/>
            </w:tcMar>
            <w:vAlign w:val="center"/>
          </w:tcPr>
          <w:p>
            <w:pPr>
              <w:spacing w:after="0" w:line="252" w:lineRule="auto"/>
            </w:pPr>
            <w:r>
              <w:rPr>
                <w:sz w:val="18"/>
              </w:rPr>
              <w:t>No change regions</w:t>
            </w:r>
          </w:p>
        </w:tc>
        <w:tc>
          <w:tcPr>
            <w:tcW w:type="dxa" w:w="4200"/>
            <w:tcMar>
              <w:top w:w="80" w:type="dxa"/>
              <w:start w:w="100" w:type="dxa"/>
              <w:bottom w:w="80" w:type="dxa"/>
              <w:end w:w="100" w:type="dxa"/>
            </w:tcMar>
            <w:vAlign w:val="center"/>
          </w:tcPr>
          <w:p>
            <w:pPr>
              <w:spacing w:after="0" w:line="252" w:lineRule="auto"/>
            </w:pPr>
            <w:r>
              <w:rPr>
                <w:sz w:val="18"/>
              </w:rPr>
              <w:t>Confidence below release threshold.</w:t>
            </w:r>
          </w:p>
        </w:tc>
        <w:tc>
          <w:tcPr>
            <w:tcW w:type="dxa" w:w="4060"/>
            <w:tcMar>
              <w:top w:w="80" w:type="dxa"/>
              <w:start w:w="100" w:type="dxa"/>
              <w:bottom w:w="80" w:type="dxa"/>
              <w:end w:w="100" w:type="dxa"/>
            </w:tcMar>
            <w:vAlign w:val="center"/>
          </w:tcPr>
          <w:p>
            <w:pPr>
              <w:spacing w:after="0" w:line="252" w:lineRule="auto"/>
            </w:pPr>
            <w:r>
              <w:rPr>
                <w:sz w:val="18"/>
              </w:rPr>
              <w:t>Read limit/next observation; do not force a map.</w:t>
            </w:r>
          </w:p>
        </w:tc>
      </w:tr>
      <w:tr>
        <w:tc>
          <w:tcPr>
            <w:tcW w:type="dxa" w:w="2500"/>
            <w:tcMar>
              <w:top w:w="80" w:type="dxa"/>
              <w:start w:w="100" w:type="dxa"/>
              <w:bottom w:w="80" w:type="dxa"/>
              <w:end w:w="100" w:type="dxa"/>
            </w:tcMar>
            <w:vAlign w:val="center"/>
          </w:tcPr>
          <w:p>
            <w:pPr>
              <w:spacing w:after="0" w:line="252" w:lineRule="auto"/>
            </w:pPr>
            <w:r>
              <w:rPr>
                <w:sz w:val="18"/>
              </w:rPr>
              <w:t>Unexpected task</w:t>
            </w:r>
          </w:p>
        </w:tc>
        <w:tc>
          <w:tcPr>
            <w:tcW w:type="dxa" w:w="4200"/>
            <w:tcMar>
              <w:top w:w="80" w:type="dxa"/>
              <w:start w:w="100" w:type="dxa"/>
              <w:bottom w:w="80" w:type="dxa"/>
              <w:end w:w="100" w:type="dxa"/>
            </w:tcMar>
            <w:vAlign w:val="center"/>
          </w:tcPr>
          <w:p>
            <w:pPr>
              <w:spacing w:after="0" w:line="252" w:lineRule="auto"/>
            </w:pPr>
            <w:r>
              <w:rPr>
                <w:sz w:val="18"/>
              </w:rPr>
              <w:t>Query lacks routing cue or input count is incompatible.</w:t>
            </w:r>
          </w:p>
        </w:tc>
        <w:tc>
          <w:tcPr>
            <w:tcW w:type="dxa" w:w="4060"/>
            <w:tcMar>
              <w:top w:w="80" w:type="dxa"/>
              <w:start w:w="100" w:type="dxa"/>
              <w:bottom w:w="80" w:type="dxa"/>
              <w:end w:w="100" w:type="dxa"/>
            </w:tcMar>
            <w:vAlign w:val="center"/>
          </w:tcPr>
          <w:p>
            <w:pPr>
              <w:spacing w:after="0" w:line="252" w:lineRule="auto"/>
            </w:pPr>
            <w:r>
              <w:rPr>
                <w:sz w:val="18"/>
              </w:rPr>
              <w:t>Use explicit words: changed, highlight, SAR, optical, together.</w:t>
            </w:r>
          </w:p>
        </w:tc>
      </w:tr>
      <w:tr>
        <w:tc>
          <w:tcPr>
            <w:tcW w:type="dxa" w:w="2500"/>
            <w:tcMar>
              <w:top w:w="80" w:type="dxa"/>
              <w:start w:w="100" w:type="dxa"/>
              <w:bottom w:w="80" w:type="dxa"/>
              <w:end w:w="100" w:type="dxa"/>
            </w:tcMar>
            <w:vAlign w:val="center"/>
          </w:tcPr>
          <w:p>
            <w:pPr>
              <w:spacing w:after="0" w:line="252" w:lineRule="auto"/>
            </w:pPr>
            <w:r>
              <w:rPr>
                <w:sz w:val="18"/>
              </w:rPr>
              <w:t>Build failure</w:t>
            </w:r>
          </w:p>
        </w:tc>
        <w:tc>
          <w:tcPr>
            <w:tcW w:type="dxa" w:w="4200"/>
            <w:tcMar>
              <w:top w:w="80" w:type="dxa"/>
              <w:start w:w="100" w:type="dxa"/>
              <w:bottom w:w="80" w:type="dxa"/>
              <w:end w:w="100" w:type="dxa"/>
            </w:tcMar>
            <w:vAlign w:val="center"/>
          </w:tcPr>
          <w:p>
            <w:pPr>
              <w:spacing w:after="0" w:line="252" w:lineRule="auto"/>
            </w:pPr>
            <w:r>
              <w:rPr>
                <w:sz w:val="18"/>
              </w:rPr>
              <w:t>Node/npm or lockfile drift.</w:t>
            </w:r>
          </w:p>
        </w:tc>
        <w:tc>
          <w:tcPr>
            <w:tcW w:type="dxa" w:w="4060"/>
            <w:tcMar>
              <w:top w:w="80" w:type="dxa"/>
              <w:start w:w="100" w:type="dxa"/>
              <w:bottom w:w="80" w:type="dxa"/>
              <w:end w:w="100" w:type="dxa"/>
            </w:tcMar>
            <w:vAlign w:val="center"/>
          </w:tcPr>
          <w:p>
            <w:pPr>
              <w:spacing w:after="0" w:line="252" w:lineRule="auto"/>
            </w:pPr>
            <w:r>
              <w:rPr>
                <w:sz w:val="18"/>
              </w:rPr>
              <w:t>Use Node 22+, npm install, then lint and build.</w:t>
            </w:r>
          </w:p>
        </w:tc>
      </w:tr>
      <w:tr>
        <w:tc>
          <w:tcPr>
            <w:tcW w:type="dxa" w:w="2500"/>
            <w:tcMar>
              <w:top w:w="80" w:type="dxa"/>
              <w:start w:w="100" w:type="dxa"/>
              <w:bottom w:w="80" w:type="dxa"/>
              <w:end w:w="100" w:type="dxa"/>
            </w:tcMar>
            <w:vAlign w:val="center"/>
          </w:tcPr>
          <w:p>
            <w:pPr>
              <w:spacing w:after="0" w:line="252" w:lineRule="auto"/>
            </w:pPr>
            <w:r>
              <w:rPr>
                <w:sz w:val="18"/>
              </w:rPr>
              <w:t>GitHub denied</w:t>
            </w:r>
          </w:p>
        </w:tc>
        <w:tc>
          <w:tcPr>
            <w:tcW w:type="dxa" w:w="4200"/>
            <w:tcMar>
              <w:top w:w="80" w:type="dxa"/>
              <w:start w:w="100" w:type="dxa"/>
              <w:bottom w:w="80" w:type="dxa"/>
              <w:end w:w="100" w:type="dxa"/>
            </w:tcMar>
            <w:vAlign w:val="center"/>
          </w:tcPr>
          <w:p>
            <w:pPr>
              <w:spacing w:after="0" w:line="252" w:lineRule="auto"/>
            </w:pPr>
            <w:r>
              <w:rPr>
                <w:sz w:val="18"/>
              </w:rPr>
              <w:t>CLI not authenticated or name taken.</w:t>
            </w:r>
          </w:p>
        </w:tc>
        <w:tc>
          <w:tcPr>
            <w:tcW w:type="dxa" w:w="4060"/>
            <w:tcMar>
              <w:top w:w="80" w:type="dxa"/>
              <w:start w:w="100" w:type="dxa"/>
              <w:bottom w:w="80" w:type="dxa"/>
              <w:end w:w="100" w:type="dxa"/>
            </w:tcMar>
            <w:vAlign w:val="center"/>
          </w:tcPr>
          <w:p>
            <w:pPr>
              <w:spacing w:after="0" w:line="252" w:lineRule="auto"/>
            </w:pPr>
            <w:r>
              <w:rPr>
                <w:sz w:val="18"/>
              </w:rPr>
              <w:t>Run gh auth status, authenticate, choose unique name.</w:t>
            </w:r>
          </w:p>
        </w:tc>
      </w:tr>
    </w:tbl>
    <w:p>
      <w:pPr>
        <w:pStyle w:val="Heading1"/>
      </w:pPr>
      <w:r>
        <w:t>13. Glossary</w:t>
      </w:r>
    </w:p>
    <w:tbl>
      <w:tblPr>
        <w:tblStyle w:val="TableGrid"/>
        <w:tblW w:type="auto" w:w="0"/>
        <w:jc w:val="center"/>
        <w:tblLayout w:type="fixed"/>
        <w:tblLook w:firstColumn="1" w:firstRow="1" w:lastColumn="0" w:lastRow="0" w:noHBand="0" w:noVBand="1" w:val="04A0"/>
      </w:tblPr>
      <w:tblGrid>
        <w:gridCol w:w="5040"/>
        <w:gridCol w:w="5040"/>
      </w:tblGrid>
      <w:tr>
        <w:tc>
          <w:tcPr>
            <w:tcW w:type="dxa" w:w="2500"/>
            <w:shd w:fill="E8EEF5"/>
            <w:tcMar>
              <w:top w:w="80" w:type="dxa"/>
              <w:start w:w="100" w:type="dxa"/>
              <w:bottom w:w="80" w:type="dxa"/>
              <w:end w:w="100" w:type="dxa"/>
            </w:tcMar>
          </w:tcPr>
          <w:p>
            <w:pPr>
              <w:spacing w:after="0"/>
            </w:pPr>
            <w:r>
              <w:rPr>
                <w:b/>
                <w:color w:val="1F4D78"/>
                <w:sz w:val="18"/>
              </w:rPr>
              <w:t>Term</w:t>
            </w:r>
          </w:p>
        </w:tc>
        <w:tc>
          <w:tcPr>
            <w:tcW w:type="dxa" w:w="8260"/>
            <w:shd w:fill="E8EEF5"/>
            <w:tcMar>
              <w:top w:w="80" w:type="dxa"/>
              <w:start w:w="100" w:type="dxa"/>
              <w:bottom w:w="80" w:type="dxa"/>
              <w:end w:w="100" w:type="dxa"/>
            </w:tcMar>
          </w:tcPr>
          <w:p>
            <w:pPr>
              <w:spacing w:after="0"/>
            </w:pPr>
            <w:r>
              <w:rPr>
                <w:b/>
                <w:color w:val="1F4D78"/>
                <w:sz w:val="18"/>
              </w:rPr>
              <w:t>Meaning</w:t>
            </w:r>
          </w:p>
        </w:tc>
      </w:tr>
      <w:tr>
        <w:tc>
          <w:tcPr>
            <w:tcW w:type="dxa" w:w="2500"/>
            <w:tcMar>
              <w:top w:w="80" w:type="dxa"/>
              <w:start w:w="100" w:type="dxa"/>
              <w:bottom w:w="80" w:type="dxa"/>
              <w:end w:w="100" w:type="dxa"/>
            </w:tcMar>
            <w:vAlign w:val="center"/>
          </w:tcPr>
          <w:p>
            <w:pPr>
              <w:spacing w:after="0" w:line="252" w:lineRule="auto"/>
            </w:pPr>
            <w:r>
              <w:rPr>
                <w:sz w:val="18"/>
              </w:rPr>
              <w:t>AOI</w:t>
            </w:r>
          </w:p>
        </w:tc>
        <w:tc>
          <w:tcPr>
            <w:tcW w:type="dxa" w:w="8260"/>
            <w:tcMar>
              <w:top w:w="80" w:type="dxa"/>
              <w:start w:w="100" w:type="dxa"/>
              <w:bottom w:w="80" w:type="dxa"/>
              <w:end w:w="100" w:type="dxa"/>
            </w:tcMar>
            <w:vAlign w:val="center"/>
          </w:tcPr>
          <w:p>
            <w:pPr>
              <w:spacing w:after="0" w:line="252" w:lineRule="auto"/>
            </w:pPr>
            <w:r>
              <w:rPr>
                <w:sz w:val="18"/>
              </w:rPr>
              <w:t>Area of interest; geographic footprint being analysed.</w:t>
            </w:r>
          </w:p>
        </w:tc>
      </w:tr>
      <w:tr>
        <w:tc>
          <w:tcPr>
            <w:tcW w:type="dxa" w:w="2500"/>
            <w:tcMar>
              <w:top w:w="80" w:type="dxa"/>
              <w:start w:w="100" w:type="dxa"/>
              <w:bottom w:w="80" w:type="dxa"/>
              <w:end w:w="100" w:type="dxa"/>
            </w:tcMar>
            <w:vAlign w:val="center"/>
          </w:tcPr>
          <w:p>
            <w:pPr>
              <w:spacing w:after="0" w:line="252" w:lineRule="auto"/>
            </w:pPr>
            <w:r>
              <w:rPr>
                <w:sz w:val="18"/>
              </w:rPr>
              <w:t>SAR</w:t>
            </w:r>
          </w:p>
        </w:tc>
        <w:tc>
          <w:tcPr>
            <w:tcW w:type="dxa" w:w="8260"/>
            <w:tcMar>
              <w:top w:w="80" w:type="dxa"/>
              <w:start w:w="100" w:type="dxa"/>
              <w:bottom w:w="80" w:type="dxa"/>
              <w:end w:w="100" w:type="dxa"/>
            </w:tcMar>
            <w:vAlign w:val="center"/>
          </w:tcPr>
          <w:p>
            <w:pPr>
              <w:spacing w:after="0" w:line="252" w:lineRule="auto"/>
            </w:pPr>
            <w:r>
              <w:rPr>
                <w:sz w:val="18"/>
              </w:rPr>
              <w:t>Synthetic aperture radar; structural, day/night and cloud-penetrating modality.</w:t>
            </w:r>
          </w:p>
        </w:tc>
      </w:tr>
      <w:tr>
        <w:tc>
          <w:tcPr>
            <w:tcW w:type="dxa" w:w="2500"/>
            <w:tcMar>
              <w:top w:w="80" w:type="dxa"/>
              <w:start w:w="100" w:type="dxa"/>
              <w:bottom w:w="80" w:type="dxa"/>
              <w:end w:w="100" w:type="dxa"/>
            </w:tcMar>
            <w:vAlign w:val="center"/>
          </w:tcPr>
          <w:p>
            <w:pPr>
              <w:spacing w:after="0" w:line="252" w:lineRule="auto"/>
            </w:pPr>
            <w:r>
              <w:rPr>
                <w:sz w:val="18"/>
              </w:rPr>
              <w:t>Optical / multispectral</w:t>
            </w:r>
          </w:p>
        </w:tc>
        <w:tc>
          <w:tcPr>
            <w:tcW w:type="dxa" w:w="8260"/>
            <w:tcMar>
              <w:top w:w="80" w:type="dxa"/>
              <w:start w:w="100" w:type="dxa"/>
              <w:bottom w:w="80" w:type="dxa"/>
              <w:end w:w="100" w:type="dxa"/>
            </w:tcMar>
            <w:vAlign w:val="center"/>
          </w:tcPr>
          <w:p>
            <w:pPr>
              <w:spacing w:after="0" w:line="252" w:lineRule="auto"/>
            </w:pPr>
            <w:r>
              <w:rPr>
                <w:sz w:val="18"/>
              </w:rPr>
              <w:t>Reflectance imagery with spectral and contextual information.</w:t>
            </w:r>
          </w:p>
        </w:tc>
      </w:tr>
      <w:tr>
        <w:tc>
          <w:tcPr>
            <w:tcW w:type="dxa" w:w="2500"/>
            <w:tcMar>
              <w:top w:w="80" w:type="dxa"/>
              <w:start w:w="100" w:type="dxa"/>
              <w:bottom w:w="80" w:type="dxa"/>
              <w:end w:w="100" w:type="dxa"/>
            </w:tcMar>
            <w:vAlign w:val="center"/>
          </w:tcPr>
          <w:p>
            <w:pPr>
              <w:spacing w:after="0" w:line="252" w:lineRule="auto"/>
            </w:pPr>
            <w:r>
              <w:rPr>
                <w:sz w:val="18"/>
              </w:rPr>
              <w:t>Co-registered</w:t>
            </w:r>
          </w:p>
        </w:tc>
        <w:tc>
          <w:tcPr>
            <w:tcW w:type="dxa" w:w="8260"/>
            <w:tcMar>
              <w:top w:w="80" w:type="dxa"/>
              <w:start w:w="100" w:type="dxa"/>
              <w:bottom w:w="80" w:type="dxa"/>
              <w:end w:w="100" w:type="dxa"/>
            </w:tcMar>
            <w:vAlign w:val="center"/>
          </w:tcPr>
          <w:p>
            <w:pPr>
              <w:spacing w:after="0" w:line="252" w:lineRule="auto"/>
            </w:pPr>
            <w:r>
              <w:rPr>
                <w:sz w:val="18"/>
              </w:rPr>
              <w:t>Images aligned so corresponding pixels refer to the same ground location.</w:t>
            </w:r>
          </w:p>
        </w:tc>
      </w:tr>
      <w:tr>
        <w:tc>
          <w:tcPr>
            <w:tcW w:type="dxa" w:w="2500"/>
            <w:tcMar>
              <w:top w:w="80" w:type="dxa"/>
              <w:start w:w="100" w:type="dxa"/>
              <w:bottom w:w="80" w:type="dxa"/>
              <w:end w:w="100" w:type="dxa"/>
            </w:tcMar>
            <w:vAlign w:val="center"/>
          </w:tcPr>
          <w:p>
            <w:pPr>
              <w:spacing w:after="0" w:line="252" w:lineRule="auto"/>
            </w:pPr>
            <w:r>
              <w:rPr>
                <w:sz w:val="18"/>
              </w:rPr>
              <w:t>VQA</w:t>
            </w:r>
          </w:p>
        </w:tc>
        <w:tc>
          <w:tcPr>
            <w:tcW w:type="dxa" w:w="8260"/>
            <w:tcMar>
              <w:top w:w="80" w:type="dxa"/>
              <w:start w:w="100" w:type="dxa"/>
              <w:bottom w:w="80" w:type="dxa"/>
              <w:end w:w="100" w:type="dxa"/>
            </w:tcMar>
            <w:vAlign w:val="center"/>
          </w:tcPr>
          <w:p>
            <w:pPr>
              <w:spacing w:after="0" w:line="252" w:lineRule="auto"/>
            </w:pPr>
            <w:r>
              <w:rPr>
                <w:sz w:val="18"/>
              </w:rPr>
              <w:t>Visual question answering.</w:t>
            </w:r>
          </w:p>
        </w:tc>
      </w:tr>
      <w:tr>
        <w:tc>
          <w:tcPr>
            <w:tcW w:type="dxa" w:w="2500"/>
            <w:tcMar>
              <w:top w:w="80" w:type="dxa"/>
              <w:start w:w="100" w:type="dxa"/>
              <w:bottom w:w="80" w:type="dxa"/>
              <w:end w:w="100" w:type="dxa"/>
            </w:tcMar>
            <w:vAlign w:val="center"/>
          </w:tcPr>
          <w:p>
            <w:pPr>
              <w:spacing w:after="0" w:line="252" w:lineRule="auto"/>
            </w:pPr>
            <w:r>
              <w:rPr>
                <w:sz w:val="18"/>
              </w:rPr>
              <w:t>Grounding</w:t>
            </w:r>
          </w:p>
        </w:tc>
        <w:tc>
          <w:tcPr>
            <w:tcW w:type="dxa" w:w="8260"/>
            <w:tcMar>
              <w:top w:w="80" w:type="dxa"/>
              <w:start w:w="100" w:type="dxa"/>
              <w:bottom w:w="80" w:type="dxa"/>
              <w:end w:w="100" w:type="dxa"/>
            </w:tcMar>
            <w:vAlign w:val="center"/>
          </w:tcPr>
          <w:p>
            <w:pPr>
              <w:spacing w:after="0" w:line="252" w:lineRule="auto"/>
            </w:pPr>
            <w:r>
              <w:rPr>
                <w:sz w:val="18"/>
              </w:rPr>
              <w:t>Linking a phrase to a box or polygon in an image.</w:t>
            </w:r>
          </w:p>
        </w:tc>
      </w:tr>
      <w:tr>
        <w:tc>
          <w:tcPr>
            <w:tcW w:type="dxa" w:w="2500"/>
            <w:tcMar>
              <w:top w:w="80" w:type="dxa"/>
              <w:start w:w="100" w:type="dxa"/>
              <w:bottom w:w="80" w:type="dxa"/>
              <w:end w:w="100" w:type="dxa"/>
            </w:tcMar>
            <w:vAlign w:val="center"/>
          </w:tcPr>
          <w:p>
            <w:pPr>
              <w:spacing w:after="0" w:line="252" w:lineRule="auto"/>
            </w:pPr>
            <w:r>
              <w:rPr>
                <w:sz w:val="18"/>
              </w:rPr>
              <w:t>Change VQA</w:t>
            </w:r>
          </w:p>
        </w:tc>
        <w:tc>
          <w:tcPr>
            <w:tcW w:type="dxa" w:w="8260"/>
            <w:tcMar>
              <w:top w:w="80" w:type="dxa"/>
              <w:start w:w="100" w:type="dxa"/>
              <w:bottom w:w="80" w:type="dxa"/>
              <w:end w:w="100" w:type="dxa"/>
            </w:tcMar>
            <w:vAlign w:val="center"/>
          </w:tcPr>
          <w:p>
            <w:pPr>
              <w:spacing w:after="0" w:line="252" w:lineRule="auto"/>
            </w:pPr>
            <w:r>
              <w:rPr>
                <w:sz w:val="18"/>
              </w:rPr>
              <w:t>Answering a question about differences between corresponding observations.</w:t>
            </w:r>
          </w:p>
        </w:tc>
      </w:tr>
      <w:tr>
        <w:tc>
          <w:tcPr>
            <w:tcW w:type="dxa" w:w="2500"/>
            <w:tcMar>
              <w:top w:w="80" w:type="dxa"/>
              <w:start w:w="100" w:type="dxa"/>
              <w:bottom w:w="80" w:type="dxa"/>
              <w:end w:w="100" w:type="dxa"/>
            </w:tcMar>
            <w:vAlign w:val="center"/>
          </w:tcPr>
          <w:p>
            <w:pPr>
              <w:spacing w:after="0" w:line="252" w:lineRule="auto"/>
            </w:pPr>
            <w:r>
              <w:rPr>
                <w:sz w:val="18"/>
              </w:rPr>
              <w:t>Abstention</w:t>
            </w:r>
          </w:p>
        </w:tc>
        <w:tc>
          <w:tcPr>
            <w:tcW w:type="dxa" w:w="8260"/>
            <w:tcMar>
              <w:top w:w="80" w:type="dxa"/>
              <w:start w:w="100" w:type="dxa"/>
              <w:bottom w:w="80" w:type="dxa"/>
              <w:end w:w="100" w:type="dxa"/>
            </w:tcMar>
            <w:vAlign w:val="center"/>
          </w:tcPr>
          <w:p>
            <w:pPr>
              <w:spacing w:after="0" w:line="252" w:lineRule="auto"/>
            </w:pPr>
            <w:r>
              <w:rPr>
                <w:sz w:val="18"/>
              </w:rPr>
              <w:t>Withholding a conclusion when evidence is insufficient or contradictory.</w:t>
            </w:r>
          </w:p>
        </w:tc>
      </w:tr>
      <w:tr>
        <w:tc>
          <w:tcPr>
            <w:tcW w:type="dxa" w:w="2500"/>
            <w:tcMar>
              <w:top w:w="80" w:type="dxa"/>
              <w:start w:w="100" w:type="dxa"/>
              <w:bottom w:w="80" w:type="dxa"/>
              <w:end w:w="100" w:type="dxa"/>
            </w:tcMar>
            <w:vAlign w:val="center"/>
          </w:tcPr>
          <w:p>
            <w:pPr>
              <w:spacing w:after="0" w:line="252" w:lineRule="auto"/>
            </w:pPr>
            <w:r>
              <w:rPr>
                <w:sz w:val="18"/>
              </w:rPr>
              <w:t>Evidence Contract</w:t>
            </w:r>
          </w:p>
        </w:tc>
        <w:tc>
          <w:tcPr>
            <w:tcW w:type="dxa" w:w="8260"/>
            <w:tcMar>
              <w:top w:w="80" w:type="dxa"/>
              <w:start w:w="100" w:type="dxa"/>
              <w:bottom w:w="80" w:type="dxa"/>
              <w:end w:w="100" w:type="dxa"/>
            </w:tcMar>
            <w:vAlign w:val="center"/>
          </w:tcPr>
          <w:p>
            <w:pPr>
              <w:spacing w:after="0" w:line="252" w:lineRule="auto"/>
            </w:pPr>
            <w:r>
              <w:rPr>
                <w:sz w:val="18"/>
              </w:rPr>
              <w:t>Structured answer: claim, where, magnitude, sensor case, limit, confidence and trace.</w:t>
            </w:r>
          </w:p>
        </w:tc>
      </w:tr>
    </w:tbl>
    <w:p>
      <w:pPr>
        <w:pStyle w:val="Heading1"/>
      </w:pPr>
      <w:r>
        <w:t>Appendix A. Three-minute judging script</w:t>
      </w:r>
    </w:p>
    <w:p>
      <w:pPr>
        <w:pStyle w:val="ListNumber"/>
      </w:pPr>
      <w:r>
        <w:t>Open the URL and point out cases plus the evidence contract.</w:t>
      </w:r>
    </w:p>
    <w:p>
      <w:pPr>
        <w:pStyle w:val="ListNumber"/>
      </w:pPr>
      <w:r>
        <w:t>Run the default Assam flood query. Explain claim, location, magnitude, sensor support and limitation.</w:t>
      </w:r>
    </w:p>
    <w:p>
      <w:pPr>
        <w:pStyle w:val="ListNumber"/>
      </w:pPr>
      <w:r>
        <w:t>Switch OPTICAL and SAR to show modality views.</w:t>
      </w:r>
    </w:p>
    <w:p>
      <w:pPr>
        <w:pStyle w:val="ListNumber"/>
      </w:pPr>
      <w:r>
        <w:t>Select CASE_002 and run a single-image VQA question.</w:t>
      </w:r>
    </w:p>
    <w:p>
      <w:pPr>
        <w:pStyle w:val="ListNumber"/>
      </w:pPr>
      <w:r>
        <w:t>Run “Highlight water-covered regions” for spatial grounding.</w:t>
      </w:r>
    </w:p>
    <w:p>
      <w:pPr>
        <w:pStyle w:val="ListNumber"/>
      </w:pPr>
      <w:r>
        <w:t>Add “cloud uncertainty”; show confidence drop, withheld regions and next observation.</w:t>
      </w:r>
    </w:p>
    <w:p>
      <w:pPr>
        <w:pStyle w:val="ListNumber"/>
      </w:pPr>
      <w:r>
        <w:t>Expand the trace and download the report. Explain that the deterministic contract is ready for benchmarked models in the registry.</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788"/>
        <w:sz w:val="16"/>
      </w:rPr>
      <w:t>SatQuery AI prototype 0.1  •  Evidence is a claim with a location, a source and a limit.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E74B5"/>
        <w:sz w:val="16"/>
      </w:rPr>
      <w:t>SATQUERY AI  /  SENTRY  •  OPERATOR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