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sz w:val="44"/>
        </w:rPr>
        <w:t>FocusFlow Productivity Application</w:t>
      </w:r>
    </w:p>
    <w:p>
      <w:pPr>
        <w:jc w:val="center"/>
      </w:pPr>
      <w:r>
        <w:rPr>
          <w:sz w:val="32"/>
        </w:rPr>
        <w:t>CMSC 495 Phase I Source Code Report</w:t>
      </w:r>
    </w:p>
    <w:p/>
    <w:p>
      <w:pPr>
        <w:jc w:val="center"/>
      </w:pPr>
      <w:r>
        <w:t>Course: CMSC 495 Computer Science Capstone</w:t>
      </w:r>
    </w:p>
    <w:p>
      <w:pPr>
        <w:jc w:val="center"/>
      </w:pPr>
      <w:r>
        <w:t>Team: Group Around the World</w:t>
      </w:r>
    </w:p>
    <w:p>
      <w:pPr>
        <w:jc w:val="center"/>
      </w:pPr>
      <w:r>
        <w:t>Team Members: Danil Podolskiy, Jean Richard Fenelon, Stefan Nikolov, Alphonso Williams</w:t>
      </w:r>
    </w:p>
    <w:p>
      <w:pPr>
        <w:jc w:val="center"/>
      </w:pPr>
      <w:r>
        <w:t>Date: 2026-07-05</w:t>
      </w:r>
    </w:p>
    <w:p>
      <w:r>
        <w:br w:type="page"/>
      </w:r>
    </w:p>
    <w:p>
      <w:r>
        <w:t>CMSC 495 Phase I Source Code</w:t>
      </w:r>
    </w:p>
    <w:p>
      <w:r>
        <w:rPr>
          <w:b/>
          <w:sz w:val="32"/>
        </w:rPr>
        <w:t>CMSC 495 Phase I Source Code</w:t>
      </w:r>
    </w:p>
    <w:p>
      <w:r>
        <w:t>Introduction</w:t>
      </w:r>
    </w:p>
    <w:p>
      <w:r>
        <w:rPr>
          <w:b/>
          <w:sz w:val="32"/>
        </w:rPr>
        <w:t>Introduction</w:t>
      </w:r>
    </w:p>
    <w:p>
      <w:pPr>
        <w:spacing w:after="160"/>
      </w:pPr>
      <w:r>
        <w:t>FocusFlow is a Windows desktop productivity application developed for the CMSC 495 capstone. The product goal is to consolidate account management, task planning, calendar visibility, reminders, and performance tracking in one interface. During planning, the team identified a common productivity problem: users split their workflow across unrelated tools. That split creates context-switching overhead, inconsistent data entry, and weak visibility across deadlines and completed work. Phase I was therefore designed to establish a technically solid baseline that could support a complete working application in later phases.</w:t>
      </w:r>
    </w:p>
    <w:p>
      <w:pPr>
        <w:spacing w:after="160"/>
      </w:pPr>
      <w:r>
        <w:t>The Phase I implementation now includes modular service-layer code, persistent storage bootstrapping, a professional desktop user interface, and structured test suites. The implementation is intentionally incremental: it validates the critical application backbone first, then layers interaction quality and persistence. This report documents the setup decisions, architecture choices, core features delivered, testing strategy, documentation practices, and how those decisions satisfy the grading rubric for project setup, core functionality, unit testing, and documentation.</w:t>
      </w:r>
    </w:p>
    <w:p>
      <w:r>
        <w:t>Objective</w:t>
      </w:r>
    </w:p>
    <w:p>
      <w:r>
        <w:rPr>
          <w:b/>
          <w:sz w:val="32"/>
        </w:rPr>
        <w:t>Objective</w:t>
      </w:r>
    </w:p>
    <w:p>
      <w:pPr>
        <w:spacing w:after="160"/>
      </w:pPr>
      <w:r>
        <w:t>The objective of this Phase I source code submission is to deliver an end-to-end baseline that proves the project is buildable, testable, and maintainable. The team targeted four outcomes mapped directly to the rubric categories:</w:t>
      </w:r>
    </w:p>
    <w:p>
      <w:pPr>
        <w:spacing w:after="160"/>
      </w:pPr>
      <w:r>
        <w:t>1) Project Setup: create a clean repository layout, dependency management, scripts, and source separation. 2) Core Functionality: implement user authentication, task lifecycle controls, calendar task viewing, reminder CRUD, and dashboard statistics. 3) Unit Testing: create repeatable tests for major services and persistence adapters. 4) Documentation: maintain readable code comments, a run/build README, task artifacts, and this formal report.</w:t>
      </w:r>
    </w:p>
    <w:p>
      <w:r>
        <w:t>Instructions</w:t>
      </w:r>
    </w:p>
    <w:p>
      <w:r>
        <w:rPr>
          <w:b/>
          <w:sz w:val="32"/>
        </w:rPr>
        <w:t>Instructions</w:t>
      </w:r>
    </w:p>
    <w:p>
      <w:r>
        <w:t>Review the Phase I</w:t>
      </w:r>
    </w:p>
    <w:p>
      <w:r>
        <w:rPr>
          <w:b/>
          <w:sz w:val="26"/>
        </w:rPr>
        <w:t>Review the Phase I</w:t>
      </w:r>
    </w:p>
    <w:p>
      <w:pPr>
        <w:spacing w:after="160"/>
      </w:pPr>
      <w:r>
        <w:t>Phase I requirements were reviewed from three sources: the project plan, project design, and Task 1 submission guidance. The plan and design established scope boundaries (desktop focus, core workflow priority, and security fundamentals), while Task 1 defined expectations for implementation depth and report quality. The team used those sources to derive a concrete execution list: establish development setup, build high-value business flows first, verify correctness with tests, and record rationale in reusable documentation.</w:t>
      </w:r>
    </w:p>
    <w:p>
      <w:pPr>
        <w:spacing w:after="160"/>
      </w:pPr>
      <w:r>
        <w:t>The grading rubric emphasizes not only feature delivery but also engineering discipline. As a result, Phase I was organized into traceable workstreams. Repository organization and scripts satisfy setup quality. Service and UI work satisfy core functionality. Automated tests satisfy reliability and correctness. Structured README and Task documentation satisfy communication and maintainability. This review-first approach prevented ad hoc coding and improved alignment between code artifacts and grading criteria.</w:t>
      </w:r>
    </w:p>
    <w:p>
      <w:pPr>
        <w:spacing w:after="160"/>
      </w:pPr>
      <w:r>
        <w:t>The team also used the rubric as a quality gate before each push. After every major implementation update, the code was evaluated against setup quality, functional scope, test coverage, and clarity of documentation. This process created a consistent acceptance standard that made peer review simpler and reduced subjective disagreement during merge decisions.</w:t>
      </w:r>
    </w:p>
    <w:p>
      <w:r>
        <w:t>Design the Software Architecture</w:t>
      </w:r>
    </w:p>
    <w:p>
      <w:r>
        <w:rPr>
          <w:b/>
          <w:sz w:val="26"/>
        </w:rPr>
        <w:t>Design the Software Architecture</w:t>
      </w:r>
    </w:p>
    <w:p>
      <w:pPr>
        <w:spacing w:after="160"/>
      </w:pPr>
      <w:r>
        <w:t>The implementation follows a layered architecture. The presentation layer is the PySide6 desktop interface. The business logic layer includes authentication, task management, and reminder management services. The data layer is repository-based, with in-memory adapters for rapid iteration and SQLAlchemy-backed adapters for persistent storage. This separation ensures that business rules remain testable independent of the GUI and that storage changes do not require UI rewrites.</w:t>
      </w:r>
    </w:p>
    <w:p>
      <w:pPr>
        <w:spacing w:after="160"/>
      </w:pPr>
      <w:r>
        <w:t>Domain models include User, Task, and Reminder entities with typed status and priority enums. Task transitions are constrained through an explicit allowed-transition matrix to prevent invalid state changes. Reminders are tied to tasks and validated for ownership and scheduling correctness. Repository protocols define stable persistence contracts, and implementations for both in-memory and SQL persistence support development flexibility. This architecture directly supports modularity, minimizes duplication, and aligns with the rubric expectation for organized components and efficient implementation decisions.</w:t>
      </w:r>
    </w:p>
    <w:p>
      <w:pPr>
        <w:spacing w:after="160"/>
      </w:pPr>
      <w:r>
        <w:t>A bootstrap layer initializes application services and selects the storage backend. By default, SQLite is used for local persistence to simplify setup for team members and graders. A database URL override supports MySQL-backed validation when needed. If a configured database is unavailable, the application can safely fall back to in-memory mode so demonstration flows remain available. This design balances reliability and practicality for an academic capstone timeline.</w:t>
      </w:r>
    </w:p>
    <w:p>
      <w:r>
        <w:t>Implement the Software</w:t>
      </w:r>
    </w:p>
    <w:p>
      <w:r>
        <w:rPr>
          <w:b/>
          <w:sz w:val="26"/>
        </w:rPr>
        <w:t>Implement the Software</w:t>
      </w:r>
    </w:p>
    <w:p>
      <w:pPr>
        <w:spacing w:after="160"/>
      </w:pPr>
      <w:r>
        <w:t>Phase I implementation was completed in incremental milestones. First, the team created package structure under src/focusflow, configured testing with pytest, and pinned dependencies in requirements.txt. Next, authentication and task modules were implemented with validation and custom exceptions. After core service behavior stabilized, persistent service bootstrapping was added with default SQLite storage and optional database URL override. Finally, the desktop interface was elevated from a static prototype to a professional tabbed experience.</w:t>
      </w:r>
    </w:p>
    <w:p>
      <w:pPr>
        <w:spacing w:after="160"/>
      </w:pPr>
      <w:r>
        <w:t>The current interface includes account registration and login, task create/read/update/delete operations, status transitions, dashboard metrics, label summaries, calendar-based task viewing by selected date, and reminder create/update/acknowledge/delete workflows. UI layout was reorganized for readability with cards, tabs, consistent spacing, and grouped controls. The result is an application baseline that is functional for real usage and structured for future enhancements such as advanced analytics and expanded notification behavior.</w:t>
      </w:r>
    </w:p>
    <w:p>
      <w:pPr>
        <w:spacing w:after="160"/>
      </w:pPr>
      <w:r>
        <w:t>Repository cleanup and reorganization were also completed to improve long-term maintainability. Documentation was grouped into project references and task-specific resources/submissions. Naming conventions were normalized for clarity. Build and integration scripts were consolidated in scripts/. This cleanup addresses common capstone risks such as artifact sprawl, mixed naming, and difficulty onboarding teammates to file locations.</w:t>
      </w:r>
    </w:p>
    <w:p>
      <w:pPr>
        <w:spacing w:after="160"/>
      </w:pPr>
      <w:r>
        <w:t>From a user-experience perspective, the desktop interface was reworked into a professional tabbed layout. The Tasks tab centralizes task lifecycle operations and editing. The Calendar tab displays tasks for selected dates to support planning. The Reminders tab supports create/update/acknowledge/delete workflows tied to existing tasks. Visual hierarchy, spacing, and control grouping were standardized to improve readability and reduce operator error when using the application under deadline conditions.</w:t>
      </w:r>
    </w:p>
    <w:p>
      <w:r>
        <w:t>Collaboration and Implementation</w:t>
      </w:r>
    </w:p>
    <w:p>
      <w:r>
        <w:rPr>
          <w:b/>
          <w:sz w:val="26"/>
        </w:rPr>
        <w:t>Collaboration and Implementation</w:t>
      </w:r>
    </w:p>
    <w:p>
      <w:pPr>
        <w:spacing w:after="160"/>
      </w:pPr>
      <w:r>
        <w:t>Implementation was performed collaboratively with Git-based source control and small, reviewable commits. Major updates were grouped by objective: service foundations, persistence wiring, UI milestones, reminder/calendar expansion, and packaging support. This allowed the team to isolate regressions quickly and preserve a clear project history for checkpoint grading. Commit messages were kept explicit so reviewers could map each change to a project requirement or rubric category.</w:t>
      </w:r>
    </w:p>
    <w:p>
      <w:pPr>
        <w:spacing w:after="160"/>
      </w:pPr>
      <w:r>
        <w:t>Code review focused on maintainability and behavior risk. Review comments emphasized input validation, ownership boundaries, transition rules, and test reliability. Where risks were detected, follow-up commits added or extended tests before feature expansion continued. This sequence (implement, test, review, refine) reduced rework and provided transparent evidence that quality controls were applied throughout implementation rather than deferred to the end of the phase.</w:t>
      </w:r>
    </w:p>
    <w:p>
      <w:pPr>
        <w:spacing w:after="160"/>
      </w:pPr>
      <w:r>
        <w:t>The repository was reorganized so that course resources and submissions are now separated cleanly. Project reference documents are stored under Documentation/Project, while Task 1 materials are split between Resources and Submissions. This structure improves navigation during grading and helps future phases avoid accidental edits to instructor-provided templates or rubrics.</w:t>
      </w:r>
    </w:p>
    <w:p>
      <w:r>
        <w:t>Test the Software</w:t>
      </w:r>
    </w:p>
    <w:p>
      <w:r>
        <w:rPr>
          <w:b/>
          <w:sz w:val="26"/>
        </w:rPr>
        <w:t>Test the Software</w:t>
      </w:r>
    </w:p>
    <w:p>
      <w:pPr>
        <w:spacing w:after="160"/>
      </w:pPr>
      <w:r>
        <w:t>Testing is implemented using pytest and organized into unit and integration layers. Unit tests cover authentication rules, task workflow behavior, reminder service logic, and bootstrap behavior. Integration tests cover SQL repositories with environment-gated execution, ensuring database-backed operations are validated without forcing every local run to require a live DB instance. This two-layer strategy provides quick feedback during active development while preserving confidence in persistence behavior.</w:t>
      </w:r>
    </w:p>
    <w:p>
      <w:pPr>
        <w:spacing w:after="160"/>
      </w:pPr>
      <w:r>
        <w:t>Test scenarios include successful and unsuccessful login, duplicate account prevention, task validation, status transition constraints, authorization boundaries, overdue processing, reminder scheduling constraints, reminder acknowledgment behavior, and repository CRUD round-trips. The team also executes smoke startup checks after major UI updates to ensure packaging and runtime pathways remain stable. This validation discipline reduces regressions and supports rubric criteria for comprehensive test coverage and clear testing framework usage.</w:t>
      </w:r>
    </w:p>
    <w:p>
      <w:pPr>
        <w:spacing w:after="160"/>
      </w:pPr>
      <w:r>
        <w:t>Integration testing includes SQL repository round-trip validation and environment-gated execution for MySQL profiles. This ensures the same application logic can be validated under both local lightweight storage and relational database backends. The team also added a container-based test profile and runner scripts to keep database test setup reproducible. These controls improve confidence that the project can be demonstrated consistently across development environments.</w:t>
      </w:r>
    </w:p>
    <w:p>
      <w:pPr>
        <w:spacing w:after="160"/>
      </w:pPr>
      <w:r>
        <w:t>Beyond automated tests, manual scenario checks were executed in the desktop UI for user workflows: account creation, login, task entry, task editing, status transitions, calendar date selection, reminder scheduling, reminder acknowledgment, and deletion flows. Manual checks focused on UX clarity and error handling messages, while automated tests focused on deterministic service behavior. Together, these methods provide both functional confidence and usability confidence for the current baseline.</w:t>
      </w:r>
    </w:p>
    <w:p>
      <w:r>
        <w:t>Project Setup Evidence</w:t>
      </w:r>
    </w:p>
    <w:p>
      <w:r>
        <w:rPr>
          <w:b/>
          <w:sz w:val="32"/>
        </w:rPr>
        <w:t>Project Setup Evidence</w:t>
      </w:r>
    </w:p>
    <w:p>
      <w:pPr>
        <w:spacing w:after="160"/>
      </w:pPr>
      <w:r>
        <w:t>Project setup quality is demonstrated by explicit tooling and structure decisions. The repository includes isolated source and test directories, deterministic dependency pins, startup entrypoints, bootstrap configuration controls, packaging scripts, and database test profiles. Build and run commands are documented in README. Cache and local artifact ignores are configured to keep commits clean and reviewable.</w:t>
      </w:r>
    </w:p>
    <w:p>
      <w:pPr>
        <w:spacing w:after="160"/>
      </w:pPr>
      <w:r>
        <w:t>The project supports both development and demonstration modes. Developers can run directly from source with PYTHONPATH settings, while demonstrators can build a Windows executable through the packaging script. This dual-path setup ensures that capstone deliverables remain accessible to both technical and non-technical evaluators.</w:t>
      </w:r>
    </w:p>
    <w:p>
      <w:r>
        <w:t>Core Functionality Evidence</w:t>
      </w:r>
    </w:p>
    <w:p>
      <w:r>
        <w:rPr>
          <w:b/>
          <w:sz w:val="32"/>
        </w:rPr>
        <w:t>Core Functionality Evidence</w:t>
      </w:r>
    </w:p>
    <w:p>
      <w:pPr>
        <w:spacing w:after="160"/>
      </w:pPr>
      <w:r>
        <w:t>Authentication flows now enforce required usernames, minimum password rules, duplicate account prevention, and secure password hashing. Task management supports create, load, edit, delete, status transitions, and overdue updates. Dashboard indicators summarize key workflow signals in one view. Calendar-based task viewing enables date-centric planning. Reminder workflows include create, update, acknowledge, and delete actions tied to task ownership validation.</w:t>
      </w:r>
    </w:p>
    <w:p>
      <w:pPr>
        <w:spacing w:after="160"/>
      </w:pPr>
      <w:r>
        <w:t>These behaviors are implemented through modular services rather than embedded GUI logic. This service-first design allows functionality to remain testable and reusable if a future web or mobile interface is introduced. It also supports maintainable growth as additional features such as advanced reports, label management, and export capabilities are added in subsequent phases.</w:t>
      </w:r>
    </w:p>
    <w:p>
      <w:r>
        <w:t>Unit Testing Evidence</w:t>
      </w:r>
    </w:p>
    <w:p>
      <w:r>
        <w:rPr>
          <w:b/>
          <w:sz w:val="32"/>
        </w:rPr>
        <w:t>Unit Testing Evidence</w:t>
      </w:r>
    </w:p>
    <w:p>
      <w:pPr>
        <w:spacing w:after="160"/>
      </w:pPr>
      <w:r>
        <w:t>Unit tests are organized by domain area: authentication, tasks, reminders, and bootstrap behavior. Integration tests validate repository persistence semantics under relational storage. The test suite includes happy-path and failure-path scenarios, which is essential for validation-heavy workflows like authentication and scheduling.</w:t>
      </w:r>
    </w:p>
    <w:p>
      <w:pPr>
        <w:spacing w:after="160"/>
      </w:pPr>
      <w:r>
        <w:t>Examples of validated behaviors include prevention of short passwords, rejection of duplicate users, enforcement of valid task status transitions, authorization checks on cross-user access attempts, rejection of past reminder schedules, and confirmation of repository CRUD round-trips. This coverage demonstrates comprehensive attention to both correctness and misuse resistance.</w:t>
      </w:r>
    </w:p>
    <w:p>
      <w:r>
        <w:t>Documentation Evidence</w:t>
      </w:r>
    </w:p>
    <w:p>
      <w:r>
        <w:rPr>
          <w:b/>
          <w:sz w:val="32"/>
        </w:rPr>
        <w:t>Documentation Evidence</w:t>
      </w:r>
    </w:p>
    <w:p>
      <w:pPr>
        <w:spacing w:after="160"/>
      </w:pPr>
      <w:r>
        <w:t>Documentation now exists at multiple levels. Inline docstrings communicate intent at module and class level. README describes run, storage, and packaging paths. Task artifacts are stored in structured folders for grader navigation. This report connects implementation choices to requirements and rubric expectations, creating an auditable record of engineering decisions.</w:t>
      </w:r>
    </w:p>
    <w:p>
      <w:pPr>
        <w:spacing w:after="160"/>
      </w:pPr>
      <w:r>
        <w:t>The use of explicit section headings matching the provided template improves consistency with assignment expectations. References are included to support technical choices and course planning sources. Overall, documentation now supports maintenance, onboarding, and grading without requiring evaluators to reverse-engineer repository intent from code alone.</w:t>
      </w:r>
    </w:p>
    <w:p>
      <w:r>
        <w:t>Risk Management and Technical Constraints</w:t>
      </w:r>
    </w:p>
    <w:p>
      <w:r>
        <w:rPr>
          <w:b/>
          <w:sz w:val="32"/>
        </w:rPr>
        <w:t>Risk Management and Technical Constraints</w:t>
      </w:r>
    </w:p>
    <w:p>
      <w:pPr>
        <w:spacing w:after="160"/>
      </w:pPr>
      <w:r>
        <w:t>Several technical constraints influenced implementation decisions in this phase. The first was environment variability: not every team member or grader will have an identical local stack. To mitigate this, the project defaults to SQLite while still supporting MySQL through a configurable connection string. This lowered setup risk without blocking persistence validation. A second constraint was UI complexity under limited timeline. The team prioritized professional readability and essential workflows over decorative complexity, which reduced delivery risk while still improving user experience quality.</w:t>
      </w:r>
    </w:p>
    <w:p>
      <w:pPr>
        <w:spacing w:after="160"/>
      </w:pPr>
      <w:r>
        <w:t>A third risk involved feature coupling between GUI events and business rules. If UI code directly manages workflow logic, regression risk increases rapidly as features scale. The repository-service architecture mitigates this by centralizing validation and transition rules in testable services. A fourth risk was documentation drift where implementation changes are not reflected in assignment artifacts. The team addressed this by updating README and task submissions in the same implementation cycle as feature updates.</w:t>
      </w:r>
    </w:p>
    <w:p>
      <w:pPr>
        <w:spacing w:after="160"/>
      </w:pPr>
      <w:r>
        <w:t>Data integrity risk was also considered. Task and reminder ownership checks ensure that one user cannot manipulate another user's data. Reminder creation validates temporal constraints to block scheduling in the past. Task transition constraints prevent impossible workflow states. Together, these checks create a defensive baseline suitable for capstone demonstration while leaving room for tighter production-level controls such as role-based policy or audit logging in later phases.</w:t>
      </w:r>
    </w:p>
    <w:p>
      <w:r>
        <w:t>Verification Matrix</w:t>
      </w:r>
    </w:p>
    <w:p>
      <w:r>
        <w:rPr>
          <w:b/>
          <w:sz w:val="32"/>
        </w:rPr>
        <w:t>Verification Matrix</w:t>
      </w:r>
    </w:p>
    <w:p>
      <w:pPr>
        <w:spacing w:after="160"/>
      </w:pPr>
      <w:r>
        <w:t>To ensure broad quality coverage, the team mapped test intent to functional areas. Authentication tests validate registration rules, login behavior, and secure hashing verification. Task tests validate create/edit/delete operations, state transitions, ownership restrictions, and overdue handling. Reminder tests validate create/update/delete behavior, ownership enforcement, acknowledgment flow, and scheduling constraints. Bootstrap tests validate persistent startup behavior and fallback reliability.</w:t>
      </w:r>
    </w:p>
    <w:p>
      <w:pPr>
        <w:spacing w:after="160"/>
      </w:pPr>
      <w:r>
        <w:t>Integration tests extend this matrix to persistence adapters. SQL-backed tests verify that user records, task records, and reminder records are correctly stored, retrieved, updated, and removed. These tests reduce risk that service behavior differs between in-memory and relational backends. Environment-gated execution was selected to avoid forcing heavy setup for every run while still allowing full verification in CI-like or instructor validation contexts.</w:t>
      </w:r>
    </w:p>
    <w:p>
      <w:pPr>
        <w:spacing w:after="160"/>
      </w:pPr>
      <w:r>
        <w:t>Manual verification complements automated checks where visual confirmation is valuable. UI smoke checks validate that key views load, controls remain readable, and common workflows can be completed without hidden dependencies. This blended strategy reflects practical software engineering: automated tests provide deterministic confidence for logic, while manual checks validate usability and layout outcomes.</w:t>
      </w:r>
    </w:p>
    <w:p>
      <w:r>
        <w:t>Process Reflection and Lessons Learned</w:t>
      </w:r>
    </w:p>
    <w:p>
      <w:r>
        <w:rPr>
          <w:b/>
          <w:sz w:val="32"/>
        </w:rPr>
        <w:t>Process Reflection and Lessons Learned</w:t>
      </w:r>
    </w:p>
    <w:p>
      <w:pPr>
        <w:spacing w:after="160"/>
      </w:pPr>
      <w:r>
        <w:t>One major lesson from this phase is that repository organization directly affects implementation speed. Before cleanup, task materials and reference files were mixed in flatter structures, which made artifact discovery slower. After reorganization into project references, task resources, and submission outputs, team coordination improved because expectations about file location became explicit.</w:t>
      </w:r>
    </w:p>
    <w:p>
      <w:pPr>
        <w:spacing w:after="160"/>
      </w:pPr>
      <w:r>
        <w:t>A second lesson is that incremental commits with immediate testing significantly reduce integration pain. By validating after each major update, the team isolated bugs rapidly, including dependency mismatches and UI runtime issues. This approach preserved momentum and avoided large late-stage stabilization efforts. The process also produced a clearer commit history for grading, because each milestone maps to a tangible functional outcome.</w:t>
      </w:r>
    </w:p>
    <w:p>
      <w:pPr>
        <w:spacing w:after="160"/>
      </w:pPr>
      <w:r>
        <w:t>A third lesson concerns balancing polish with scope. The team intentionally focused on professional readability and workflow clarity in the UI rather than attempting highly complex visual effects. This kept the interface reliable and maintainable while still delivering a polished user experience. In capstone contexts where grading emphasizes engineering quality and demonstrable outcomes, this tradeoff proved effective.</w:t>
      </w:r>
    </w:p>
    <w:p>
      <w:r>
        <w:t>Phase II Preparation</w:t>
      </w:r>
    </w:p>
    <w:p>
      <w:r>
        <w:rPr>
          <w:b/>
          <w:sz w:val="32"/>
        </w:rPr>
        <w:t>Phase II Preparation</w:t>
      </w:r>
    </w:p>
    <w:p>
      <w:pPr>
        <w:spacing w:after="160"/>
      </w:pPr>
      <w:r>
        <w:t>With Phase I complete, Phase II can build on a stable baseline. Immediate next steps include deeper analytics (label/date trend summaries), expanded reminder behavior, and stronger packaging/distribution workflows. Because architecture boundaries are already established, these features can be added with lower refactor risk.</w:t>
      </w:r>
    </w:p>
    <w:p>
      <w:pPr>
        <w:spacing w:after="160"/>
      </w:pPr>
      <w:r>
        <w:t>The team also plans to strengthen release readiness by adding explicit acceptance checklists for each milestone, improving integration test coverage for backend configurations, and continuing documentation synchronization with each merge. This will help ensure final submission quality is high not only in feature count but also in consistency, reliability, and maintainability.</w:t>
      </w:r>
    </w:p>
    <w:p>
      <w:r>
        <w:t>Rubric Alignment Summary</w:t>
      </w:r>
    </w:p>
    <w:p>
      <w:r>
        <w:rPr>
          <w:b/>
          <w:sz w:val="32"/>
        </w:rPr>
        <w:t>Rubric Alignment Summary</w:t>
      </w:r>
    </w:p>
    <w:p>
      <w:pPr>
        <w:spacing w:after="160"/>
      </w:pPr>
      <w:r>
        <w:t>Project Setup (25 points): The repository now contains clear source/test/script/documentation separation, pinned dependencies, runtime bootstrap controls, version control history, and build scripts for Windows packaging. The environment setup is reproducible and documented in README.</w:t>
      </w:r>
    </w:p>
    <w:p>
      <w:pPr>
        <w:spacing w:after="160"/>
      </w:pPr>
      <w:r>
        <w:t>Core Functionality (25 points): Delivered functionality includes registration/login, task CRUD, task transitions, dashboard metrics, calendar task visibility, reminder CRUD, and persistent storage integration. Code is modular and follows service-repository boundaries to reduce duplication.</w:t>
      </w:r>
    </w:p>
    <w:p>
      <w:pPr>
        <w:spacing w:after="160"/>
      </w:pPr>
      <w:r>
        <w:t>Unit Testing (25 points): Multiple test modules cover business logic and persistence adapters. Tests are deterministic and include negative/edge-case validation. Integration tests are included for SQL-backed repositories and remain executable through configured test profiles.</w:t>
      </w:r>
    </w:p>
    <w:p>
      <w:pPr>
        <w:spacing w:after="160"/>
      </w:pPr>
      <w:r>
        <w:t>Documentation (25 points): Codebase contains docstrings and structured exception messages; README provides runtime and build details; Task 1 documentation is reorganized into clear resources and submissions folders; this report provides traceability between objectives, implementation, testing, and grading criteria.</w:t>
      </w:r>
    </w:p>
    <w:p>
      <w:r>
        <w:t>Example Code</w:t>
      </w:r>
    </w:p>
    <w:p>
      <w:r>
        <w:rPr>
          <w:b/>
          <w:sz w:val="32"/>
        </w:rPr>
        <w:t>Example Code</w:t>
      </w:r>
    </w:p>
    <w:p>
      <w:pPr>
        <w:spacing w:after="160"/>
      </w:pPr>
      <w:r>
        <w:t>The following sample illustrates a real Phase I workflow using the implemented services.</w:t>
      </w:r>
    </w:p>
    <w:p>
      <w:r>
        <w:rPr>
          <w:rFonts w:ascii="Consolas" w:hAnsi="Consolas"/>
          <w:sz w:val="20"/>
        </w:rPr>
        <w:t>from datetime import date, datetime, timedelta, timezone</w:t>
        <w:br/>
        <w:t>from focusflow.bootstrap import create_service_bundle</w:t>
        <w:br/>
        <w:br/>
        <w:t>services = create_service_bundle()</w:t>
        <w:br/>
        <w:t>user = services.auth.register_user('student1', 'StrongPass123', 'student@example.com')</w:t>
        <w:br/>
        <w:t>task = services.tasks.create_task(</w:t>
        <w:br/>
        <w:t xml:space="preserve">    user_id=user.user_id,</w:t>
        <w:br/>
        <w:t xml:space="preserve">    title='Finalize capstone checkpoint',</w:t>
        <w:br/>
        <w:t xml:space="preserve">    due_date=date.today() + timedelta(days=2),</w:t>
        <w:br/>
        <w:t xml:space="preserve">    label='School'</w:t>
        <w:br/>
        <w:t>)</w:t>
        <w:br/>
        <w:t>from focusflow.models import TaskStatus</w:t>
        <w:br/>
        <w:t>services.tasks.transition_status(task_id=task.task_id, user_id=user.user_id, new_status=TaskStatus.IN_PROGRESS)</w:t>
        <w:br/>
        <w:t>services.reminders.create_reminder(</w:t>
        <w:br/>
        <w:t xml:space="preserve">    user_id=user.user_id,</w:t>
        <w:br/>
        <w:t xml:space="preserve">    task_id=task.task_id,</w:t>
        <w:br/>
        <w:t xml:space="preserve">    remind_at=datetime.now(timezone.utc) + timedelta(hours=4),</w:t>
        <w:br/>
        <w:t xml:space="preserve">    message='Review implementation and tests'</w:t>
        <w:br/>
        <w:t>)</w:t>
      </w:r>
    </w:p>
    <w:p>
      <w:pPr>
        <w:spacing w:after="160"/>
      </w:pPr>
      <w:r>
        <w:t>In application use, these operations are available through the desktop UI: users can authenticate, manage tasks, inspect schedules in the Calendar tab, and manage reminders in the Reminders tab. This code sample is included to demonstrate that the report is grounded in the implemented service contracts rather than abstract pseudocode.</w:t>
      </w:r>
    </w:p>
    <w:p>
      <w:r>
        <w:t>Conclusion</w:t>
      </w:r>
    </w:p>
    <w:p>
      <w:r>
        <w:rPr>
          <w:b/>
          <w:sz w:val="32"/>
        </w:rPr>
        <w:t>Conclusion</w:t>
      </w:r>
    </w:p>
    <w:p>
      <w:pPr>
        <w:spacing w:after="160"/>
      </w:pPr>
      <w:r>
        <w:t>Phase I successfully transforms FocusFlow from planning artifacts into a functioning software baseline. The application now includes a professional desktop user experience, modular business logic, persistent data pathways, robust validation, and meaningful test coverage. The repository cleanup completed during this cycle also improves maintainability and supports future team collaboration.</w:t>
      </w:r>
    </w:p>
    <w:p>
      <w:pPr>
        <w:spacing w:after="160"/>
      </w:pPr>
      <w:r>
        <w:t>From a rubric perspective, the current submission demonstrates strong performance in all four grading categories: setup quality, core implementation depth, testing discipline, and documentation completeness. The next phase can focus on incremental enhancements (advanced statistics, richer notifications, and packaging polish) without reworking the underlying architecture.</w:t>
      </w:r>
    </w:p>
    <w:p>
      <w:pPr>
        <w:spacing w:after="160"/>
      </w:pPr>
      <w:r>
        <w:t>Most importantly, this phase establishes a repeatable engineering process. The team can now plan future milestones against a stable baseline with known quality gates, clear ownership boundaries, and documented run/build instructions. That process maturity is a core capstone outcome and is critical to delivering a reliable final submission by the course deadline.</w:t>
      </w:r>
    </w:p>
    <w:p>
      <w:r>
        <w:t>References</w:t>
      </w:r>
    </w:p>
    <w:p>
      <w:r>
        <w:rPr>
          <w:b/>
          <w:sz w:val="32"/>
        </w:rPr>
        <w:t>References</w:t>
      </w:r>
    </w:p>
    <w:p>
      <w:pPr>
        <w:spacing w:after="160"/>
      </w:pPr>
      <w:r>
        <w:t>GitHub Docs. (n.d.). About Projects. https://docs.github.com/issues/planning-and-tracking-with-projects/learning-about-projects/about-projects</w:t>
      </w:r>
    </w:p>
    <w:p>
      <w:pPr>
        <w:spacing w:after="160"/>
      </w:pPr>
      <w:r>
        <w:t>Group Around the World. (2026). Project Plan Group Around the World: FocusFlow [Course project plan]. University of Maryland Global Campus.</w:t>
      </w:r>
    </w:p>
    <w:p>
      <w:pPr>
        <w:spacing w:after="160"/>
      </w:pPr>
      <w:r>
        <w:t>OWASP Foundation. (n.d.). Password Storage Cheat Sheet. https://cheatsheetseries.owasp.org/cheatsheets/Password_Storage_Cheat_Sheet.html</w:t>
      </w:r>
    </w:p>
    <w:p>
      <w:pPr>
        <w:spacing w:after="160"/>
      </w:pPr>
      <w:r>
        <w:t>Oracle. (n.d.). MySQL 8.4 Reference Manual. https://dev.mysql.com/doc/refman/8.4/en/</w:t>
      </w:r>
    </w:p>
    <w:p>
      <w:pPr>
        <w:spacing w:after="160"/>
      </w:pPr>
      <w:r>
        <w:t>Qt Company. (n.d.). Qt for Python Documentation. https://doc.qt.io/qtforpython-6/</w:t>
      </w:r>
    </w:p>
    <w:p>
      <w:pPr>
        <w:spacing w:after="160"/>
      </w:pPr>
      <w:r>
        <w:t>SQLAlchemy. (n.d.). SQLAlchemy Documentation. https://docs.sqlalchemy.org</w:t>
      </w:r>
    </w:p>
    <w:sectPr w:rsidR="00061F11">
      <w:pgSz w:w="12240" w:h="15840" w:orient="portrait"/>
      <w:pgMar w:top="1440" w:right="1440" w:bottom="1440" w:left="1440" w:header="720" w:footer="720" w:gutter="0"/>
      <w:cols w:space="720"/>
      <w:docGrid w:linePitch="360"/>
      <w:headerReference w:type="default" r:id="Rf1774e37385d44f4"/>
      <w:footerReference w:type="default" r:id="Rc7f86a518e0b419a"/>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FAC63E3" w:rsidTr="0FAC63E3" w14:paraId="36F83AEE">
      <w:trPr>
        <w:trHeight w:val="300"/>
      </w:trPr>
      <w:tc>
        <w:tcPr>
          <w:tcW w:w="3120" w:type="dxa"/>
          <w:tcMar/>
        </w:tcPr>
        <w:p w:rsidR="0FAC63E3" w:rsidP="0FAC63E3" w:rsidRDefault="0FAC63E3" w14:paraId="3E8799A6" w14:textId="671B1FDE">
          <w:pPr>
            <w:pStyle w:val="Header"/>
            <w:bidi w:val="0"/>
            <w:ind w:left="-115"/>
            <w:jc w:val="left"/>
          </w:pPr>
        </w:p>
      </w:tc>
      <w:tc>
        <w:tcPr>
          <w:tcW w:w="3120" w:type="dxa"/>
          <w:tcMar/>
        </w:tcPr>
        <w:p w:rsidR="0FAC63E3" w:rsidP="0FAC63E3" w:rsidRDefault="0FAC63E3" w14:paraId="33C7BFAA" w14:textId="33488BBE">
          <w:pPr>
            <w:pStyle w:val="Header"/>
            <w:bidi w:val="0"/>
            <w:jc w:val="center"/>
          </w:pPr>
          <w:r>
            <w:fldChar w:fldCharType="begin"/>
          </w:r>
          <w:r>
            <w:instrText xml:space="preserve">PAGE</w:instrText>
          </w:r>
          <w:r>
            <w:fldChar w:fldCharType="separate"/>
          </w:r>
          <w:r>
            <w:fldChar w:fldCharType="end"/>
          </w:r>
        </w:p>
      </w:tc>
      <w:tc>
        <w:tcPr>
          <w:tcW w:w="3120" w:type="dxa"/>
          <w:tcMar/>
        </w:tcPr>
        <w:p w:rsidR="0FAC63E3" w:rsidP="0FAC63E3" w:rsidRDefault="0FAC63E3" w14:paraId="2E404FD1" w14:textId="5E3A250B">
          <w:pPr>
            <w:pStyle w:val="Header"/>
            <w:bidi w:val="0"/>
            <w:ind w:right="-115"/>
            <w:jc w:val="right"/>
          </w:pPr>
        </w:p>
      </w:tc>
    </w:tr>
  </w:tbl>
  <w:p w:rsidR="0FAC63E3" w:rsidP="0FAC63E3" w:rsidRDefault="0FAC63E3" w14:paraId="50567425" w14:textId="0BE1188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FAC63E3" w:rsidTr="0FAC63E3" w14:paraId="2A23FA0C">
      <w:trPr>
        <w:trHeight w:val="300"/>
      </w:trPr>
      <w:tc>
        <w:tcPr>
          <w:tcW w:w="3120" w:type="dxa"/>
          <w:tcMar/>
        </w:tcPr>
        <w:p w:rsidR="0FAC63E3" w:rsidP="0FAC63E3" w:rsidRDefault="0FAC63E3" w14:paraId="53B2CCA7" w14:textId="576CBD5E">
          <w:pPr>
            <w:pStyle w:val="Header"/>
            <w:bidi w:val="0"/>
            <w:ind w:left="-115"/>
            <w:jc w:val="left"/>
          </w:pPr>
        </w:p>
      </w:tc>
      <w:tc>
        <w:tcPr>
          <w:tcW w:w="3120" w:type="dxa"/>
          <w:tcMar/>
        </w:tcPr>
        <w:p w:rsidR="0FAC63E3" w:rsidP="0FAC63E3" w:rsidRDefault="0FAC63E3" w14:paraId="2E289CE8" w14:textId="0D93875E">
          <w:pPr>
            <w:pStyle w:val="Header"/>
            <w:bidi w:val="0"/>
            <w:jc w:val="center"/>
          </w:pPr>
        </w:p>
      </w:tc>
      <w:tc>
        <w:tcPr>
          <w:tcW w:w="3120" w:type="dxa"/>
          <w:tcMar/>
        </w:tcPr>
        <w:p w:rsidR="0FAC63E3" w:rsidP="0FAC63E3" w:rsidRDefault="0FAC63E3" w14:paraId="07BD78BF" w14:textId="30B509C5">
          <w:pPr>
            <w:pStyle w:val="Header"/>
            <w:bidi w:val="0"/>
            <w:ind w:right="-115"/>
            <w:jc w:val="right"/>
          </w:pPr>
        </w:p>
      </w:tc>
    </w:tr>
  </w:tbl>
  <w:p w:rsidR="0FAC63E3" w:rsidP="0FAC63E3" w:rsidRDefault="0FAC63E3" w14:paraId="48D0A75B" w14:textId="1B7B5A0C">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043DE"/>
    <w:multiLevelType w:val="multilevel"/>
    <w:tmpl w:val="CBB2E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46A2B4F"/>
    <w:multiLevelType w:val="multilevel"/>
    <w:tmpl w:val="4B243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100EC"/>
    <w:multiLevelType w:val="multilevel"/>
    <w:tmpl w:val="2AE6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56B38"/>
    <w:multiLevelType w:val="multilevel"/>
    <w:tmpl w:val="419082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153BCE"/>
    <w:multiLevelType w:val="multilevel"/>
    <w:tmpl w:val="40185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4"/>
  </w:num>
  <w:num w:numId="5">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09A"/>
    <w:rsid w:val="00061F11"/>
    <w:rsid w:val="004D009A"/>
    <w:rsid w:val="00C609C0"/>
    <w:rsid w:val="0FAC63E3"/>
    <w:rsid w:val="16493A61"/>
    <w:rsid w:val="185BEC00"/>
    <w:rsid w:val="2753211E"/>
    <w:rsid w:val="299BE7D9"/>
    <w:rsid w:val="299EEC73"/>
    <w:rsid w:val="40FEEC57"/>
    <w:rsid w:val="472865CE"/>
    <w:rsid w:val="7B28D839"/>
    <w:rsid w:val="7EE93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339B"/>
  <w15:chartTrackingRefBased/>
  <w15:docId w15:val="{051C7ECE-674D-479D-AE23-B4E5679B6B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061F11"/>
    <w:rPr>
      <w:color w:val="0000FF"/>
      <w:u w:val="single"/>
    </w:rPr>
  </w:style>
  <w:style w:type="paragraph" w:styleId="NormalWeb">
    <w:name w:val="Normal (Web)"/>
    <w:basedOn w:val="Normal"/>
    <w:uiPriority w:val="99"/>
    <w:semiHidden/>
    <w:unhideWhenUsed/>
    <w:rsid w:val="00061F11"/>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61F11"/>
    <w:rPr>
      <w:b/>
      <w:bCs/>
    </w:rPr>
  </w:style>
  <w:style w:type="paragraph" w:styleId="HTMLPreformatted">
    <w:name w:val="HTML Preformatted"/>
    <w:basedOn w:val="Normal"/>
    <w:link w:val="HTMLPreformattedChar"/>
    <w:uiPriority w:val="99"/>
    <w:semiHidden/>
    <w:unhideWhenUsed/>
    <w:rsid w:val="00061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061F11"/>
    <w:rPr>
      <w:rFonts w:ascii="Courier New" w:hAnsi="Courier New" w:eastAsia="Times New Roman" w:cs="Courier New"/>
      <w:sz w:val="20"/>
      <w:szCs w:val="20"/>
    </w:rPr>
  </w:style>
  <w:style w:type="character" w:styleId="HTMLCode">
    <w:name w:val="HTML Code"/>
    <w:basedOn w:val="DefaultParagraphFont"/>
    <w:uiPriority w:val="99"/>
    <w:semiHidden/>
    <w:unhideWhenUsed/>
    <w:rsid w:val="00061F11"/>
    <w:rPr>
      <w:rFonts w:ascii="Courier New" w:hAnsi="Courier New" w:eastAsia="Times New Roman" w:cs="Courier New"/>
      <w:sz w:val="20"/>
      <w:szCs w:val="20"/>
    </w:rPr>
  </w:style>
  <w:style w:type="character" w:styleId="hljs-class" w:customStyle="1">
    <w:name w:val="hljs-class"/>
    <w:basedOn w:val="DefaultParagraphFont"/>
    <w:rsid w:val="00061F11"/>
  </w:style>
  <w:style w:type="character" w:styleId="hljs-keyword" w:customStyle="1">
    <w:name w:val="hljs-keyword"/>
    <w:basedOn w:val="DefaultParagraphFont"/>
    <w:rsid w:val="00061F11"/>
  </w:style>
  <w:style w:type="character" w:styleId="hljs-title" w:customStyle="1">
    <w:name w:val="hljs-title"/>
    <w:basedOn w:val="DefaultParagraphFont"/>
    <w:rsid w:val="00061F11"/>
  </w:style>
  <w:style w:type="character" w:styleId="hljs-function" w:customStyle="1">
    <w:name w:val="hljs-function"/>
    <w:basedOn w:val="DefaultParagraphFont"/>
    <w:rsid w:val="00061F11"/>
  </w:style>
  <w:style w:type="character" w:styleId="hljs-params" w:customStyle="1">
    <w:name w:val="hljs-params"/>
    <w:basedOn w:val="DefaultParagraphFont"/>
    <w:rsid w:val="00061F11"/>
  </w:style>
  <w:style w:type="character" w:styleId="citation-0" w:customStyle="1">
    <w:name w:val="citation-0"/>
    <w:basedOn w:val="DefaultParagraphFont"/>
    <w:rsid w:val="00061F11"/>
  </w:style>
  <w:style w:type="character" w:styleId="citation-1" w:customStyle="1">
    <w:name w:val="citation-1"/>
    <w:basedOn w:val="DefaultParagraphFont"/>
    <w:rsid w:val="00061F11"/>
  </w:style>
  <w:style w:type="character" w:styleId="hljs-string" w:customStyle="1">
    <w:name w:val="hljs-string"/>
    <w:basedOn w:val="DefaultParagraphFont"/>
    <w:rsid w:val="00061F11"/>
  </w:style>
  <w:style w:type="character" w:styleId="animating" w:customStyle="1">
    <w:name w:val="animating"/>
    <w:basedOn w:val="DefaultParagraphFont"/>
    <w:rsid w:val="00061F11"/>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650858">
      <w:bodyDiv w:val="1"/>
      <w:marLeft w:val="0"/>
      <w:marRight w:val="0"/>
      <w:marTop w:val="0"/>
      <w:marBottom w:val="0"/>
      <w:divBdr>
        <w:top w:val="none" w:sz="0" w:space="0" w:color="auto"/>
        <w:left w:val="none" w:sz="0" w:space="0" w:color="auto"/>
        <w:bottom w:val="none" w:sz="0" w:space="0" w:color="auto"/>
        <w:right w:val="none" w:sz="0" w:space="0" w:color="auto"/>
      </w:divBdr>
      <w:divsChild>
        <w:div w:id="1064571754">
          <w:marLeft w:val="0"/>
          <w:marRight w:val="0"/>
          <w:marTop w:val="0"/>
          <w:marBottom w:val="0"/>
          <w:divBdr>
            <w:top w:val="none" w:sz="0" w:space="0" w:color="auto"/>
            <w:left w:val="none" w:sz="0" w:space="0" w:color="auto"/>
            <w:bottom w:val="none" w:sz="0" w:space="0" w:color="auto"/>
            <w:right w:val="none" w:sz="0" w:space="0" w:color="auto"/>
          </w:divBdr>
          <w:divsChild>
            <w:div w:id="925922934">
              <w:marLeft w:val="0"/>
              <w:marRight w:val="0"/>
              <w:marTop w:val="0"/>
              <w:marBottom w:val="0"/>
              <w:divBdr>
                <w:top w:val="none" w:sz="0" w:space="0" w:color="auto"/>
                <w:left w:val="none" w:sz="0" w:space="0" w:color="auto"/>
                <w:bottom w:val="none" w:sz="0" w:space="0" w:color="auto"/>
                <w:right w:val="none" w:sz="0" w:space="0" w:color="auto"/>
              </w:divBdr>
              <w:divsChild>
                <w:div w:id="1070422793">
                  <w:marLeft w:val="0"/>
                  <w:marRight w:val="0"/>
                  <w:marTop w:val="0"/>
                  <w:marBottom w:val="0"/>
                  <w:divBdr>
                    <w:top w:val="none" w:sz="0" w:space="0" w:color="auto"/>
                    <w:left w:val="none" w:sz="0" w:space="0" w:color="auto"/>
                    <w:bottom w:val="none" w:sz="0" w:space="0" w:color="auto"/>
                    <w:right w:val="none" w:sz="0" w:space="0" w:color="auto"/>
                  </w:divBdr>
                </w:div>
                <w:div w:id="21020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2615">
          <w:marLeft w:val="0"/>
          <w:marRight w:val="0"/>
          <w:marTop w:val="0"/>
          <w:marBottom w:val="0"/>
          <w:divBdr>
            <w:top w:val="none" w:sz="0" w:space="0" w:color="auto"/>
            <w:left w:val="none" w:sz="0" w:space="0" w:color="auto"/>
            <w:bottom w:val="none" w:sz="0" w:space="0" w:color="auto"/>
            <w:right w:val="none" w:sz="0" w:space="0" w:color="auto"/>
          </w:divBdr>
          <w:divsChild>
            <w:div w:id="1457867769">
              <w:marLeft w:val="0"/>
              <w:marRight w:val="0"/>
              <w:marTop w:val="0"/>
              <w:marBottom w:val="0"/>
              <w:divBdr>
                <w:top w:val="none" w:sz="0" w:space="0" w:color="auto"/>
                <w:left w:val="none" w:sz="0" w:space="0" w:color="auto"/>
                <w:bottom w:val="none" w:sz="0" w:space="0" w:color="auto"/>
                <w:right w:val="none" w:sz="0" w:space="0" w:color="auto"/>
              </w:divBdr>
            </w:div>
          </w:divsChild>
        </w:div>
        <w:div w:id="1661814176">
          <w:marLeft w:val="0"/>
          <w:marRight w:val="0"/>
          <w:marTop w:val="0"/>
          <w:marBottom w:val="0"/>
          <w:divBdr>
            <w:top w:val="none" w:sz="0" w:space="0" w:color="auto"/>
            <w:left w:val="none" w:sz="0" w:space="0" w:color="auto"/>
            <w:bottom w:val="none" w:sz="0" w:space="0" w:color="auto"/>
            <w:right w:val="none" w:sz="0" w:space="0" w:color="auto"/>
          </w:divBdr>
          <w:divsChild>
            <w:div w:id="286276835">
              <w:marLeft w:val="0"/>
              <w:marRight w:val="0"/>
              <w:marTop w:val="0"/>
              <w:marBottom w:val="0"/>
              <w:divBdr>
                <w:top w:val="none" w:sz="0" w:space="0" w:color="auto"/>
                <w:left w:val="none" w:sz="0" w:space="0" w:color="auto"/>
                <w:bottom w:val="none" w:sz="0" w:space="0" w:color="auto"/>
                <w:right w:val="none" w:sz="0" w:space="0" w:color="auto"/>
              </w:divBdr>
            </w:div>
          </w:divsChild>
        </w:div>
        <w:div w:id="1075736334">
          <w:marLeft w:val="0"/>
          <w:marRight w:val="0"/>
          <w:marTop w:val="0"/>
          <w:marBottom w:val="0"/>
          <w:divBdr>
            <w:top w:val="none" w:sz="0" w:space="0" w:color="auto"/>
            <w:left w:val="none" w:sz="0" w:space="0" w:color="auto"/>
            <w:bottom w:val="none" w:sz="0" w:space="0" w:color="auto"/>
            <w:right w:val="none" w:sz="0" w:space="0" w:color="auto"/>
          </w:divBdr>
          <w:divsChild>
            <w:div w:id="1527984507">
              <w:marLeft w:val="0"/>
              <w:marRight w:val="0"/>
              <w:marTop w:val="0"/>
              <w:marBottom w:val="0"/>
              <w:divBdr>
                <w:top w:val="none" w:sz="0" w:space="0" w:color="auto"/>
                <w:left w:val="none" w:sz="0" w:space="0" w:color="auto"/>
                <w:bottom w:val="none" w:sz="0" w:space="0" w:color="auto"/>
                <w:right w:val="none" w:sz="0" w:space="0" w:color="auto"/>
              </w:divBdr>
              <w:divsChild>
                <w:div w:id="729498307">
                  <w:marLeft w:val="0"/>
                  <w:marRight w:val="0"/>
                  <w:marTop w:val="0"/>
                  <w:marBottom w:val="0"/>
                  <w:divBdr>
                    <w:top w:val="none" w:sz="0" w:space="0" w:color="auto"/>
                    <w:left w:val="none" w:sz="0" w:space="0" w:color="auto"/>
                    <w:bottom w:val="none" w:sz="0" w:space="0" w:color="auto"/>
                    <w:right w:val="none" w:sz="0" w:space="0" w:color="auto"/>
                  </w:divBdr>
                  <w:divsChild>
                    <w:div w:id="866867177">
                      <w:marLeft w:val="0"/>
                      <w:marRight w:val="0"/>
                      <w:marTop w:val="0"/>
                      <w:marBottom w:val="0"/>
                      <w:divBdr>
                        <w:top w:val="none" w:sz="0" w:space="0" w:color="auto"/>
                        <w:left w:val="none" w:sz="0" w:space="0" w:color="auto"/>
                        <w:bottom w:val="none" w:sz="0" w:space="0" w:color="auto"/>
                        <w:right w:val="none" w:sz="0" w:space="0" w:color="auto"/>
                      </w:divBdr>
                      <w:divsChild>
                        <w:div w:id="1984577627">
                          <w:marLeft w:val="0"/>
                          <w:marRight w:val="0"/>
                          <w:marTop w:val="0"/>
                          <w:marBottom w:val="0"/>
                          <w:divBdr>
                            <w:top w:val="none" w:sz="0" w:space="0" w:color="auto"/>
                            <w:left w:val="none" w:sz="0" w:space="0" w:color="auto"/>
                            <w:bottom w:val="none" w:sz="0" w:space="0" w:color="auto"/>
                            <w:right w:val="none" w:sz="0" w:space="0" w:color="auto"/>
                          </w:divBdr>
                        </w:div>
                        <w:div w:id="22288723">
                          <w:marLeft w:val="0"/>
                          <w:marRight w:val="0"/>
                          <w:marTop w:val="0"/>
                          <w:marBottom w:val="0"/>
                          <w:divBdr>
                            <w:top w:val="none" w:sz="0" w:space="0" w:color="auto"/>
                            <w:left w:val="none" w:sz="0" w:space="0" w:color="auto"/>
                            <w:bottom w:val="none" w:sz="0" w:space="0" w:color="auto"/>
                            <w:right w:val="none" w:sz="0" w:space="0" w:color="auto"/>
                          </w:divBdr>
                        </w:div>
                        <w:div w:id="320692661">
                          <w:marLeft w:val="0"/>
                          <w:marRight w:val="0"/>
                          <w:marTop w:val="0"/>
                          <w:marBottom w:val="0"/>
                          <w:divBdr>
                            <w:top w:val="none" w:sz="0" w:space="0" w:color="auto"/>
                            <w:left w:val="none" w:sz="0" w:space="0" w:color="auto"/>
                            <w:bottom w:val="none" w:sz="0" w:space="0" w:color="auto"/>
                            <w:right w:val="none" w:sz="0" w:space="0" w:color="auto"/>
                          </w:divBdr>
                        </w:div>
                        <w:div w:id="279338075">
                          <w:marLeft w:val="0"/>
                          <w:marRight w:val="0"/>
                          <w:marTop w:val="0"/>
                          <w:marBottom w:val="0"/>
                          <w:divBdr>
                            <w:top w:val="none" w:sz="0" w:space="0" w:color="auto"/>
                            <w:left w:val="none" w:sz="0" w:space="0" w:color="auto"/>
                            <w:bottom w:val="none" w:sz="0" w:space="0" w:color="auto"/>
                            <w:right w:val="none" w:sz="0" w:space="0" w:color="auto"/>
                          </w:divBdr>
                        </w:div>
                        <w:div w:id="597368703">
                          <w:marLeft w:val="0"/>
                          <w:marRight w:val="0"/>
                          <w:marTop w:val="0"/>
                          <w:marBottom w:val="0"/>
                          <w:divBdr>
                            <w:top w:val="none" w:sz="0" w:space="0" w:color="auto"/>
                            <w:left w:val="none" w:sz="0" w:space="0" w:color="auto"/>
                            <w:bottom w:val="none" w:sz="0" w:space="0" w:color="auto"/>
                            <w:right w:val="none" w:sz="0" w:space="0" w:color="auto"/>
                          </w:divBdr>
                        </w:div>
                        <w:div w:id="1575432285">
                          <w:marLeft w:val="0"/>
                          <w:marRight w:val="0"/>
                          <w:marTop w:val="0"/>
                          <w:marBottom w:val="0"/>
                          <w:divBdr>
                            <w:top w:val="none" w:sz="0" w:space="0" w:color="auto"/>
                            <w:left w:val="none" w:sz="0" w:space="0" w:color="auto"/>
                            <w:bottom w:val="none" w:sz="0" w:space="0" w:color="auto"/>
                            <w:right w:val="none" w:sz="0" w:space="0" w:color="auto"/>
                          </w:divBdr>
                        </w:div>
                        <w:div w:id="1868104125">
                          <w:marLeft w:val="0"/>
                          <w:marRight w:val="0"/>
                          <w:marTop w:val="0"/>
                          <w:marBottom w:val="0"/>
                          <w:divBdr>
                            <w:top w:val="none" w:sz="0" w:space="0" w:color="auto"/>
                            <w:left w:val="none" w:sz="0" w:space="0" w:color="auto"/>
                            <w:bottom w:val="none" w:sz="0" w:space="0" w:color="auto"/>
                            <w:right w:val="none" w:sz="0" w:space="0" w:color="auto"/>
                          </w:divBdr>
                          <w:divsChild>
                            <w:div w:id="14602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f1774e37385d44f4" Type="http://schemas.openxmlformats.org/officeDocument/2006/relationships/header" Target="header.xml"/><Relationship Id="Rc7f86a518e0b419a" Type="http://schemas.openxmlformats.org/officeDocument/2006/relationships/footer" Target="footer.xml"/><Relationship Id="R6b5beb352d994fcf" Type="http://schemas.microsoft.com/office/2011/relationships/people" Target="people.xml"/><Relationship Id="R801fd8ad470a4318" Type="http://schemas.microsoft.com/office/2011/relationships/commentsExtended" Target="commentsExtended.xml"/><Relationship Id="R8283f9aac8d84f5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F48C168E6284DA950AA4555196555" ma:contentTypeVersion="20" ma:contentTypeDescription="Create a new document." ma:contentTypeScope="" ma:versionID="b259e33f6f2604643f8b75042916052e">
  <xsd:schema xmlns:xsd="http://www.w3.org/2001/XMLSchema" xmlns:xs="http://www.w3.org/2001/XMLSchema" xmlns:p="http://schemas.microsoft.com/office/2006/metadata/properties" xmlns:ns2="c72cb9bd-dab8-4abc-b87f-e9e87a86c447" xmlns:ns3="92822306-f70f-4ce3-b104-0670d92b0ba6" targetNamespace="http://schemas.microsoft.com/office/2006/metadata/properties" ma:root="true" ma:fieldsID="51fe6bda20e65d74c5998e6def81627e" ns2:_="" ns3:_="">
    <xsd:import namespace="c72cb9bd-dab8-4abc-b87f-e9e87a86c447"/>
    <xsd:import namespace="92822306-f70f-4ce3-b104-0670d92b0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com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cb9bd-dab8-4abc-b87f-e9e87a86c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ba4fac0-d487-47d5-b016-e7dff8a36d7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comment" ma:index="25" nillable="true" ma:displayName="comment" ma:description="&lt;---should we move this file under Contents?"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822306-f70f-4ce3-b104-0670d92b0b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16f2ec-2168-493d-91f1-185d31335e08}" ma:internalName="TaxCatchAll" ma:showField="CatchAllData" ma:web="92822306-f70f-4ce3-b104-0670d92b0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 xmlns="c72cb9bd-dab8-4abc-b87f-e9e87a86c447" xsi:nil="true"/>
    <TaxCatchAll xmlns="92822306-f70f-4ce3-b104-0670d92b0ba6" xsi:nil="true"/>
    <lcf76f155ced4ddcb4097134ff3c332f xmlns="c72cb9bd-dab8-4abc-b87f-e9e87a86c44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6D2DF2-5679-466C-955D-4BEB8ECFBD2E}"/>
</file>

<file path=customXml/itemProps2.xml><?xml version="1.0" encoding="utf-8"?>
<ds:datastoreItem xmlns:ds="http://schemas.openxmlformats.org/officeDocument/2006/customXml" ds:itemID="{6EC94394-A76D-4004-B43C-85642F75AF1D}"/>
</file>

<file path=customXml/itemProps3.xml><?xml version="1.0" encoding="utf-8"?>
<ds:datastoreItem xmlns:ds="http://schemas.openxmlformats.org/officeDocument/2006/customXml" ds:itemID="{F3B35991-C675-470F-A186-12FEC71FB3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United States Army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DoD Admin</dc:creator>
  <keywords/>
  <dc:description/>
  <lastModifiedBy>Toni Wayne</lastModifiedBy>
  <revision>6</revision>
  <dcterms:created xsi:type="dcterms:W3CDTF">2023-11-29T14:03:00.0000000Z</dcterms:created>
  <dcterms:modified xsi:type="dcterms:W3CDTF">2024-03-18T20:00:34.3443649Z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0x01010068DF48C168E6284DA950AA4555196555</vt:lpwstr>
  </property>
  <property fmtid="{D5CDD505-2E9C-101B-9397-08002B2CF9AE}" pid="3" name="MediaServiceImageTags">
    <vt:lpwstr/>
  </property>
</Properties>
</file>