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1AEB4" w14:textId="05109103" w:rsidR="0056457E" w:rsidRPr="0056457E" w:rsidRDefault="0056457E" w:rsidP="0056457E">
      <w:pPr>
        <w:rPr>
          <w:b/>
          <w:bCs/>
        </w:rPr>
      </w:pPr>
      <w:r w:rsidRPr="0056457E">
        <w:rPr>
          <w:b/>
          <w:bCs/>
        </w:rPr>
        <w:t xml:space="preserve">Clarifications/Questions for </w:t>
      </w:r>
      <w:r>
        <w:rPr>
          <w:b/>
          <w:bCs/>
        </w:rPr>
        <w:t>moving the Solution to Discover to Define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31"/>
        <w:gridCol w:w="1905"/>
        <w:gridCol w:w="9497"/>
        <w:gridCol w:w="2349"/>
      </w:tblGrid>
      <w:tr w:rsidR="00A504DA" w:rsidRPr="0056457E" w14:paraId="1AAD7806" w14:textId="766BF710" w:rsidTr="006C75E3">
        <w:tc>
          <w:tcPr>
            <w:tcW w:w="163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59805A3" w14:textId="77777777" w:rsidR="00A504DA" w:rsidRPr="0056457E" w:rsidRDefault="00A504DA" w:rsidP="0056457E">
            <w:r w:rsidRPr="0056457E">
              <w:rPr>
                <w:b/>
                <w:bCs/>
              </w:rPr>
              <w:t>Question/Area of Clarification</w:t>
            </w:r>
          </w:p>
        </w:tc>
        <w:tc>
          <w:tcPr>
            <w:tcW w:w="190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1CF450" w14:textId="77777777" w:rsidR="00A504DA" w:rsidRPr="0056457E" w:rsidRDefault="00A504DA" w:rsidP="0056457E">
            <w:r w:rsidRPr="0056457E">
              <w:rPr>
                <w:b/>
                <w:bCs/>
              </w:rPr>
              <w:t>Our Understanding</w:t>
            </w:r>
          </w:p>
        </w:tc>
        <w:tc>
          <w:tcPr>
            <w:tcW w:w="94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D58071" w14:textId="77105EC5" w:rsidR="00A504DA" w:rsidRPr="0056457E" w:rsidRDefault="00A504DA" w:rsidP="0056457E">
            <w:r w:rsidRPr="0056457E">
              <w:rPr>
                <w:b/>
                <w:bCs/>
              </w:rPr>
              <w:t>Specific Questions</w:t>
            </w:r>
          </w:p>
        </w:tc>
        <w:tc>
          <w:tcPr>
            <w:tcW w:w="2349" w:type="dxa"/>
            <w:tcBorders>
              <w:top w:val="single" w:sz="6" w:space="0" w:color="000000"/>
              <w:left w:val="single" w:sz="6" w:space="0" w:color="000000"/>
              <w:bottom w:val="single" w:sz="6" w:space="0" w:color="000000"/>
              <w:right w:val="single" w:sz="6" w:space="0" w:color="000000"/>
            </w:tcBorders>
            <w:shd w:val="clear" w:color="auto" w:fill="F8FAFD"/>
          </w:tcPr>
          <w:p w14:paraId="26F21EFE" w14:textId="08F1AB7A" w:rsidR="00A504DA" w:rsidRPr="0056457E" w:rsidRDefault="00A504DA" w:rsidP="0056457E">
            <w:pPr>
              <w:rPr>
                <w:b/>
                <w:bCs/>
              </w:rPr>
            </w:pPr>
            <w:r>
              <w:rPr>
                <w:b/>
                <w:bCs/>
              </w:rPr>
              <w:t>Dependency</w:t>
            </w:r>
          </w:p>
        </w:tc>
      </w:tr>
      <w:tr w:rsidR="00A504DA" w:rsidRPr="0056457E" w14:paraId="57D1B803" w14:textId="4FF28B34" w:rsidTr="006C75E3">
        <w:tc>
          <w:tcPr>
            <w:tcW w:w="163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E23328" w14:textId="77777777" w:rsidR="00A504DA" w:rsidRPr="0056457E" w:rsidRDefault="00A504DA" w:rsidP="0056457E">
            <w:r w:rsidRPr="0056457E">
              <w:rPr>
                <w:b/>
                <w:bCs/>
              </w:rPr>
              <w:t>1. Precise Definition and Thresholds of "Near Miss" Events</w:t>
            </w:r>
          </w:p>
        </w:tc>
        <w:tc>
          <w:tcPr>
            <w:tcW w:w="190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D1491D" w14:textId="77777777" w:rsidR="00A504DA" w:rsidRPr="0056457E" w:rsidRDefault="00A504DA" w:rsidP="0056457E">
            <w:proofErr w:type="spellStart"/>
            <w:r w:rsidRPr="0056457E">
              <w:t>trigger_source_event</w:t>
            </w:r>
            <w:proofErr w:type="spellEnd"/>
            <w:r w:rsidRPr="0056457E">
              <w:t xml:space="preserve"> types (e.g., TRIG_AEB_WARNING_MSG) define near-misses.</w:t>
            </w:r>
          </w:p>
        </w:tc>
        <w:tc>
          <w:tcPr>
            <w:tcW w:w="94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D2A561" w14:textId="77777777" w:rsidR="00A504DA" w:rsidRDefault="00A504DA" w:rsidP="0056457E">
            <w:r w:rsidRPr="0056457E">
              <w:t xml:space="preserve">We need the </w:t>
            </w:r>
            <w:r w:rsidRPr="0056457E">
              <w:rPr>
                <w:i/>
                <w:iCs/>
              </w:rPr>
              <w:t>specific quantitative thresholds</w:t>
            </w:r>
            <w:r w:rsidRPr="0056457E">
              <w:t xml:space="preserve"> for each </w:t>
            </w:r>
            <w:proofErr w:type="spellStart"/>
            <w:r w:rsidRPr="0056457E">
              <w:t>trigger_source_event</w:t>
            </w:r>
            <w:proofErr w:type="spellEnd"/>
            <w:r w:rsidRPr="0056457E">
              <w:t xml:space="preserve"> type. </w:t>
            </w:r>
          </w:p>
          <w:p w14:paraId="503FD8AD" w14:textId="77777777" w:rsidR="00A504DA" w:rsidRDefault="00A504DA" w:rsidP="0056457E">
            <w:r w:rsidRPr="0056457E">
              <w:t>For example, for TRIG_AEB_WARNING_MSG, is it triggered when AEB_TIME_TO_COLLISION drops below a certain threshold (e.g., 2 seconds), or when AEB_DEC_CMD exceeds a specific negative G-force value (e.g., -0.5G)?</w:t>
            </w:r>
          </w:p>
          <w:p w14:paraId="1AEED799" w14:textId="17206ADC" w:rsidR="00C54F72" w:rsidRPr="0056457E" w:rsidRDefault="00C54F72" w:rsidP="0056457E">
            <w:r>
              <w:t>We see all the readings for these Signals (Does not seem to have a threshold)</w:t>
            </w:r>
          </w:p>
        </w:tc>
        <w:tc>
          <w:tcPr>
            <w:tcW w:w="2349" w:type="dxa"/>
            <w:tcBorders>
              <w:top w:val="single" w:sz="6" w:space="0" w:color="000000"/>
              <w:left w:val="single" w:sz="6" w:space="0" w:color="000000"/>
              <w:bottom w:val="single" w:sz="6" w:space="0" w:color="000000"/>
              <w:right w:val="single" w:sz="6" w:space="0" w:color="000000"/>
            </w:tcBorders>
            <w:shd w:val="clear" w:color="auto" w:fill="F8FAFD"/>
          </w:tcPr>
          <w:p w14:paraId="26D32801" w14:textId="4CC0E337" w:rsidR="00A504DA" w:rsidRPr="0056457E" w:rsidRDefault="00A504DA" w:rsidP="0056457E">
            <w:r>
              <w:t>Cannot start designing the Data Model until we get this info.</w:t>
            </w:r>
          </w:p>
        </w:tc>
      </w:tr>
      <w:tr w:rsidR="00A504DA" w:rsidRPr="0056457E" w14:paraId="40AB722B" w14:textId="7F55E1CE" w:rsidTr="006C75E3">
        <w:tc>
          <w:tcPr>
            <w:tcW w:w="163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8D241B" w14:textId="77777777" w:rsidR="00A504DA" w:rsidRPr="0056457E" w:rsidRDefault="00A504DA" w:rsidP="0056457E">
            <w:r w:rsidRPr="0056457E">
              <w:rPr>
                <w:b/>
                <w:bCs/>
              </w:rPr>
              <w:t>2. Exact Event Window Duration and Trigger Point</w:t>
            </w:r>
          </w:p>
        </w:tc>
        <w:tc>
          <w:tcPr>
            <w:tcW w:w="190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AEF18D" w14:textId="77777777" w:rsidR="00A504DA" w:rsidRPr="0056457E" w:rsidRDefault="00A504DA" w:rsidP="0056457E">
            <w:proofErr w:type="spellStart"/>
            <w:r w:rsidRPr="0056457E">
              <w:t>seq</w:t>
            </w:r>
            <w:proofErr w:type="spellEnd"/>
            <w:r w:rsidRPr="0056457E">
              <w:t xml:space="preserve"> represents 100-millisecond timestamps within an event.</w:t>
            </w:r>
          </w:p>
        </w:tc>
        <w:tc>
          <w:tcPr>
            <w:tcW w:w="94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227B56" w14:textId="77777777" w:rsidR="00A504DA" w:rsidRDefault="00A504DA" w:rsidP="0056457E">
            <w:r w:rsidRPr="0056457E">
              <w:t xml:space="preserve">Please confirm the </w:t>
            </w:r>
            <w:r w:rsidRPr="0056457E">
              <w:rPr>
                <w:i/>
                <w:iCs/>
              </w:rPr>
              <w:t>exact, consistent duration</w:t>
            </w:r>
            <w:r w:rsidRPr="0056457E">
              <w:t xml:space="preserve"> of the recorded window for each </w:t>
            </w:r>
            <w:proofErr w:type="spellStart"/>
            <w:r w:rsidRPr="0056457E">
              <w:t>log_data_id</w:t>
            </w:r>
            <w:proofErr w:type="spellEnd"/>
            <w:r w:rsidRPr="0056457E">
              <w:t xml:space="preserve"> event (e.g., always 30 seconds, or variable between 10-30 seconds). </w:t>
            </w:r>
          </w:p>
          <w:p w14:paraId="6A75B4F1" w14:textId="771F62E9" w:rsidR="00A504DA" w:rsidRPr="0056457E" w:rsidRDefault="00A504DA" w:rsidP="0056457E">
            <w:r w:rsidRPr="0056457E">
              <w:t xml:space="preserve">Also, clarify if </w:t>
            </w:r>
            <w:proofErr w:type="spellStart"/>
            <w:r w:rsidRPr="0056457E">
              <w:t>trigger_timestamp_IST</w:t>
            </w:r>
            <w:proofErr w:type="spellEnd"/>
            <w:r w:rsidRPr="0056457E">
              <w:t xml:space="preserve"> marks the </w:t>
            </w:r>
            <w:r w:rsidRPr="0056457E">
              <w:rPr>
                <w:i/>
                <w:iCs/>
              </w:rPr>
              <w:t>start, middle (peak), or end</w:t>
            </w:r>
            <w:r w:rsidRPr="0056457E">
              <w:t xml:space="preserve"> of this recorded window relative to the actual near-miss event's peak.</w:t>
            </w:r>
          </w:p>
        </w:tc>
        <w:tc>
          <w:tcPr>
            <w:tcW w:w="2349" w:type="dxa"/>
            <w:tcBorders>
              <w:top w:val="single" w:sz="6" w:space="0" w:color="000000"/>
              <w:left w:val="single" w:sz="6" w:space="0" w:color="000000"/>
              <w:bottom w:val="single" w:sz="6" w:space="0" w:color="000000"/>
              <w:right w:val="single" w:sz="6" w:space="0" w:color="000000"/>
            </w:tcBorders>
            <w:shd w:val="clear" w:color="auto" w:fill="F8FAFD"/>
          </w:tcPr>
          <w:p w14:paraId="1CC4AB67" w14:textId="15A2A30D" w:rsidR="00A504DA" w:rsidRPr="0056457E" w:rsidRDefault="0088354D" w:rsidP="0056457E">
            <w:r>
              <w:t>Needed for designing measures. Not a blocker, but will affect report accuracy</w:t>
            </w:r>
          </w:p>
        </w:tc>
      </w:tr>
      <w:tr w:rsidR="00A504DA" w:rsidRPr="0056457E" w14:paraId="3B7EE784" w14:textId="3846515D" w:rsidTr="006C75E3">
        <w:tc>
          <w:tcPr>
            <w:tcW w:w="163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47B5B0" w14:textId="77777777" w:rsidR="00A504DA" w:rsidRPr="0056457E" w:rsidRDefault="00A504DA" w:rsidP="0056457E">
            <w:r w:rsidRPr="0056457E">
              <w:rPr>
                <w:b/>
                <w:bCs/>
              </w:rPr>
              <w:t>3. Availability of Additional Contextual Data</w:t>
            </w:r>
          </w:p>
        </w:tc>
        <w:tc>
          <w:tcPr>
            <w:tcW w:w="190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11E127" w14:textId="5BC8066C" w:rsidR="00A504DA" w:rsidRPr="0056457E" w:rsidRDefault="00923FEE" w:rsidP="0056457E">
            <w:r>
              <w:t>Integrating DTC, Usage Info, KYC Details will add more value</w:t>
            </w:r>
          </w:p>
        </w:tc>
        <w:tc>
          <w:tcPr>
            <w:tcW w:w="94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F76231" w14:textId="77777777" w:rsidR="00A504DA" w:rsidRPr="0056457E" w:rsidRDefault="00A504DA" w:rsidP="0056457E">
            <w:r w:rsidRPr="0056457E">
              <w:t>Are there other contextual data points available? Examples: road conditions (wet/dry, type of road), weather, time of day/night, driver identification (anonymized), vehicle configuration/model, or outcome of ADAS interventions (e.g., AEB activation vs. warning).</w:t>
            </w:r>
          </w:p>
        </w:tc>
        <w:tc>
          <w:tcPr>
            <w:tcW w:w="2349" w:type="dxa"/>
            <w:tcBorders>
              <w:top w:val="single" w:sz="6" w:space="0" w:color="000000"/>
              <w:left w:val="single" w:sz="6" w:space="0" w:color="000000"/>
              <w:bottom w:val="single" w:sz="6" w:space="0" w:color="000000"/>
              <w:right w:val="single" w:sz="6" w:space="0" w:color="000000"/>
            </w:tcBorders>
            <w:shd w:val="clear" w:color="auto" w:fill="F8FAFD"/>
          </w:tcPr>
          <w:p w14:paraId="7CAC2F94" w14:textId="3DF5AFBC" w:rsidR="00A504DA" w:rsidRPr="0056457E" w:rsidRDefault="00923FEE" w:rsidP="0056457E">
            <w:r>
              <w:t>Nice to have we can consider adding this later as well.</w:t>
            </w:r>
          </w:p>
        </w:tc>
      </w:tr>
      <w:tr w:rsidR="00A504DA" w:rsidRPr="0056457E" w14:paraId="7F0080DA" w14:textId="2011D9BE" w:rsidTr="006C75E3">
        <w:tc>
          <w:tcPr>
            <w:tcW w:w="163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847425" w14:textId="77777777" w:rsidR="00A504DA" w:rsidRPr="0056457E" w:rsidRDefault="00A504DA" w:rsidP="0056457E">
            <w:r w:rsidRPr="0056457E">
              <w:rPr>
                <w:b/>
                <w:bCs/>
              </w:rPr>
              <w:lastRenderedPageBreak/>
              <w:t xml:space="preserve">4. Implications of High Data Volume (130 </w:t>
            </w:r>
            <w:proofErr w:type="gramStart"/>
            <w:r w:rsidRPr="0056457E">
              <w:rPr>
                <w:b/>
                <w:bCs/>
              </w:rPr>
              <w:t>Million</w:t>
            </w:r>
            <w:proofErr w:type="gramEnd"/>
            <w:r w:rsidRPr="0056457E">
              <w:rPr>
                <w:b/>
                <w:bCs/>
              </w:rPr>
              <w:t xml:space="preserve"> Rows/Day)</w:t>
            </w:r>
          </w:p>
        </w:tc>
        <w:tc>
          <w:tcPr>
            <w:tcW w:w="190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A6863F8" w14:textId="77777777" w:rsidR="00A504DA" w:rsidRPr="0056457E" w:rsidRDefault="00A504DA" w:rsidP="0056457E">
            <w:r w:rsidRPr="0056457E">
              <w:t>We observe a very high volume of data (approx. 130 million rows/day for 15,000 VINs), potentially due to congested driving conditions/</w:t>
            </w:r>
            <w:proofErr w:type="spellStart"/>
            <w:r w:rsidRPr="0056457E">
              <w:t>behaviors</w:t>
            </w:r>
            <w:proofErr w:type="spellEnd"/>
            <w:r w:rsidRPr="0056457E">
              <w:t xml:space="preserve"> in India.</w:t>
            </w:r>
          </w:p>
        </w:tc>
        <w:tc>
          <w:tcPr>
            <w:tcW w:w="94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CBB06A" w14:textId="77777777" w:rsidR="00A504DA" w:rsidRDefault="00A504DA" w:rsidP="0056457E">
            <w:r w:rsidRPr="0056457E">
              <w:t>Could you provide insights into the expected frequency of these events and confirm if this volume is within anticipated ranges? This is crucial for analysis expectations and potentially refining event definitions if current thresholds are too sensitive.</w:t>
            </w:r>
          </w:p>
          <w:tbl>
            <w:tblPr>
              <w:tblStyle w:val="TableGrid"/>
              <w:tblW w:w="0" w:type="auto"/>
              <w:tblLayout w:type="fixed"/>
              <w:tblLook w:val="04A0" w:firstRow="1" w:lastRow="0" w:firstColumn="1" w:lastColumn="0" w:noHBand="0" w:noVBand="1"/>
            </w:tblPr>
            <w:tblGrid>
              <w:gridCol w:w="1700"/>
              <w:gridCol w:w="2320"/>
              <w:gridCol w:w="1720"/>
              <w:gridCol w:w="1940"/>
              <w:gridCol w:w="2740"/>
            </w:tblGrid>
            <w:tr w:rsidR="003B59E3" w:rsidRPr="003B59E3" w14:paraId="39634F81" w14:textId="77777777" w:rsidTr="003B59E3">
              <w:trPr>
                <w:trHeight w:val="288"/>
              </w:trPr>
              <w:tc>
                <w:tcPr>
                  <w:tcW w:w="1700" w:type="dxa"/>
                  <w:noWrap/>
                  <w:hideMark/>
                </w:tcPr>
                <w:p w14:paraId="43A423FF"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day</w:t>
                  </w:r>
                </w:p>
              </w:tc>
              <w:tc>
                <w:tcPr>
                  <w:tcW w:w="2320" w:type="dxa"/>
                  <w:noWrap/>
                  <w:hideMark/>
                </w:tcPr>
                <w:p w14:paraId="0B05C681" w14:textId="77777777" w:rsidR="003B59E3" w:rsidRPr="003B59E3" w:rsidRDefault="003B59E3" w:rsidP="003B59E3">
                  <w:pPr>
                    <w:rPr>
                      <w:rFonts w:ascii="Calibri" w:eastAsia="Times New Roman" w:hAnsi="Calibri" w:cs="Calibri"/>
                      <w:color w:val="000000"/>
                      <w:kern w:val="0"/>
                      <w:sz w:val="22"/>
                      <w:szCs w:val="22"/>
                      <w:lang w:eastAsia="en-IN"/>
                      <w14:ligatures w14:val="none"/>
                    </w:rPr>
                  </w:pPr>
                  <w:proofErr w:type="spellStart"/>
                  <w:r w:rsidRPr="003B59E3">
                    <w:rPr>
                      <w:rFonts w:ascii="Calibri" w:eastAsia="Times New Roman" w:hAnsi="Calibri" w:cs="Calibri"/>
                      <w:color w:val="000000"/>
                      <w:kern w:val="0"/>
                      <w:sz w:val="22"/>
                      <w:szCs w:val="22"/>
                      <w:lang w:eastAsia="en-IN"/>
                      <w14:ligatures w14:val="none"/>
                    </w:rPr>
                    <w:t>row_count</w:t>
                  </w:r>
                  <w:proofErr w:type="spellEnd"/>
                </w:p>
              </w:tc>
              <w:tc>
                <w:tcPr>
                  <w:tcW w:w="1720" w:type="dxa"/>
                  <w:noWrap/>
                  <w:hideMark/>
                </w:tcPr>
                <w:p w14:paraId="779D06AC" w14:textId="77777777" w:rsidR="003B59E3" w:rsidRPr="003B59E3" w:rsidRDefault="003B59E3" w:rsidP="003B59E3">
                  <w:pPr>
                    <w:rPr>
                      <w:rFonts w:ascii="Calibri" w:eastAsia="Times New Roman" w:hAnsi="Calibri" w:cs="Calibri"/>
                      <w:color w:val="000000"/>
                      <w:kern w:val="0"/>
                      <w:sz w:val="22"/>
                      <w:szCs w:val="22"/>
                      <w:lang w:eastAsia="en-IN"/>
                      <w14:ligatures w14:val="none"/>
                    </w:rPr>
                  </w:pPr>
                  <w:proofErr w:type="spellStart"/>
                  <w:r w:rsidRPr="003B59E3">
                    <w:rPr>
                      <w:rFonts w:ascii="Calibri" w:eastAsia="Times New Roman" w:hAnsi="Calibri" w:cs="Calibri"/>
                      <w:color w:val="000000"/>
                      <w:kern w:val="0"/>
                      <w:sz w:val="22"/>
                      <w:szCs w:val="22"/>
                      <w:lang w:eastAsia="en-IN"/>
                      <w14:ligatures w14:val="none"/>
                    </w:rPr>
                    <w:t>unique_vin_count</w:t>
                  </w:r>
                  <w:proofErr w:type="spellEnd"/>
                </w:p>
              </w:tc>
              <w:tc>
                <w:tcPr>
                  <w:tcW w:w="1940" w:type="dxa"/>
                  <w:noWrap/>
                  <w:hideMark/>
                </w:tcPr>
                <w:p w14:paraId="5E15DD15" w14:textId="77777777" w:rsidR="003B59E3" w:rsidRPr="003B59E3" w:rsidRDefault="003B59E3" w:rsidP="003B59E3">
                  <w:pPr>
                    <w:rPr>
                      <w:rFonts w:ascii="Calibri" w:eastAsia="Times New Roman" w:hAnsi="Calibri" w:cs="Calibri"/>
                      <w:color w:val="000000"/>
                      <w:kern w:val="0"/>
                      <w:sz w:val="22"/>
                      <w:szCs w:val="22"/>
                      <w:lang w:eastAsia="en-IN"/>
                      <w14:ligatures w14:val="none"/>
                    </w:rPr>
                  </w:pPr>
                  <w:proofErr w:type="spellStart"/>
                  <w:r w:rsidRPr="003B59E3">
                    <w:rPr>
                      <w:rFonts w:ascii="Calibri" w:eastAsia="Times New Roman" w:hAnsi="Calibri" w:cs="Calibri"/>
                      <w:color w:val="000000"/>
                      <w:kern w:val="0"/>
                      <w:sz w:val="22"/>
                      <w:szCs w:val="22"/>
                      <w:lang w:eastAsia="en-IN"/>
                      <w14:ligatures w14:val="none"/>
                    </w:rPr>
                    <w:t>unique_event_count</w:t>
                  </w:r>
                  <w:proofErr w:type="spellEnd"/>
                </w:p>
              </w:tc>
              <w:tc>
                <w:tcPr>
                  <w:tcW w:w="2740" w:type="dxa"/>
                  <w:noWrap/>
                  <w:hideMark/>
                </w:tcPr>
                <w:p w14:paraId="07CF5E5A"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Rows/VIN</w:t>
                  </w:r>
                </w:p>
              </w:tc>
            </w:tr>
            <w:tr w:rsidR="003B59E3" w:rsidRPr="003B59E3" w14:paraId="072F704D" w14:textId="77777777" w:rsidTr="003B59E3">
              <w:trPr>
                <w:trHeight w:val="288"/>
              </w:trPr>
              <w:tc>
                <w:tcPr>
                  <w:tcW w:w="1700" w:type="dxa"/>
                  <w:noWrap/>
                  <w:hideMark/>
                </w:tcPr>
                <w:p w14:paraId="31EDD32B"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11-06-2025</w:t>
                  </w:r>
                </w:p>
              </w:tc>
              <w:tc>
                <w:tcPr>
                  <w:tcW w:w="2320" w:type="dxa"/>
                  <w:noWrap/>
                  <w:hideMark/>
                </w:tcPr>
                <w:p w14:paraId="0BCAE128"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4,42,78,085.00 </w:t>
                  </w:r>
                </w:p>
              </w:tc>
              <w:tc>
                <w:tcPr>
                  <w:tcW w:w="1720" w:type="dxa"/>
                  <w:noWrap/>
                  <w:hideMark/>
                </w:tcPr>
                <w:p w14:paraId="012C686B"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238</w:t>
                  </w:r>
                </w:p>
              </w:tc>
              <w:tc>
                <w:tcPr>
                  <w:tcW w:w="1940" w:type="dxa"/>
                  <w:noWrap/>
                  <w:hideMark/>
                </w:tcPr>
                <w:p w14:paraId="1FAE7CC8" w14:textId="77777777" w:rsidR="003B59E3" w:rsidRPr="003B59E3" w:rsidRDefault="003B59E3" w:rsidP="003B59E3">
                  <w:pPr>
                    <w:jc w:val="right"/>
                    <w:rPr>
                      <w:rFonts w:ascii="Calibri" w:eastAsia="Times New Roman" w:hAnsi="Calibri" w:cs="Calibri"/>
                      <w:color w:val="EE0000"/>
                      <w:kern w:val="0"/>
                      <w:sz w:val="22"/>
                      <w:szCs w:val="22"/>
                      <w:lang w:eastAsia="en-IN"/>
                      <w14:ligatures w14:val="none"/>
                    </w:rPr>
                  </w:pPr>
                  <w:r w:rsidRPr="003B59E3">
                    <w:rPr>
                      <w:rFonts w:ascii="Calibri" w:eastAsia="Times New Roman" w:hAnsi="Calibri" w:cs="Calibri"/>
                      <w:color w:val="EE0000"/>
                      <w:kern w:val="0"/>
                      <w:sz w:val="22"/>
                      <w:szCs w:val="22"/>
                      <w:lang w:eastAsia="en-IN"/>
                      <w14:ligatures w14:val="none"/>
                    </w:rPr>
                    <w:t>9</w:t>
                  </w:r>
                </w:p>
              </w:tc>
              <w:tc>
                <w:tcPr>
                  <w:tcW w:w="2740" w:type="dxa"/>
                  <w:noWrap/>
                  <w:hideMark/>
                </w:tcPr>
                <w:p w14:paraId="03F5C912" w14:textId="77777777" w:rsidR="003B59E3" w:rsidRPr="003B59E3" w:rsidRDefault="003B59E3" w:rsidP="003B59E3">
                  <w:pPr>
                    <w:rPr>
                      <w:rFonts w:ascii="Calibri" w:eastAsia="Times New Roman" w:hAnsi="Calibri" w:cs="Calibri"/>
                      <w:color w:val="EE0000"/>
                      <w:kern w:val="0"/>
                      <w:sz w:val="22"/>
                      <w:szCs w:val="22"/>
                      <w:lang w:eastAsia="en-IN"/>
                      <w14:ligatures w14:val="none"/>
                    </w:rPr>
                  </w:pPr>
                  <w:r w:rsidRPr="003B59E3">
                    <w:rPr>
                      <w:rFonts w:ascii="Calibri" w:eastAsia="Times New Roman" w:hAnsi="Calibri" w:cs="Calibri"/>
                      <w:color w:val="EE0000"/>
                      <w:kern w:val="0"/>
                      <w:sz w:val="22"/>
                      <w:szCs w:val="22"/>
                      <w:lang w:eastAsia="en-IN"/>
                      <w14:ligatures w14:val="none"/>
                    </w:rPr>
                    <w:t xml:space="preserve">                                 1,86,042.37 </w:t>
                  </w:r>
                </w:p>
              </w:tc>
            </w:tr>
            <w:tr w:rsidR="003B59E3" w:rsidRPr="003B59E3" w14:paraId="530C7E6C" w14:textId="77777777" w:rsidTr="003B59E3">
              <w:trPr>
                <w:trHeight w:val="288"/>
              </w:trPr>
              <w:tc>
                <w:tcPr>
                  <w:tcW w:w="1700" w:type="dxa"/>
                  <w:noWrap/>
                  <w:hideMark/>
                </w:tcPr>
                <w:p w14:paraId="41F3F102"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12-06-2025</w:t>
                  </w:r>
                </w:p>
              </w:tc>
              <w:tc>
                <w:tcPr>
                  <w:tcW w:w="2320" w:type="dxa"/>
                  <w:noWrap/>
                  <w:hideMark/>
                </w:tcPr>
                <w:p w14:paraId="4671B04E"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61,94,23,087.00 </w:t>
                  </w:r>
                </w:p>
              </w:tc>
              <w:tc>
                <w:tcPr>
                  <w:tcW w:w="1720" w:type="dxa"/>
                  <w:noWrap/>
                  <w:hideMark/>
                </w:tcPr>
                <w:p w14:paraId="128588F0"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2290</w:t>
                  </w:r>
                </w:p>
              </w:tc>
              <w:tc>
                <w:tcPr>
                  <w:tcW w:w="1940" w:type="dxa"/>
                  <w:noWrap/>
                  <w:hideMark/>
                </w:tcPr>
                <w:p w14:paraId="27E3288B" w14:textId="77777777" w:rsidR="003B59E3" w:rsidRPr="003B59E3" w:rsidRDefault="003B59E3" w:rsidP="003B59E3">
                  <w:pPr>
                    <w:jc w:val="right"/>
                    <w:rPr>
                      <w:rFonts w:ascii="Calibri" w:eastAsia="Times New Roman" w:hAnsi="Calibri" w:cs="Calibri"/>
                      <w:color w:val="EE0000"/>
                      <w:kern w:val="0"/>
                      <w:sz w:val="22"/>
                      <w:szCs w:val="22"/>
                      <w:lang w:eastAsia="en-IN"/>
                      <w14:ligatures w14:val="none"/>
                    </w:rPr>
                  </w:pPr>
                  <w:r w:rsidRPr="003B59E3">
                    <w:rPr>
                      <w:rFonts w:ascii="Calibri" w:eastAsia="Times New Roman" w:hAnsi="Calibri" w:cs="Calibri"/>
                      <w:color w:val="EE0000"/>
                      <w:kern w:val="0"/>
                      <w:sz w:val="22"/>
                      <w:szCs w:val="22"/>
                      <w:lang w:eastAsia="en-IN"/>
                      <w14:ligatures w14:val="none"/>
                    </w:rPr>
                    <w:t>9</w:t>
                  </w:r>
                </w:p>
              </w:tc>
              <w:tc>
                <w:tcPr>
                  <w:tcW w:w="2740" w:type="dxa"/>
                  <w:noWrap/>
                  <w:hideMark/>
                </w:tcPr>
                <w:p w14:paraId="50972FAA" w14:textId="77777777" w:rsidR="003B59E3" w:rsidRPr="003B59E3" w:rsidRDefault="003B59E3" w:rsidP="003B59E3">
                  <w:pPr>
                    <w:rPr>
                      <w:rFonts w:ascii="Calibri" w:eastAsia="Times New Roman" w:hAnsi="Calibri" w:cs="Calibri"/>
                      <w:color w:val="EE0000"/>
                      <w:kern w:val="0"/>
                      <w:sz w:val="22"/>
                      <w:szCs w:val="22"/>
                      <w:lang w:eastAsia="en-IN"/>
                      <w14:ligatures w14:val="none"/>
                    </w:rPr>
                  </w:pPr>
                  <w:r w:rsidRPr="003B59E3">
                    <w:rPr>
                      <w:rFonts w:ascii="Calibri" w:eastAsia="Times New Roman" w:hAnsi="Calibri" w:cs="Calibri"/>
                      <w:color w:val="EE0000"/>
                      <w:kern w:val="0"/>
                      <w:sz w:val="22"/>
                      <w:szCs w:val="22"/>
                      <w:lang w:eastAsia="en-IN"/>
                      <w14:ligatures w14:val="none"/>
                    </w:rPr>
                    <w:t xml:space="preserve">                                 2,70,490.43 </w:t>
                  </w:r>
                </w:p>
              </w:tc>
            </w:tr>
            <w:tr w:rsidR="003B59E3" w:rsidRPr="003B59E3" w14:paraId="78ABEE2C" w14:textId="77777777" w:rsidTr="003B59E3">
              <w:trPr>
                <w:trHeight w:val="288"/>
              </w:trPr>
              <w:tc>
                <w:tcPr>
                  <w:tcW w:w="1700" w:type="dxa"/>
                  <w:noWrap/>
                  <w:hideMark/>
                </w:tcPr>
                <w:p w14:paraId="215AE421"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13-06-2025</w:t>
                  </w:r>
                </w:p>
              </w:tc>
              <w:tc>
                <w:tcPr>
                  <w:tcW w:w="2320" w:type="dxa"/>
                  <w:noWrap/>
                  <w:hideMark/>
                </w:tcPr>
                <w:p w14:paraId="36EE993C"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17,07,33,107.00 </w:t>
                  </w:r>
                </w:p>
              </w:tc>
              <w:tc>
                <w:tcPr>
                  <w:tcW w:w="1720" w:type="dxa"/>
                  <w:noWrap/>
                  <w:hideMark/>
                </w:tcPr>
                <w:p w14:paraId="7A796511"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4024</w:t>
                  </w:r>
                </w:p>
              </w:tc>
              <w:tc>
                <w:tcPr>
                  <w:tcW w:w="1940" w:type="dxa"/>
                  <w:noWrap/>
                  <w:hideMark/>
                </w:tcPr>
                <w:p w14:paraId="1E2727F3"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10</w:t>
                  </w:r>
                </w:p>
              </w:tc>
              <w:tc>
                <w:tcPr>
                  <w:tcW w:w="2740" w:type="dxa"/>
                  <w:noWrap/>
                  <w:hideMark/>
                </w:tcPr>
                <w:p w14:paraId="5F3468F8"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42,428.70 </w:t>
                  </w:r>
                </w:p>
              </w:tc>
            </w:tr>
            <w:tr w:rsidR="003B59E3" w:rsidRPr="003B59E3" w14:paraId="336F50BF" w14:textId="77777777" w:rsidTr="003B59E3">
              <w:trPr>
                <w:trHeight w:val="288"/>
              </w:trPr>
              <w:tc>
                <w:tcPr>
                  <w:tcW w:w="1700" w:type="dxa"/>
                  <w:noWrap/>
                  <w:hideMark/>
                </w:tcPr>
                <w:p w14:paraId="76DD0664"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14-06-2025</w:t>
                  </w:r>
                </w:p>
              </w:tc>
              <w:tc>
                <w:tcPr>
                  <w:tcW w:w="2320" w:type="dxa"/>
                  <w:noWrap/>
                  <w:hideMark/>
                </w:tcPr>
                <w:p w14:paraId="184B26A3"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16,42,21,626.00 </w:t>
                  </w:r>
                </w:p>
              </w:tc>
              <w:tc>
                <w:tcPr>
                  <w:tcW w:w="1720" w:type="dxa"/>
                  <w:noWrap/>
                  <w:hideMark/>
                </w:tcPr>
                <w:p w14:paraId="1615FBE1"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3983</w:t>
                  </w:r>
                </w:p>
              </w:tc>
              <w:tc>
                <w:tcPr>
                  <w:tcW w:w="1940" w:type="dxa"/>
                  <w:noWrap/>
                  <w:hideMark/>
                </w:tcPr>
                <w:p w14:paraId="646CB736"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9</w:t>
                  </w:r>
                </w:p>
              </w:tc>
              <w:tc>
                <w:tcPr>
                  <w:tcW w:w="2740" w:type="dxa"/>
                  <w:noWrap/>
                  <w:hideMark/>
                </w:tcPr>
                <w:p w14:paraId="39BD6F9B"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41,230.64 </w:t>
                  </w:r>
                </w:p>
              </w:tc>
            </w:tr>
            <w:tr w:rsidR="003B59E3" w:rsidRPr="003B59E3" w14:paraId="53048CC6" w14:textId="77777777" w:rsidTr="003B59E3">
              <w:trPr>
                <w:trHeight w:val="288"/>
              </w:trPr>
              <w:tc>
                <w:tcPr>
                  <w:tcW w:w="1700" w:type="dxa"/>
                  <w:noWrap/>
                  <w:hideMark/>
                </w:tcPr>
                <w:p w14:paraId="50797525"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15-06-2025</w:t>
                  </w:r>
                </w:p>
              </w:tc>
              <w:tc>
                <w:tcPr>
                  <w:tcW w:w="2320" w:type="dxa"/>
                  <w:noWrap/>
                  <w:hideMark/>
                </w:tcPr>
                <w:p w14:paraId="5E8FEA66"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13,81,35,568.00 </w:t>
                  </w:r>
                </w:p>
              </w:tc>
              <w:tc>
                <w:tcPr>
                  <w:tcW w:w="1720" w:type="dxa"/>
                  <w:noWrap/>
                  <w:hideMark/>
                </w:tcPr>
                <w:p w14:paraId="522042B7"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3434</w:t>
                  </w:r>
                </w:p>
              </w:tc>
              <w:tc>
                <w:tcPr>
                  <w:tcW w:w="1940" w:type="dxa"/>
                  <w:noWrap/>
                  <w:hideMark/>
                </w:tcPr>
                <w:p w14:paraId="3AAC4364"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9</w:t>
                  </w:r>
                </w:p>
              </w:tc>
              <w:tc>
                <w:tcPr>
                  <w:tcW w:w="2740" w:type="dxa"/>
                  <w:noWrap/>
                  <w:hideMark/>
                </w:tcPr>
                <w:p w14:paraId="7DA23628"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40,225.85 </w:t>
                  </w:r>
                </w:p>
              </w:tc>
            </w:tr>
            <w:tr w:rsidR="003B59E3" w:rsidRPr="003B59E3" w14:paraId="736C5BEC" w14:textId="77777777" w:rsidTr="003B59E3">
              <w:trPr>
                <w:trHeight w:val="288"/>
              </w:trPr>
              <w:tc>
                <w:tcPr>
                  <w:tcW w:w="1700" w:type="dxa"/>
                  <w:noWrap/>
                  <w:hideMark/>
                </w:tcPr>
                <w:p w14:paraId="709965AA"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16-06-2025</w:t>
                  </w:r>
                </w:p>
              </w:tc>
              <w:tc>
                <w:tcPr>
                  <w:tcW w:w="2320" w:type="dxa"/>
                  <w:noWrap/>
                  <w:hideMark/>
                </w:tcPr>
                <w:p w14:paraId="47DE0D83"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15,12,98,707.00 </w:t>
                  </w:r>
                </w:p>
              </w:tc>
              <w:tc>
                <w:tcPr>
                  <w:tcW w:w="1720" w:type="dxa"/>
                  <w:noWrap/>
                  <w:hideMark/>
                </w:tcPr>
                <w:p w14:paraId="2CB94404"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3838</w:t>
                  </w:r>
                </w:p>
              </w:tc>
              <w:tc>
                <w:tcPr>
                  <w:tcW w:w="1940" w:type="dxa"/>
                  <w:noWrap/>
                  <w:hideMark/>
                </w:tcPr>
                <w:p w14:paraId="5A7316BB"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9</w:t>
                  </w:r>
                </w:p>
              </w:tc>
              <w:tc>
                <w:tcPr>
                  <w:tcW w:w="2740" w:type="dxa"/>
                  <w:noWrap/>
                  <w:hideMark/>
                </w:tcPr>
                <w:p w14:paraId="0C3BF681"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39,421.24 </w:t>
                  </w:r>
                </w:p>
              </w:tc>
            </w:tr>
            <w:tr w:rsidR="003B59E3" w:rsidRPr="003B59E3" w14:paraId="361F38A4" w14:textId="77777777" w:rsidTr="003B59E3">
              <w:trPr>
                <w:trHeight w:val="288"/>
              </w:trPr>
              <w:tc>
                <w:tcPr>
                  <w:tcW w:w="1700" w:type="dxa"/>
                  <w:noWrap/>
                  <w:hideMark/>
                </w:tcPr>
                <w:p w14:paraId="1F0F5B42"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17-06-2025</w:t>
                  </w:r>
                </w:p>
              </w:tc>
              <w:tc>
                <w:tcPr>
                  <w:tcW w:w="2320" w:type="dxa"/>
                  <w:noWrap/>
                  <w:hideMark/>
                </w:tcPr>
                <w:p w14:paraId="2B2CA375"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9,23,24,237.00 </w:t>
                  </w:r>
                </w:p>
              </w:tc>
              <w:tc>
                <w:tcPr>
                  <w:tcW w:w="1720" w:type="dxa"/>
                  <w:noWrap/>
                  <w:hideMark/>
                </w:tcPr>
                <w:p w14:paraId="6A8786FC"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2895</w:t>
                  </w:r>
                </w:p>
              </w:tc>
              <w:tc>
                <w:tcPr>
                  <w:tcW w:w="1940" w:type="dxa"/>
                  <w:noWrap/>
                  <w:hideMark/>
                </w:tcPr>
                <w:p w14:paraId="6C525653" w14:textId="77777777" w:rsidR="003B59E3" w:rsidRPr="003B59E3" w:rsidRDefault="003B59E3" w:rsidP="003B59E3">
                  <w:pPr>
                    <w:jc w:val="right"/>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9</w:t>
                  </w:r>
                </w:p>
              </w:tc>
              <w:tc>
                <w:tcPr>
                  <w:tcW w:w="2740" w:type="dxa"/>
                  <w:noWrap/>
                  <w:hideMark/>
                </w:tcPr>
                <w:p w14:paraId="2DC693C2" w14:textId="77777777" w:rsidR="003B59E3" w:rsidRPr="003B59E3" w:rsidRDefault="003B59E3" w:rsidP="003B59E3">
                  <w:pPr>
                    <w:rPr>
                      <w:rFonts w:ascii="Calibri" w:eastAsia="Times New Roman" w:hAnsi="Calibri" w:cs="Calibri"/>
                      <w:color w:val="000000"/>
                      <w:kern w:val="0"/>
                      <w:sz w:val="22"/>
                      <w:szCs w:val="22"/>
                      <w:lang w:eastAsia="en-IN"/>
                      <w14:ligatures w14:val="none"/>
                    </w:rPr>
                  </w:pPr>
                  <w:r w:rsidRPr="003B59E3">
                    <w:rPr>
                      <w:rFonts w:ascii="Calibri" w:eastAsia="Times New Roman" w:hAnsi="Calibri" w:cs="Calibri"/>
                      <w:color w:val="000000"/>
                      <w:kern w:val="0"/>
                      <w:sz w:val="22"/>
                      <w:szCs w:val="22"/>
                      <w:lang w:eastAsia="en-IN"/>
                      <w14:ligatures w14:val="none"/>
                    </w:rPr>
                    <w:t xml:space="preserve">                                    31,890.93 </w:t>
                  </w:r>
                </w:p>
              </w:tc>
            </w:tr>
          </w:tbl>
          <w:p w14:paraId="4C28F9F0" w14:textId="77777777" w:rsidR="00B67189" w:rsidRDefault="00B67189" w:rsidP="0056457E"/>
          <w:p w14:paraId="1F024509" w14:textId="77777777" w:rsidR="009056EA" w:rsidRDefault="009056EA" w:rsidP="0056457E">
            <w:r>
              <w:t xml:space="preserve">In addition, there are 1075 </w:t>
            </w:r>
            <w:r w:rsidR="00E2704F">
              <w:t>Signals for each event, which is bloating the Data load. Our sample study sees zero values for many; can we recheck this requirement. Which are the critical signals for Analysis among these.?</w:t>
            </w:r>
          </w:p>
          <w:tbl>
            <w:tblPr>
              <w:tblStyle w:val="TableGrid"/>
              <w:tblW w:w="0" w:type="auto"/>
              <w:tblLayout w:type="fixed"/>
              <w:tblLook w:val="04A0" w:firstRow="1" w:lastRow="0" w:firstColumn="1" w:lastColumn="0" w:noHBand="0" w:noVBand="1"/>
            </w:tblPr>
            <w:tblGrid>
              <w:gridCol w:w="3920"/>
              <w:gridCol w:w="1660"/>
            </w:tblGrid>
            <w:tr w:rsidR="00E2704F" w:rsidRPr="00E2704F" w14:paraId="658358DD" w14:textId="77777777" w:rsidTr="003B59E3">
              <w:trPr>
                <w:trHeight w:val="300"/>
              </w:trPr>
              <w:tc>
                <w:tcPr>
                  <w:tcW w:w="3920" w:type="dxa"/>
                  <w:noWrap/>
                  <w:hideMark/>
                </w:tcPr>
                <w:p w14:paraId="702510FD" w14:textId="77777777" w:rsidR="00E2704F" w:rsidRPr="00E2704F" w:rsidRDefault="00E2704F" w:rsidP="00E2704F">
                  <w:pPr>
                    <w:rPr>
                      <w:rFonts w:ascii="Calibri" w:eastAsia="Times New Roman" w:hAnsi="Calibri" w:cs="Calibri"/>
                      <w:color w:val="000000"/>
                      <w:kern w:val="0"/>
                      <w:sz w:val="22"/>
                      <w:szCs w:val="22"/>
                      <w:lang w:eastAsia="en-IN"/>
                      <w14:ligatures w14:val="none"/>
                    </w:rPr>
                  </w:pPr>
                  <w:proofErr w:type="spellStart"/>
                  <w:r w:rsidRPr="00E2704F">
                    <w:rPr>
                      <w:rFonts w:ascii="Calibri" w:eastAsia="Times New Roman" w:hAnsi="Calibri" w:cs="Calibri"/>
                      <w:color w:val="000000"/>
                      <w:kern w:val="0"/>
                      <w:sz w:val="22"/>
                      <w:szCs w:val="22"/>
                      <w:lang w:eastAsia="en-IN"/>
                      <w14:ligatures w14:val="none"/>
                    </w:rPr>
                    <w:t>trigger_source_event</w:t>
                  </w:r>
                  <w:proofErr w:type="spellEnd"/>
                </w:p>
              </w:tc>
              <w:tc>
                <w:tcPr>
                  <w:tcW w:w="1660" w:type="dxa"/>
                  <w:noWrap/>
                  <w:hideMark/>
                </w:tcPr>
                <w:p w14:paraId="5909BC22" w14:textId="77777777" w:rsidR="00E2704F" w:rsidRPr="00E2704F" w:rsidRDefault="00E2704F" w:rsidP="00E2704F">
                  <w:pPr>
                    <w:rPr>
                      <w:rFonts w:ascii="Calibri" w:eastAsia="Times New Roman" w:hAnsi="Calibri" w:cs="Calibri"/>
                      <w:color w:val="000000"/>
                      <w:kern w:val="0"/>
                      <w:sz w:val="22"/>
                      <w:szCs w:val="22"/>
                      <w:lang w:eastAsia="en-IN"/>
                      <w14:ligatures w14:val="none"/>
                    </w:rPr>
                  </w:pPr>
                  <w:proofErr w:type="spellStart"/>
                  <w:r w:rsidRPr="00E2704F">
                    <w:rPr>
                      <w:rFonts w:ascii="Calibri" w:eastAsia="Times New Roman" w:hAnsi="Calibri" w:cs="Calibri"/>
                      <w:color w:val="000000"/>
                      <w:kern w:val="0"/>
                      <w:sz w:val="22"/>
                      <w:szCs w:val="22"/>
                      <w:lang w:eastAsia="en-IN"/>
                      <w14:ligatures w14:val="none"/>
                    </w:rPr>
                    <w:t>signal_count</w:t>
                  </w:r>
                  <w:proofErr w:type="spellEnd"/>
                </w:p>
              </w:tc>
            </w:tr>
            <w:tr w:rsidR="00E2704F" w:rsidRPr="00E2704F" w14:paraId="7ED642D0" w14:textId="77777777" w:rsidTr="003B59E3">
              <w:trPr>
                <w:trHeight w:val="300"/>
              </w:trPr>
              <w:tc>
                <w:tcPr>
                  <w:tcW w:w="3920" w:type="dxa"/>
                  <w:noWrap/>
                  <w:hideMark/>
                </w:tcPr>
                <w:p w14:paraId="7AF5016E"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TRIG_ELK_SIDE_WARNING</w:t>
                  </w:r>
                </w:p>
              </w:tc>
              <w:tc>
                <w:tcPr>
                  <w:tcW w:w="1660" w:type="dxa"/>
                  <w:noWrap/>
                  <w:hideMark/>
                </w:tcPr>
                <w:p w14:paraId="2444CF6D"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1075</w:t>
                  </w:r>
                </w:p>
              </w:tc>
            </w:tr>
            <w:tr w:rsidR="00E2704F" w:rsidRPr="00E2704F" w14:paraId="3FC8724C" w14:textId="77777777" w:rsidTr="003B59E3">
              <w:trPr>
                <w:trHeight w:val="300"/>
              </w:trPr>
              <w:tc>
                <w:tcPr>
                  <w:tcW w:w="3920" w:type="dxa"/>
                  <w:noWrap/>
                  <w:hideMark/>
                </w:tcPr>
                <w:p w14:paraId="7CCE2AEE"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TRIG_STS_EMERGENCY_BRK</w:t>
                  </w:r>
                </w:p>
              </w:tc>
              <w:tc>
                <w:tcPr>
                  <w:tcW w:w="1660" w:type="dxa"/>
                  <w:noWrap/>
                  <w:hideMark/>
                </w:tcPr>
                <w:p w14:paraId="0C51F8F4"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1075</w:t>
                  </w:r>
                </w:p>
              </w:tc>
            </w:tr>
            <w:tr w:rsidR="00E2704F" w:rsidRPr="00E2704F" w14:paraId="42053435" w14:textId="77777777" w:rsidTr="003B59E3">
              <w:trPr>
                <w:trHeight w:val="300"/>
              </w:trPr>
              <w:tc>
                <w:tcPr>
                  <w:tcW w:w="3920" w:type="dxa"/>
                  <w:noWrap/>
                  <w:hideMark/>
                </w:tcPr>
                <w:p w14:paraId="07D5964B"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TRIG_ELK_OVERTAKING_WARNING</w:t>
                  </w:r>
                </w:p>
              </w:tc>
              <w:tc>
                <w:tcPr>
                  <w:tcW w:w="1660" w:type="dxa"/>
                  <w:noWrap/>
                  <w:hideMark/>
                </w:tcPr>
                <w:p w14:paraId="27F37611"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1075</w:t>
                  </w:r>
                </w:p>
              </w:tc>
            </w:tr>
            <w:tr w:rsidR="00E2704F" w:rsidRPr="00E2704F" w14:paraId="44D094E5" w14:textId="77777777" w:rsidTr="003B59E3">
              <w:trPr>
                <w:trHeight w:val="300"/>
              </w:trPr>
              <w:tc>
                <w:tcPr>
                  <w:tcW w:w="3920" w:type="dxa"/>
                  <w:noWrap/>
                  <w:hideMark/>
                </w:tcPr>
                <w:p w14:paraId="5CB09A69"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TRIG_ELK_ONCOMING_WARNING</w:t>
                  </w:r>
                </w:p>
              </w:tc>
              <w:tc>
                <w:tcPr>
                  <w:tcW w:w="1660" w:type="dxa"/>
                  <w:noWrap/>
                  <w:hideMark/>
                </w:tcPr>
                <w:p w14:paraId="7E20A115"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1075</w:t>
                  </w:r>
                </w:p>
              </w:tc>
            </w:tr>
            <w:tr w:rsidR="00E2704F" w:rsidRPr="00E2704F" w14:paraId="67D9F5EF" w14:textId="77777777" w:rsidTr="003B59E3">
              <w:trPr>
                <w:trHeight w:val="300"/>
              </w:trPr>
              <w:tc>
                <w:tcPr>
                  <w:tcW w:w="3920" w:type="dxa"/>
                  <w:noWrap/>
                  <w:hideMark/>
                </w:tcPr>
                <w:p w14:paraId="10ECEF2F"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TRIG_STS_CRASH</w:t>
                  </w:r>
                </w:p>
              </w:tc>
              <w:tc>
                <w:tcPr>
                  <w:tcW w:w="1660" w:type="dxa"/>
                  <w:noWrap/>
                  <w:hideMark/>
                </w:tcPr>
                <w:p w14:paraId="6CA09751"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447</w:t>
                  </w:r>
                </w:p>
              </w:tc>
            </w:tr>
            <w:tr w:rsidR="00E2704F" w:rsidRPr="00E2704F" w14:paraId="06C20F1E" w14:textId="77777777" w:rsidTr="003B59E3">
              <w:trPr>
                <w:trHeight w:val="300"/>
              </w:trPr>
              <w:tc>
                <w:tcPr>
                  <w:tcW w:w="3920" w:type="dxa"/>
                  <w:noWrap/>
                  <w:hideMark/>
                </w:tcPr>
                <w:p w14:paraId="2FBCC73D"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TRIG_AES_WARNING</w:t>
                  </w:r>
                </w:p>
              </w:tc>
              <w:tc>
                <w:tcPr>
                  <w:tcW w:w="1660" w:type="dxa"/>
                  <w:noWrap/>
                  <w:hideMark/>
                </w:tcPr>
                <w:p w14:paraId="78343AD6"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1075</w:t>
                  </w:r>
                </w:p>
              </w:tc>
            </w:tr>
            <w:tr w:rsidR="00E2704F" w:rsidRPr="00E2704F" w14:paraId="75EA50D8" w14:textId="77777777" w:rsidTr="003B59E3">
              <w:trPr>
                <w:trHeight w:val="300"/>
              </w:trPr>
              <w:tc>
                <w:tcPr>
                  <w:tcW w:w="3920" w:type="dxa"/>
                  <w:noWrap/>
                  <w:hideMark/>
                </w:tcPr>
                <w:p w14:paraId="5DCAB09D"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TRIG_AEB_WARNING_MSG</w:t>
                  </w:r>
                </w:p>
              </w:tc>
              <w:tc>
                <w:tcPr>
                  <w:tcW w:w="1660" w:type="dxa"/>
                  <w:noWrap/>
                  <w:hideMark/>
                </w:tcPr>
                <w:p w14:paraId="43E65226"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1075</w:t>
                  </w:r>
                </w:p>
              </w:tc>
            </w:tr>
            <w:tr w:rsidR="00E2704F" w:rsidRPr="00E2704F" w14:paraId="369A8297" w14:textId="77777777" w:rsidTr="003B59E3">
              <w:trPr>
                <w:trHeight w:val="300"/>
              </w:trPr>
              <w:tc>
                <w:tcPr>
                  <w:tcW w:w="3920" w:type="dxa"/>
                  <w:noWrap/>
                  <w:hideMark/>
                </w:tcPr>
                <w:p w14:paraId="392C74E4"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TRIG_ACC_SYS_INFO</w:t>
                  </w:r>
                </w:p>
              </w:tc>
              <w:tc>
                <w:tcPr>
                  <w:tcW w:w="1660" w:type="dxa"/>
                  <w:noWrap/>
                  <w:hideMark/>
                </w:tcPr>
                <w:p w14:paraId="798D2392"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1075</w:t>
                  </w:r>
                </w:p>
              </w:tc>
            </w:tr>
            <w:tr w:rsidR="00E2704F" w:rsidRPr="00E2704F" w14:paraId="34A2EDFE" w14:textId="77777777" w:rsidTr="003B59E3">
              <w:trPr>
                <w:trHeight w:val="300"/>
              </w:trPr>
              <w:tc>
                <w:tcPr>
                  <w:tcW w:w="3920" w:type="dxa"/>
                  <w:noWrap/>
                  <w:hideMark/>
                </w:tcPr>
                <w:p w14:paraId="609099B8"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lastRenderedPageBreak/>
                    <w:t>TRIG_LCF_SYS_STATE</w:t>
                  </w:r>
                </w:p>
              </w:tc>
              <w:tc>
                <w:tcPr>
                  <w:tcW w:w="1660" w:type="dxa"/>
                  <w:noWrap/>
                  <w:hideMark/>
                </w:tcPr>
                <w:p w14:paraId="266610E5"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1075</w:t>
                  </w:r>
                </w:p>
              </w:tc>
            </w:tr>
            <w:tr w:rsidR="00E2704F" w:rsidRPr="00E2704F" w14:paraId="3B33DF7A" w14:textId="77777777" w:rsidTr="003B59E3">
              <w:trPr>
                <w:trHeight w:val="300"/>
              </w:trPr>
              <w:tc>
                <w:tcPr>
                  <w:tcW w:w="3920" w:type="dxa"/>
                  <w:noWrap/>
                  <w:hideMark/>
                </w:tcPr>
                <w:p w14:paraId="69910A14" w14:textId="77777777" w:rsidR="00E2704F" w:rsidRPr="00E2704F" w:rsidRDefault="00E2704F" w:rsidP="00E2704F">
                  <w:pPr>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TRIG_SPA_LCF_HANDSOFF_WARNING</w:t>
                  </w:r>
                </w:p>
              </w:tc>
              <w:tc>
                <w:tcPr>
                  <w:tcW w:w="1660" w:type="dxa"/>
                  <w:noWrap/>
                  <w:hideMark/>
                </w:tcPr>
                <w:p w14:paraId="7C3C952D" w14:textId="77777777" w:rsidR="00E2704F" w:rsidRPr="00E2704F" w:rsidRDefault="00E2704F" w:rsidP="00E2704F">
                  <w:pPr>
                    <w:jc w:val="right"/>
                    <w:rPr>
                      <w:rFonts w:ascii="Calibri" w:eastAsia="Times New Roman" w:hAnsi="Calibri" w:cs="Calibri"/>
                      <w:color w:val="000000"/>
                      <w:kern w:val="0"/>
                      <w:sz w:val="22"/>
                      <w:szCs w:val="22"/>
                      <w:lang w:eastAsia="en-IN"/>
                      <w14:ligatures w14:val="none"/>
                    </w:rPr>
                  </w:pPr>
                  <w:r w:rsidRPr="00E2704F">
                    <w:rPr>
                      <w:rFonts w:ascii="Calibri" w:eastAsia="Times New Roman" w:hAnsi="Calibri" w:cs="Calibri"/>
                      <w:color w:val="000000"/>
                      <w:kern w:val="0"/>
                      <w:sz w:val="22"/>
                      <w:szCs w:val="22"/>
                      <w:lang w:eastAsia="en-IN"/>
                      <w14:ligatures w14:val="none"/>
                    </w:rPr>
                    <w:t>1075</w:t>
                  </w:r>
                </w:p>
              </w:tc>
            </w:tr>
          </w:tbl>
          <w:p w14:paraId="61CFE13B" w14:textId="1E6F870F" w:rsidR="00E2704F" w:rsidRPr="0056457E" w:rsidRDefault="00E2704F" w:rsidP="0056457E"/>
        </w:tc>
        <w:tc>
          <w:tcPr>
            <w:tcW w:w="2349" w:type="dxa"/>
            <w:tcBorders>
              <w:top w:val="single" w:sz="6" w:space="0" w:color="000000"/>
              <w:left w:val="single" w:sz="6" w:space="0" w:color="000000"/>
              <w:bottom w:val="single" w:sz="6" w:space="0" w:color="000000"/>
              <w:right w:val="single" w:sz="6" w:space="0" w:color="000000"/>
            </w:tcBorders>
            <w:shd w:val="clear" w:color="auto" w:fill="F8FAFD"/>
          </w:tcPr>
          <w:p w14:paraId="1F06323F" w14:textId="77777777" w:rsidR="00A504DA" w:rsidRDefault="00923FEE" w:rsidP="0056457E">
            <w:r>
              <w:lastRenderedPageBreak/>
              <w:t xml:space="preserve">Critical: </w:t>
            </w:r>
          </w:p>
          <w:p w14:paraId="62AB4DE3" w14:textId="77777777" w:rsidR="00B67189" w:rsidRDefault="00A63B9F" w:rsidP="0056457E">
            <w:r>
              <w:t xml:space="preserve">We see the data only for one week starting from </w:t>
            </w:r>
            <w:r w:rsidR="00F44761">
              <w:t>June 1</w:t>
            </w:r>
            <w:r w:rsidR="00B67189">
              <w:t>1-17 only. Latest Data is not available,</w:t>
            </w:r>
          </w:p>
          <w:p w14:paraId="7BC752CC" w14:textId="60D7DD99" w:rsidR="00A63B9F" w:rsidRDefault="00F44761" w:rsidP="0056457E">
            <w:r>
              <w:rPr>
                <w:vertAlign w:val="superscript"/>
              </w:rPr>
              <w:t xml:space="preserve"> </w:t>
            </w:r>
            <w:r>
              <w:t xml:space="preserve">Even then the data seems too heavy. </w:t>
            </w:r>
            <w:r w:rsidR="00B67189">
              <w:t>(2 Lakh/Vehicle/Day)</w:t>
            </w:r>
          </w:p>
          <w:p w14:paraId="2100AF2D" w14:textId="77777777" w:rsidR="00F44761" w:rsidRDefault="00F44761" w:rsidP="0056457E">
            <w:r>
              <w:t xml:space="preserve">Need to check the Trigger Conditions. </w:t>
            </w:r>
          </w:p>
          <w:p w14:paraId="67DB1281" w14:textId="54F58F76" w:rsidR="00F44761" w:rsidRPr="0056457E" w:rsidRDefault="00F44761" w:rsidP="0056457E">
            <w:r>
              <w:t>Report Usability will be affected if every Vehicle is sending 1000s of Alerts in a day,</w:t>
            </w:r>
          </w:p>
        </w:tc>
      </w:tr>
      <w:tr w:rsidR="00A504DA" w:rsidRPr="0056457E" w14:paraId="4029F724" w14:textId="1FCB6121" w:rsidTr="006C75E3">
        <w:tc>
          <w:tcPr>
            <w:tcW w:w="1631"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5C2507" w14:textId="2D09660E" w:rsidR="00A504DA" w:rsidRPr="0056457E" w:rsidRDefault="00A504DA" w:rsidP="0056457E">
            <w:r w:rsidRPr="0056457E">
              <w:rPr>
                <w:b/>
                <w:bCs/>
              </w:rPr>
              <w:t>5. Series Event Log Data</w:t>
            </w:r>
          </w:p>
        </w:tc>
        <w:tc>
          <w:tcPr>
            <w:tcW w:w="190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70564DE" w14:textId="630A6513" w:rsidR="00A504DA" w:rsidRPr="0056457E" w:rsidRDefault="00F44761" w:rsidP="0056457E">
            <w:r>
              <w:t>Table used “</w:t>
            </w:r>
            <w:proofErr w:type="spellStart"/>
            <w:r>
              <w:t>Drivelog_Silver</w:t>
            </w:r>
            <w:proofErr w:type="spellEnd"/>
            <w:r>
              <w:t xml:space="preserve">”. Catalogue:  </w:t>
            </w:r>
            <w:proofErr w:type="spellStart"/>
            <w:r>
              <w:t>prod_msdvc_bev_mmc_postsop</w:t>
            </w:r>
            <w:proofErr w:type="spellEnd"/>
          </w:p>
        </w:tc>
        <w:tc>
          <w:tcPr>
            <w:tcW w:w="949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FB8500" w14:textId="613C1533" w:rsidR="00A504DA" w:rsidRPr="0056457E" w:rsidRDefault="00F86A8B" w:rsidP="0056457E">
            <w:r>
              <w:t>Reconfirm the Table. Request an Audit of this Table by MEAL/VES Team</w:t>
            </w:r>
          </w:p>
        </w:tc>
        <w:tc>
          <w:tcPr>
            <w:tcW w:w="2349" w:type="dxa"/>
            <w:tcBorders>
              <w:top w:val="single" w:sz="6" w:space="0" w:color="000000"/>
              <w:left w:val="single" w:sz="6" w:space="0" w:color="000000"/>
              <w:bottom w:val="single" w:sz="6" w:space="0" w:color="000000"/>
              <w:right w:val="single" w:sz="6" w:space="0" w:color="000000"/>
            </w:tcBorders>
            <w:shd w:val="clear" w:color="auto" w:fill="F8FAFD"/>
          </w:tcPr>
          <w:p w14:paraId="585A0109" w14:textId="75CE39FE" w:rsidR="00A504DA" w:rsidRPr="0056457E" w:rsidRDefault="00F86A8B" w:rsidP="0056457E">
            <w:r>
              <w:t>Source Table correctness, related to point 4.</w:t>
            </w:r>
          </w:p>
        </w:tc>
      </w:tr>
    </w:tbl>
    <w:p w14:paraId="5F3D56CD" w14:textId="77777777" w:rsidR="004866E8" w:rsidRPr="0056457E" w:rsidRDefault="004866E8" w:rsidP="0056457E"/>
    <w:sectPr w:rsidR="004866E8" w:rsidRPr="0056457E" w:rsidSect="00B6718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7D"/>
    <w:rsid w:val="00114288"/>
    <w:rsid w:val="001A4DA0"/>
    <w:rsid w:val="001A74D6"/>
    <w:rsid w:val="0021512D"/>
    <w:rsid w:val="00372F7D"/>
    <w:rsid w:val="00380EBD"/>
    <w:rsid w:val="003B59E3"/>
    <w:rsid w:val="004866E8"/>
    <w:rsid w:val="00505ACA"/>
    <w:rsid w:val="0056457E"/>
    <w:rsid w:val="00594A1D"/>
    <w:rsid w:val="006C75E3"/>
    <w:rsid w:val="0088354D"/>
    <w:rsid w:val="009056EA"/>
    <w:rsid w:val="00923FEE"/>
    <w:rsid w:val="00A504DA"/>
    <w:rsid w:val="00A63B9F"/>
    <w:rsid w:val="00A653AA"/>
    <w:rsid w:val="00B67189"/>
    <w:rsid w:val="00C54F72"/>
    <w:rsid w:val="00E2704F"/>
    <w:rsid w:val="00E9460B"/>
    <w:rsid w:val="00F44761"/>
    <w:rsid w:val="00F86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917E"/>
  <w15:chartTrackingRefBased/>
  <w15:docId w15:val="{5208A1B3-E69E-443F-B84D-4842AE5A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F7D"/>
    <w:rPr>
      <w:rFonts w:eastAsiaTheme="majorEastAsia" w:cstheme="majorBidi"/>
      <w:color w:val="272727" w:themeColor="text1" w:themeTint="D8"/>
    </w:rPr>
  </w:style>
  <w:style w:type="paragraph" w:styleId="Title">
    <w:name w:val="Title"/>
    <w:basedOn w:val="Normal"/>
    <w:next w:val="Normal"/>
    <w:link w:val="TitleChar"/>
    <w:uiPriority w:val="10"/>
    <w:qFormat/>
    <w:rsid w:val="00372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F7D"/>
    <w:pPr>
      <w:spacing w:before="160"/>
      <w:jc w:val="center"/>
    </w:pPr>
    <w:rPr>
      <w:i/>
      <w:iCs/>
      <w:color w:val="404040" w:themeColor="text1" w:themeTint="BF"/>
    </w:rPr>
  </w:style>
  <w:style w:type="character" w:customStyle="1" w:styleId="QuoteChar">
    <w:name w:val="Quote Char"/>
    <w:basedOn w:val="DefaultParagraphFont"/>
    <w:link w:val="Quote"/>
    <w:uiPriority w:val="29"/>
    <w:rsid w:val="00372F7D"/>
    <w:rPr>
      <w:i/>
      <w:iCs/>
      <w:color w:val="404040" w:themeColor="text1" w:themeTint="BF"/>
    </w:rPr>
  </w:style>
  <w:style w:type="paragraph" w:styleId="ListParagraph">
    <w:name w:val="List Paragraph"/>
    <w:basedOn w:val="Normal"/>
    <w:uiPriority w:val="34"/>
    <w:qFormat/>
    <w:rsid w:val="00372F7D"/>
    <w:pPr>
      <w:ind w:left="720"/>
      <w:contextualSpacing/>
    </w:pPr>
  </w:style>
  <w:style w:type="character" w:styleId="IntenseEmphasis">
    <w:name w:val="Intense Emphasis"/>
    <w:basedOn w:val="DefaultParagraphFont"/>
    <w:uiPriority w:val="21"/>
    <w:qFormat/>
    <w:rsid w:val="00372F7D"/>
    <w:rPr>
      <w:i/>
      <w:iCs/>
      <w:color w:val="0F4761" w:themeColor="accent1" w:themeShade="BF"/>
    </w:rPr>
  </w:style>
  <w:style w:type="paragraph" w:styleId="IntenseQuote">
    <w:name w:val="Intense Quote"/>
    <w:basedOn w:val="Normal"/>
    <w:next w:val="Normal"/>
    <w:link w:val="IntenseQuoteChar"/>
    <w:uiPriority w:val="30"/>
    <w:qFormat/>
    <w:rsid w:val="00372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F7D"/>
    <w:rPr>
      <w:i/>
      <w:iCs/>
      <w:color w:val="0F4761" w:themeColor="accent1" w:themeShade="BF"/>
    </w:rPr>
  </w:style>
  <w:style w:type="character" w:styleId="IntenseReference">
    <w:name w:val="Intense Reference"/>
    <w:basedOn w:val="DefaultParagraphFont"/>
    <w:uiPriority w:val="32"/>
    <w:qFormat/>
    <w:rsid w:val="00372F7D"/>
    <w:rPr>
      <w:b/>
      <w:bCs/>
      <w:smallCaps/>
      <w:color w:val="0F4761" w:themeColor="accent1" w:themeShade="BF"/>
      <w:spacing w:val="5"/>
    </w:rPr>
  </w:style>
  <w:style w:type="table" w:styleId="TableGrid">
    <w:name w:val="Table Grid"/>
    <w:basedOn w:val="TableNormal"/>
    <w:uiPriority w:val="39"/>
    <w:rsid w:val="001A4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12488">
      <w:bodyDiv w:val="1"/>
      <w:marLeft w:val="0"/>
      <w:marRight w:val="0"/>
      <w:marTop w:val="0"/>
      <w:marBottom w:val="0"/>
      <w:divBdr>
        <w:top w:val="none" w:sz="0" w:space="0" w:color="auto"/>
        <w:left w:val="none" w:sz="0" w:space="0" w:color="auto"/>
        <w:bottom w:val="none" w:sz="0" w:space="0" w:color="auto"/>
        <w:right w:val="none" w:sz="0" w:space="0" w:color="auto"/>
      </w:divBdr>
    </w:div>
    <w:div w:id="581136326">
      <w:bodyDiv w:val="1"/>
      <w:marLeft w:val="0"/>
      <w:marRight w:val="0"/>
      <w:marTop w:val="0"/>
      <w:marBottom w:val="0"/>
      <w:divBdr>
        <w:top w:val="none" w:sz="0" w:space="0" w:color="auto"/>
        <w:left w:val="none" w:sz="0" w:space="0" w:color="auto"/>
        <w:bottom w:val="none" w:sz="0" w:space="0" w:color="auto"/>
        <w:right w:val="none" w:sz="0" w:space="0" w:color="auto"/>
      </w:divBdr>
      <w:divsChild>
        <w:div w:id="1364746021">
          <w:marLeft w:val="0"/>
          <w:marRight w:val="0"/>
          <w:marTop w:val="0"/>
          <w:marBottom w:val="0"/>
          <w:divBdr>
            <w:top w:val="none" w:sz="0" w:space="0" w:color="auto"/>
            <w:left w:val="none" w:sz="0" w:space="0" w:color="auto"/>
            <w:bottom w:val="none" w:sz="0" w:space="0" w:color="auto"/>
            <w:right w:val="none" w:sz="0" w:space="0" w:color="auto"/>
          </w:divBdr>
        </w:div>
      </w:divsChild>
    </w:div>
    <w:div w:id="958029854">
      <w:bodyDiv w:val="1"/>
      <w:marLeft w:val="0"/>
      <w:marRight w:val="0"/>
      <w:marTop w:val="0"/>
      <w:marBottom w:val="0"/>
      <w:divBdr>
        <w:top w:val="none" w:sz="0" w:space="0" w:color="auto"/>
        <w:left w:val="none" w:sz="0" w:space="0" w:color="auto"/>
        <w:bottom w:val="none" w:sz="0" w:space="0" w:color="auto"/>
        <w:right w:val="none" w:sz="0" w:space="0" w:color="auto"/>
      </w:divBdr>
    </w:div>
    <w:div w:id="1002050560">
      <w:bodyDiv w:val="1"/>
      <w:marLeft w:val="0"/>
      <w:marRight w:val="0"/>
      <w:marTop w:val="0"/>
      <w:marBottom w:val="0"/>
      <w:divBdr>
        <w:top w:val="none" w:sz="0" w:space="0" w:color="auto"/>
        <w:left w:val="none" w:sz="0" w:space="0" w:color="auto"/>
        <w:bottom w:val="none" w:sz="0" w:space="0" w:color="auto"/>
        <w:right w:val="none" w:sz="0" w:space="0" w:color="auto"/>
      </w:divBdr>
    </w:div>
    <w:div w:id="1013071863">
      <w:bodyDiv w:val="1"/>
      <w:marLeft w:val="0"/>
      <w:marRight w:val="0"/>
      <w:marTop w:val="0"/>
      <w:marBottom w:val="0"/>
      <w:divBdr>
        <w:top w:val="none" w:sz="0" w:space="0" w:color="auto"/>
        <w:left w:val="none" w:sz="0" w:space="0" w:color="auto"/>
        <w:bottom w:val="none" w:sz="0" w:space="0" w:color="auto"/>
        <w:right w:val="none" w:sz="0" w:space="0" w:color="auto"/>
      </w:divBdr>
    </w:div>
    <w:div w:id="1095396736">
      <w:bodyDiv w:val="1"/>
      <w:marLeft w:val="0"/>
      <w:marRight w:val="0"/>
      <w:marTop w:val="0"/>
      <w:marBottom w:val="0"/>
      <w:divBdr>
        <w:top w:val="none" w:sz="0" w:space="0" w:color="auto"/>
        <w:left w:val="none" w:sz="0" w:space="0" w:color="auto"/>
        <w:bottom w:val="none" w:sz="0" w:space="0" w:color="auto"/>
        <w:right w:val="none" w:sz="0" w:space="0" w:color="auto"/>
      </w:divBdr>
    </w:div>
    <w:div w:id="1471442365">
      <w:bodyDiv w:val="1"/>
      <w:marLeft w:val="0"/>
      <w:marRight w:val="0"/>
      <w:marTop w:val="0"/>
      <w:marBottom w:val="0"/>
      <w:divBdr>
        <w:top w:val="none" w:sz="0" w:space="0" w:color="auto"/>
        <w:left w:val="none" w:sz="0" w:space="0" w:color="auto"/>
        <w:bottom w:val="none" w:sz="0" w:space="0" w:color="auto"/>
        <w:right w:val="none" w:sz="0" w:space="0" w:color="auto"/>
      </w:divBdr>
    </w:div>
    <w:div w:id="1596788199">
      <w:bodyDiv w:val="1"/>
      <w:marLeft w:val="0"/>
      <w:marRight w:val="0"/>
      <w:marTop w:val="0"/>
      <w:marBottom w:val="0"/>
      <w:divBdr>
        <w:top w:val="none" w:sz="0" w:space="0" w:color="auto"/>
        <w:left w:val="none" w:sz="0" w:space="0" w:color="auto"/>
        <w:bottom w:val="none" w:sz="0" w:space="0" w:color="auto"/>
        <w:right w:val="none" w:sz="0" w:space="0" w:color="auto"/>
      </w:divBdr>
    </w:div>
    <w:div w:id="1612325177">
      <w:bodyDiv w:val="1"/>
      <w:marLeft w:val="0"/>
      <w:marRight w:val="0"/>
      <w:marTop w:val="0"/>
      <w:marBottom w:val="0"/>
      <w:divBdr>
        <w:top w:val="none" w:sz="0" w:space="0" w:color="auto"/>
        <w:left w:val="none" w:sz="0" w:space="0" w:color="auto"/>
        <w:bottom w:val="none" w:sz="0" w:space="0" w:color="auto"/>
        <w:right w:val="none" w:sz="0" w:space="0" w:color="auto"/>
      </w:divBdr>
    </w:div>
    <w:div w:id="1923949500">
      <w:bodyDiv w:val="1"/>
      <w:marLeft w:val="0"/>
      <w:marRight w:val="0"/>
      <w:marTop w:val="0"/>
      <w:marBottom w:val="0"/>
      <w:divBdr>
        <w:top w:val="none" w:sz="0" w:space="0" w:color="auto"/>
        <w:left w:val="none" w:sz="0" w:space="0" w:color="auto"/>
        <w:bottom w:val="none" w:sz="0" w:space="0" w:color="auto"/>
        <w:right w:val="none" w:sz="0" w:space="0" w:color="auto"/>
      </w:divBdr>
    </w:div>
    <w:div w:id="19459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9A232-7552-4924-ABBB-862216713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Senthilvasan Muthusamy</dc:creator>
  <cp:keywords/>
  <dc:description/>
  <cp:lastModifiedBy>Senthilvasan Muthusamy</cp:lastModifiedBy>
  <cp:revision>5</cp:revision>
  <dcterms:created xsi:type="dcterms:W3CDTF">2025-07-02T10:08:00Z</dcterms:created>
  <dcterms:modified xsi:type="dcterms:W3CDTF">2025-07-02T10:13:00Z</dcterms:modified>
</cp:coreProperties>
</file>