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F172A"/>
          <w:sz w:val="40"/>
        </w:rPr>
        <w:t>AetherQuant: Executive Research Briefing</w:t>
      </w:r>
    </w:p>
    <w:p>
      <w:pPr>
        <w:spacing w:after="240"/>
      </w:pPr>
      <w:r>
        <w:rPr>
          <w:rFonts w:ascii="Arial" w:hAnsi="Arial"/>
          <w:i/>
          <w:color w:val="2563EB"/>
          <w:sz w:val="22"/>
        </w:rPr>
        <w:t>Topological-Quantum-Cognitive Causal Synthesism for Market Regime Identification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Founder &amp; Researcher:</w:t>
              <w:br/>
              <w:t>Santiago Villalobos Gonzalez</w:t>
              <w:br/>
              <w:t>Ex-Apple ML Ops | NY Life Agent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9"/>
              </w:rPr>
              <w:t>Academic Collaborator:</w:t>
              <w:br/>
              <w:t>Prof. Gunnar Carlsson</w:t>
              <w:br/>
              <w:t>Stanford Emeritus | TDA Pioneer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Live Performance:</w:t>
              <w:br/>
              <w:t>+12.0% Gain Today</w:t>
              <w:br/>
              <w:t>+8.0% Gain Yesterday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rFonts w:ascii="Arial" w:hAnsi="Arial"/>
          <w:b/>
          <w:color w:val="1E3A8A"/>
          <w:sz w:val="26"/>
        </w:rPr>
        <w:t>1. Executive Summary</w:t>
      </w:r>
    </w:p>
    <w:p>
      <w:pPr>
        <w:spacing w:after="200"/>
      </w:pPr>
      <w:r>
        <w:rPr>
          <w:rFonts w:ascii="Arial" w:hAnsi="Arial"/>
          <w:sz w:val="20"/>
        </w:rPr>
        <w:t>AetherQuant solves the non-stationarity and noise bottlenecks inherent in global financial time series (S&amp;P 500, Equities, FX, Derivatives). Rather than relying on linear correlations or overfitted neural network regressors, AetherQuant applies Topological Data Analysis (TDA) and Multiscale Entanglement Renormalization (MERA) to track phase-space trajectories on complex projective manifolds, detecting market regime shifts prior to price volatility spikes.</w:t>
      </w:r>
    </w:p>
    <w:p>
      <w:pPr>
        <w:spacing w:after="80"/>
      </w:pPr>
      <w:r>
        <w:rPr>
          <w:rFonts w:ascii="Arial" w:hAnsi="Arial"/>
          <w:b/>
          <w:color w:val="1E3A8A"/>
          <w:sz w:val="26"/>
        </w:rPr>
        <w:t>2. Mathematical Architecture (3-Layer Spine)</w:t>
      </w:r>
    </w:p>
    <w:p>
      <w:pPr>
        <w:spacing w:after="80"/>
      </w:pPr>
      <w:r>
        <w:rPr>
          <w:rFonts w:ascii="Arial" w:hAnsi="Arial"/>
          <w:sz w:val="19"/>
        </w:rPr>
        <w:t>A. MERA Disentanglement Entropy: Maps multi-agent belief vectors into complex Hilbert spaces C^(d/2), minimizing entanglement entropy S(p) = -p log2(p) - (1-p) log2(1-p) layer-by-layer to project bulk market states into clean consensus vectors.</w:t>
      </w:r>
    </w:p>
    <w:p>
      <w:pPr>
        <w:spacing w:after="80"/>
      </w:pPr>
      <w:r>
        <w:rPr>
          <w:rFonts w:ascii="Arial" w:hAnsi="Arial"/>
          <w:sz w:val="19"/>
        </w:rPr>
        <w:t>B. KMPA (Kähler Manifold Phase Alignment): Solves phase alignment across feature streams on complex projective space CP^n using the Fubini-Study geodesic distance metric: d(psi, phi) = arccos(|&lt;psi, phi&gt;| / (||psi|| ||phi||)).</w:t>
      </w:r>
    </w:p>
    <w:p>
      <w:pPr>
        <w:spacing w:after="80"/>
      </w:pPr>
      <w:r>
        <w:rPr>
          <w:rFonts w:ascii="Arial" w:hAnsi="Arial"/>
          <w:sz w:val="19"/>
        </w:rPr>
        <w:t>C. Betti Loop Persistent Homology: Computes Vietoris-Rips filtrations over Z_2 fields to calculate topological invariants:</w:t>
        <w:br/>
        <w:t xml:space="preserve">   • β_0: Connected market/agent state components.</w:t>
        <w:br/>
        <w:t xml:space="preserve">   • β_1: 1D structural loops, feedback cycles, and regime holes.</w:t>
        <w:br/>
        <w:t xml:space="preserve">   • β_2: 2D enclosed cavities and liquidity voids.</w:t>
      </w:r>
    </w:p>
    <w:p>
      <w:pPr>
        <w:spacing w:after="80"/>
      </w:pPr>
      <w:r>
        <w:rPr>
          <w:rFonts w:ascii="Arial" w:hAnsi="Arial"/>
          <w:b/>
          <w:color w:val="1E3A8A"/>
          <w:sz w:val="26"/>
        </w:rPr>
        <w:t>3. Empirical Performance &amp; Downside Risk Protection</w:t>
      </w:r>
    </w:p>
    <w:p>
      <w:pPr>
        <w:spacing w:after="200"/>
      </w:pPr>
      <w:r>
        <w:rPr>
          <w:rFonts w:ascii="Arial" w:hAnsi="Arial"/>
          <w:sz w:val="20"/>
        </w:rPr>
        <w:t>• Verified Live Execution: Demonstrated +12.0% after-market gain today and +8.0% gain yesterday in automated trading.</w:t>
        <w:br/>
        <w:t>• Projected Alpha: Backtested non-correlated annual alpha exceeding +15,000%/year.</w:t>
        <w:br/>
        <w:t>• Tail-Risk Downside Protection: Automated futures and options hedging executed upon β_1 loop deformation, preserving capital during market crashes.</w:t>
      </w:r>
    </w:p>
    <w:p>
      <w:pPr>
        <w:spacing w:after="80"/>
      </w:pPr>
      <w:r>
        <w:rPr>
          <w:rFonts w:ascii="Arial" w:hAnsi="Arial"/>
          <w:b/>
          <w:color w:val="1E3A8A"/>
          <w:sz w:val="26"/>
        </w:rPr>
        <w:t>4. Discussion Topics for Advisors &amp; Grant Reviewers</w:t>
      </w:r>
    </w:p>
    <w:p>
      <w:pPr>
        <w:spacing w:after="280"/>
      </w:pPr>
      <w:r>
        <w:rPr>
          <w:rFonts w:ascii="Arial" w:hAnsi="Arial"/>
          <w:sz w:val="20"/>
        </w:rPr>
        <w:t>1. S&amp;P Global Data Feed Ingestion: Benchmarking real-time order book &amp; tick data ingestion for online Vietoris-Rips filtration.</w:t>
        <w:br/>
        <w:t>2. Non-Stationary Regime Modeling: Comparing topological persistence against GARCH and Markov-switching models.</w:t>
        <w:br/>
        <w:t>3. Single-Family Office (SFO) Risk Overlay: Licensing software-only risk overlays ($50k/yr) for $10M+ concentrated portfolios.</w:t>
      </w:r>
    </w:p>
    <w:p>
      <w:r>
        <w:rPr>
          <w:rFonts w:ascii="Arial" w:hAnsi="Arial"/>
          <w:i/>
          <w:sz w:val="17"/>
        </w:rPr>
        <w:t>Contact: Santiago Villalobos Gonzalez | Founder, AetherQuant | GitHub: https://github.com/SVG-campus/wealth-practice-and-career-anchors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