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7DF4" w14:textId="77777777" w:rsidR="00562AFD" w:rsidRPr="00770396" w:rsidRDefault="00562AFD" w:rsidP="00562AFD">
      <w:pPr>
        <w:spacing w:line="360" w:lineRule="auto"/>
        <w:jc w:val="center"/>
        <w:rPr>
          <w:rFonts w:ascii="Times New Roman" w:hAnsi="Times New Roman" w:cs="Times New Roman"/>
          <w:b/>
          <w:bCs/>
          <w:sz w:val="24"/>
          <w:szCs w:val="24"/>
        </w:rPr>
      </w:pPr>
      <w:r w:rsidRPr="00770396">
        <w:rPr>
          <w:rFonts w:ascii="Times New Roman" w:hAnsi="Times New Roman" w:cs="Times New Roman"/>
          <w:b/>
          <w:bCs/>
          <w:sz w:val="24"/>
          <w:szCs w:val="24"/>
        </w:rPr>
        <w:t xml:space="preserve">Consumer Adoption Intention toward Payment Bank Services: The Role of Financial Literacy, Service Quality, and Social Influence in </w:t>
      </w:r>
      <w:proofErr w:type="spellStart"/>
      <w:r w:rsidRPr="00770396">
        <w:rPr>
          <w:rFonts w:ascii="Times New Roman" w:hAnsi="Times New Roman" w:cs="Times New Roman"/>
          <w:b/>
          <w:bCs/>
          <w:sz w:val="24"/>
          <w:szCs w:val="24"/>
        </w:rPr>
        <w:t>Kolhan</w:t>
      </w:r>
      <w:proofErr w:type="spellEnd"/>
      <w:r w:rsidRPr="00770396">
        <w:rPr>
          <w:rFonts w:ascii="Times New Roman" w:hAnsi="Times New Roman" w:cs="Times New Roman"/>
          <w:b/>
          <w:bCs/>
          <w:sz w:val="24"/>
          <w:szCs w:val="24"/>
        </w:rPr>
        <w:t xml:space="preserve"> Division, Jharkhand</w:t>
      </w:r>
    </w:p>
    <w:p w14:paraId="2E0855CA" w14:textId="2BCC9DFA" w:rsidR="00854E41" w:rsidRPr="00770396" w:rsidRDefault="00D77563" w:rsidP="00854E41">
      <w:pPr>
        <w:spacing w:after="0" w:line="240" w:lineRule="auto"/>
        <w:jc w:val="center"/>
        <w:rPr>
          <w:rStyle w:val="fontstyle01"/>
          <w:rFonts w:ascii="Times New Roman" w:hAnsi="Times New Roman" w:cs="Times New Roman"/>
          <w:bCs/>
          <w:color w:val="auto"/>
        </w:rPr>
      </w:pPr>
      <w:r w:rsidRPr="00770396">
        <w:rPr>
          <w:rStyle w:val="fontstyle01"/>
          <w:rFonts w:ascii="Times New Roman" w:hAnsi="Times New Roman" w:cs="Times New Roman"/>
          <w:bCs/>
          <w:color w:val="auto"/>
        </w:rPr>
        <w:t>Ashok Kumar Pandey</w:t>
      </w:r>
      <w:r w:rsidR="00854E41" w:rsidRPr="00770396">
        <w:rPr>
          <w:rStyle w:val="fontstyle01"/>
          <w:rFonts w:ascii="Times New Roman" w:hAnsi="Times New Roman" w:cs="Times New Roman"/>
          <w:bCs/>
          <w:color w:val="auto"/>
          <w:vertAlign w:val="superscript"/>
        </w:rPr>
        <w:t>1*</w:t>
      </w:r>
      <w:r w:rsidR="00854E41" w:rsidRPr="00770396">
        <w:rPr>
          <w:rStyle w:val="fontstyle01"/>
          <w:rFonts w:ascii="Times New Roman" w:hAnsi="Times New Roman" w:cs="Times New Roman"/>
          <w:bCs/>
          <w:color w:val="auto"/>
        </w:rPr>
        <w:t>, Dr. Sayak Gupta</w:t>
      </w:r>
      <w:r w:rsidR="00854E41" w:rsidRPr="00770396">
        <w:rPr>
          <w:rStyle w:val="fontstyle01"/>
          <w:rFonts w:ascii="Times New Roman" w:hAnsi="Times New Roman" w:cs="Times New Roman"/>
          <w:bCs/>
          <w:color w:val="auto"/>
          <w:vertAlign w:val="superscript"/>
        </w:rPr>
        <w:t>2</w:t>
      </w:r>
    </w:p>
    <w:p w14:paraId="10CFE16F" w14:textId="77777777" w:rsidR="00854E41" w:rsidRPr="00770396" w:rsidRDefault="00854E41" w:rsidP="00854E41">
      <w:pPr>
        <w:spacing w:after="0" w:line="240" w:lineRule="auto"/>
        <w:jc w:val="both"/>
        <w:rPr>
          <w:rFonts w:ascii="Times New Roman" w:hAnsi="Times New Roman" w:cs="Times New Roman"/>
          <w:b/>
          <w:sz w:val="24"/>
          <w:szCs w:val="24"/>
        </w:rPr>
      </w:pPr>
    </w:p>
    <w:p w14:paraId="1208088A" w14:textId="791B7F33" w:rsidR="00854E41" w:rsidRPr="00770396" w:rsidRDefault="00854E41" w:rsidP="00854E41">
      <w:pPr>
        <w:spacing w:line="360" w:lineRule="auto"/>
        <w:contextualSpacing/>
        <w:rPr>
          <w:rFonts w:ascii="Times New Roman" w:eastAsia="Aptos" w:hAnsi="Times New Roman" w:cs="Times New Roman"/>
          <w:kern w:val="2"/>
          <w:sz w:val="24"/>
          <w:szCs w:val="24"/>
        </w:rPr>
      </w:pPr>
      <w:r w:rsidRPr="00770396">
        <w:rPr>
          <w:rStyle w:val="fontstyle01"/>
          <w:rFonts w:ascii="Times New Roman" w:hAnsi="Times New Roman" w:cs="Times New Roman"/>
          <w:color w:val="auto"/>
          <w:vertAlign w:val="superscript"/>
        </w:rPr>
        <w:t>1*</w:t>
      </w:r>
      <w:r w:rsidRPr="00770396">
        <w:rPr>
          <w:rStyle w:val="fontstyle01"/>
          <w:rFonts w:ascii="Times New Roman" w:hAnsi="Times New Roman" w:cs="Times New Roman"/>
          <w:color w:val="auto"/>
        </w:rPr>
        <w:t xml:space="preserve">Research Scholar, Department of </w:t>
      </w:r>
      <w:r w:rsidR="00125CEF" w:rsidRPr="00770396">
        <w:rPr>
          <w:rStyle w:val="fontstyle01"/>
          <w:rFonts w:ascii="Times New Roman" w:hAnsi="Times New Roman" w:cs="Times New Roman"/>
          <w:color w:val="auto"/>
        </w:rPr>
        <w:t>Management</w:t>
      </w:r>
      <w:r w:rsidRPr="00770396">
        <w:rPr>
          <w:rStyle w:val="fontstyle01"/>
          <w:rFonts w:ascii="Times New Roman" w:hAnsi="Times New Roman" w:cs="Times New Roman"/>
          <w:color w:val="auto"/>
        </w:rPr>
        <w:t xml:space="preserve">, Netaji Subhas University, Jamshedpur, India, Email ID: </w:t>
      </w:r>
      <w:r w:rsidR="00DE0169" w:rsidRPr="00770396">
        <w:rPr>
          <w:rFonts w:ascii="Times New Roman" w:hAnsi="Times New Roman" w:cs="Times New Roman"/>
          <w:sz w:val="24"/>
          <w:szCs w:val="24"/>
        </w:rPr>
        <w:t>askashok.pandey@gmail.com, ORCID ID:</w:t>
      </w:r>
      <w:r w:rsidR="0088249F" w:rsidRPr="00770396">
        <w:rPr>
          <w:rFonts w:ascii="Times New Roman" w:hAnsi="Times New Roman" w:cs="Times New Roman"/>
          <w:sz w:val="24"/>
          <w:szCs w:val="24"/>
        </w:rPr>
        <w:t xml:space="preserve"> 0009-0002-1288-0650</w:t>
      </w:r>
      <w:r w:rsidR="00DE0169" w:rsidRPr="00770396">
        <w:rPr>
          <w:rFonts w:ascii="Times New Roman" w:hAnsi="Times New Roman" w:cs="Times New Roman"/>
          <w:sz w:val="24"/>
          <w:szCs w:val="24"/>
        </w:rPr>
        <w:t xml:space="preserve"> </w:t>
      </w:r>
      <w:r w:rsidRPr="00770396">
        <w:rPr>
          <w:rFonts w:ascii="Times New Roman" w:hAnsi="Times New Roman" w:cs="Times New Roman"/>
          <w:sz w:val="24"/>
          <w:szCs w:val="24"/>
        </w:rPr>
        <w:t xml:space="preserve"> </w:t>
      </w:r>
    </w:p>
    <w:p w14:paraId="593C45DC" w14:textId="6CDBFECD" w:rsidR="00854E41" w:rsidRPr="00770396" w:rsidRDefault="00854E41" w:rsidP="00854E41">
      <w:pPr>
        <w:spacing w:line="360" w:lineRule="auto"/>
        <w:contextualSpacing/>
        <w:rPr>
          <w:rFonts w:ascii="Times New Roman" w:hAnsi="Times New Roman" w:cs="Times New Roman"/>
          <w:sz w:val="24"/>
          <w:szCs w:val="24"/>
        </w:rPr>
      </w:pPr>
      <w:r w:rsidRPr="00770396">
        <w:rPr>
          <w:rStyle w:val="fontstyle01"/>
          <w:rFonts w:ascii="Times New Roman" w:hAnsi="Times New Roman" w:cs="Times New Roman"/>
          <w:color w:val="auto"/>
          <w:vertAlign w:val="superscript"/>
        </w:rPr>
        <w:t>2</w:t>
      </w:r>
      <w:r w:rsidRPr="00770396">
        <w:rPr>
          <w:rStyle w:val="fontstyle01"/>
          <w:rFonts w:ascii="Times New Roman" w:hAnsi="Times New Roman" w:cs="Times New Roman"/>
          <w:color w:val="auto"/>
        </w:rPr>
        <w:t xml:space="preserve">Assistant Professor, Department of Management, Netaji Subhas University, Jamshedpur, India, Email ID: </w:t>
      </w:r>
      <w:r w:rsidRPr="00770396">
        <w:rPr>
          <w:rFonts w:ascii="Times New Roman" w:hAnsi="Times New Roman" w:cs="Times New Roman"/>
          <w:sz w:val="24"/>
          <w:szCs w:val="24"/>
        </w:rPr>
        <w:t>cal.sayak@gmail.com,</w:t>
      </w:r>
      <w:r w:rsidRPr="00770396">
        <w:rPr>
          <w:rStyle w:val="fontstyle01"/>
          <w:rFonts w:ascii="Times New Roman" w:hAnsi="Times New Roman" w:cs="Times New Roman"/>
          <w:color w:val="auto"/>
        </w:rPr>
        <w:t xml:space="preserve"> </w:t>
      </w:r>
      <w:r w:rsidRPr="00770396">
        <w:rPr>
          <w:rFonts w:ascii="Times New Roman" w:hAnsi="Times New Roman" w:cs="Times New Roman"/>
          <w:sz w:val="24"/>
          <w:szCs w:val="24"/>
        </w:rPr>
        <w:t>ORCID ID: 0009-0000-3057-2497</w:t>
      </w:r>
    </w:p>
    <w:p w14:paraId="15729345" w14:textId="77777777" w:rsidR="00E96EE6" w:rsidRDefault="00E96EE6" w:rsidP="00CB694C">
      <w:pPr>
        <w:spacing w:after="0" w:line="360" w:lineRule="auto"/>
        <w:jc w:val="both"/>
        <w:rPr>
          <w:rFonts w:ascii="Times New Roman" w:eastAsia="Calibri" w:hAnsi="Times New Roman" w:cs="Times New Roman"/>
          <w:b/>
          <w:bCs/>
          <w:sz w:val="24"/>
          <w:szCs w:val="24"/>
          <w:lang w:eastAsia="zh-CN"/>
        </w:rPr>
      </w:pPr>
    </w:p>
    <w:p w14:paraId="3BEF3258" w14:textId="46C1D76F" w:rsidR="007075EF" w:rsidRPr="00770396" w:rsidRDefault="002E792D" w:rsidP="00CB694C">
      <w:pPr>
        <w:spacing w:after="0" w:line="360" w:lineRule="auto"/>
        <w:jc w:val="both"/>
        <w:rPr>
          <w:rFonts w:ascii="Times New Roman" w:eastAsia="Calibri" w:hAnsi="Times New Roman" w:cs="Times New Roman"/>
          <w:b/>
          <w:bCs/>
          <w:sz w:val="24"/>
          <w:szCs w:val="24"/>
          <w:lang w:eastAsia="zh-CN"/>
        </w:rPr>
      </w:pPr>
      <w:r w:rsidRPr="002E792D">
        <w:rPr>
          <w:rFonts w:ascii="Times New Roman" w:eastAsia="Calibri" w:hAnsi="Times New Roman" w:cs="Times New Roman"/>
          <w:b/>
          <w:bCs/>
          <w:sz w:val="24"/>
          <w:szCs w:val="24"/>
          <w:lang w:eastAsia="zh-CN"/>
        </w:rPr>
        <w:t>Abstract</w:t>
      </w:r>
    </w:p>
    <w:p w14:paraId="533927DD" w14:textId="256E2245" w:rsidR="00B95F23" w:rsidRPr="00B95F23" w:rsidRDefault="00B95F23" w:rsidP="00B95F23">
      <w:pPr>
        <w:spacing w:line="360" w:lineRule="auto"/>
        <w:jc w:val="both"/>
        <w:rPr>
          <w:rFonts w:ascii="Times New Roman" w:eastAsia="Calibri" w:hAnsi="Times New Roman" w:cs="Times New Roman"/>
          <w:sz w:val="24"/>
          <w:szCs w:val="24"/>
          <w:lang w:eastAsia="zh-CN"/>
        </w:rPr>
      </w:pPr>
      <w:r w:rsidRPr="00B95F23">
        <w:rPr>
          <w:rFonts w:ascii="Times New Roman" w:eastAsia="Calibri" w:hAnsi="Times New Roman" w:cs="Times New Roman"/>
          <w:sz w:val="24"/>
          <w:szCs w:val="24"/>
          <w:lang w:eastAsia="zh-CN"/>
        </w:rPr>
        <w:t xml:space="preserve">The rapid growth of digital financial services has increased the importance of understanding the factors influencing consumers’ adoption of payment bank services. Payment banks play a vital role in promoting financial inclusion by providing accessible and technology-driven banking solutions. This study examines the impact of Financial Literacy, Service Quality, and Social Influence on consumers’ Adoption Intention toward payment bank services in </w:t>
      </w:r>
      <w:proofErr w:type="spellStart"/>
      <w:r w:rsidRPr="00B95F23">
        <w:rPr>
          <w:rFonts w:ascii="Times New Roman" w:eastAsia="Calibri" w:hAnsi="Times New Roman" w:cs="Times New Roman"/>
          <w:sz w:val="24"/>
          <w:szCs w:val="24"/>
          <w:lang w:eastAsia="zh-CN"/>
        </w:rPr>
        <w:t>Kolhan</w:t>
      </w:r>
      <w:proofErr w:type="spellEnd"/>
      <w:r w:rsidRPr="00B95F23">
        <w:rPr>
          <w:rFonts w:ascii="Times New Roman" w:eastAsia="Calibri" w:hAnsi="Times New Roman" w:cs="Times New Roman"/>
          <w:sz w:val="24"/>
          <w:szCs w:val="24"/>
          <w:lang w:eastAsia="zh-CN"/>
        </w:rPr>
        <w:t xml:space="preserve"> Division, Jharkhand. A quantitative research approach was adopted, and data were collected from 200 respondents using a structured questionnaire. The collected data were </w:t>
      </w:r>
      <w:proofErr w:type="spellStart"/>
      <w:r w:rsidRPr="00B95F23">
        <w:rPr>
          <w:rFonts w:ascii="Times New Roman" w:eastAsia="Calibri" w:hAnsi="Times New Roman" w:cs="Times New Roman"/>
          <w:sz w:val="24"/>
          <w:szCs w:val="24"/>
          <w:lang w:eastAsia="zh-CN"/>
        </w:rPr>
        <w:t>analyzed</w:t>
      </w:r>
      <w:proofErr w:type="spellEnd"/>
      <w:r w:rsidRPr="00B95F23">
        <w:rPr>
          <w:rFonts w:ascii="Times New Roman" w:eastAsia="Calibri" w:hAnsi="Times New Roman" w:cs="Times New Roman"/>
          <w:sz w:val="24"/>
          <w:szCs w:val="24"/>
          <w:lang w:eastAsia="zh-CN"/>
        </w:rPr>
        <w:t xml:space="preserve"> using SPSS 17.0 and </w:t>
      </w:r>
      <w:proofErr w:type="spellStart"/>
      <w:r w:rsidRPr="00B95F23">
        <w:rPr>
          <w:rFonts w:ascii="Times New Roman" w:eastAsia="Calibri" w:hAnsi="Times New Roman" w:cs="Times New Roman"/>
          <w:sz w:val="24"/>
          <w:szCs w:val="24"/>
          <w:lang w:eastAsia="zh-CN"/>
        </w:rPr>
        <w:t>SmartPLS</w:t>
      </w:r>
      <w:proofErr w:type="spellEnd"/>
      <w:r w:rsidRPr="00B95F23">
        <w:rPr>
          <w:rFonts w:ascii="Times New Roman" w:eastAsia="Calibri" w:hAnsi="Times New Roman" w:cs="Times New Roman"/>
          <w:sz w:val="24"/>
          <w:szCs w:val="24"/>
          <w:lang w:eastAsia="zh-CN"/>
        </w:rPr>
        <w:t xml:space="preserve"> 4, and Partial Least Squares Structural Equation </w:t>
      </w:r>
      <w:proofErr w:type="spellStart"/>
      <w:r w:rsidRPr="00B95F23">
        <w:rPr>
          <w:rFonts w:ascii="Times New Roman" w:eastAsia="Calibri" w:hAnsi="Times New Roman" w:cs="Times New Roman"/>
          <w:sz w:val="24"/>
          <w:szCs w:val="24"/>
          <w:lang w:eastAsia="zh-CN"/>
        </w:rPr>
        <w:t>Modeling</w:t>
      </w:r>
      <w:proofErr w:type="spellEnd"/>
      <w:r w:rsidRPr="00B95F23">
        <w:rPr>
          <w:rFonts w:ascii="Times New Roman" w:eastAsia="Calibri" w:hAnsi="Times New Roman" w:cs="Times New Roman"/>
          <w:sz w:val="24"/>
          <w:szCs w:val="24"/>
          <w:lang w:eastAsia="zh-CN"/>
        </w:rPr>
        <w:t xml:space="preserve"> (PLS-SEM) was employed to test the proposed hypotheses.</w:t>
      </w:r>
      <w:r w:rsidR="008862CC">
        <w:rPr>
          <w:rFonts w:ascii="Times New Roman" w:eastAsia="Calibri" w:hAnsi="Times New Roman" w:cs="Times New Roman"/>
          <w:sz w:val="24"/>
          <w:szCs w:val="24"/>
          <w:lang w:eastAsia="zh-CN"/>
        </w:rPr>
        <w:t xml:space="preserve"> </w:t>
      </w:r>
      <w:r w:rsidRPr="00B95F23">
        <w:rPr>
          <w:rFonts w:ascii="Times New Roman" w:eastAsia="Calibri" w:hAnsi="Times New Roman" w:cs="Times New Roman"/>
          <w:sz w:val="24"/>
          <w:szCs w:val="24"/>
          <w:lang w:eastAsia="zh-CN"/>
        </w:rPr>
        <w:t xml:space="preserve">The findings indicate that Financial Literacy, Service Quality, and Social Influence have significant positive effects on Adoption Intention toward payment bank services. Among these variables, Financial Literacy emerged as the strongest predictor, followed by Service Quality and Social Influence. The results suggest that consumers with higher financial knowledge, positive service experiences, and </w:t>
      </w:r>
      <w:proofErr w:type="spellStart"/>
      <w:r w:rsidRPr="00B95F23">
        <w:rPr>
          <w:rFonts w:ascii="Times New Roman" w:eastAsia="Calibri" w:hAnsi="Times New Roman" w:cs="Times New Roman"/>
          <w:sz w:val="24"/>
          <w:szCs w:val="24"/>
          <w:lang w:eastAsia="zh-CN"/>
        </w:rPr>
        <w:t>favorable</w:t>
      </w:r>
      <w:proofErr w:type="spellEnd"/>
      <w:r w:rsidRPr="00B95F23">
        <w:rPr>
          <w:rFonts w:ascii="Times New Roman" w:eastAsia="Calibri" w:hAnsi="Times New Roman" w:cs="Times New Roman"/>
          <w:sz w:val="24"/>
          <w:szCs w:val="24"/>
          <w:lang w:eastAsia="zh-CN"/>
        </w:rPr>
        <w:t xml:space="preserve"> social influence are more likely to adopt payment bank services. The study provides valuable insights for payment banks, financial institutions, and policymakers seeking to enhance digital financial inclusion and encourage greater adoption of payment bank services.</w:t>
      </w:r>
    </w:p>
    <w:p w14:paraId="52BB2991" w14:textId="77777777" w:rsidR="00B95F23" w:rsidRPr="00B95F23" w:rsidRDefault="00B95F23" w:rsidP="00B95F23">
      <w:pPr>
        <w:spacing w:line="360" w:lineRule="auto"/>
        <w:jc w:val="both"/>
        <w:rPr>
          <w:rFonts w:ascii="Times New Roman" w:eastAsia="Calibri" w:hAnsi="Times New Roman" w:cs="Times New Roman"/>
          <w:sz w:val="24"/>
          <w:szCs w:val="24"/>
          <w:lang w:eastAsia="zh-CN"/>
        </w:rPr>
      </w:pPr>
      <w:r w:rsidRPr="00B95F23">
        <w:rPr>
          <w:rFonts w:ascii="Times New Roman" w:eastAsia="Calibri" w:hAnsi="Times New Roman" w:cs="Times New Roman"/>
          <w:b/>
          <w:bCs/>
          <w:sz w:val="24"/>
          <w:szCs w:val="24"/>
          <w:lang w:eastAsia="zh-CN"/>
        </w:rPr>
        <w:t>Keywords:</w:t>
      </w:r>
      <w:r w:rsidRPr="00B95F23">
        <w:rPr>
          <w:rFonts w:ascii="Times New Roman" w:eastAsia="Calibri" w:hAnsi="Times New Roman" w:cs="Times New Roman"/>
          <w:sz w:val="24"/>
          <w:szCs w:val="24"/>
          <w:lang w:eastAsia="zh-CN"/>
        </w:rPr>
        <w:t xml:space="preserve"> Payment Bank Services, Adoption Intention, Financial Literacy, Service Quality, Social Influence, Financial Inclusion.</w:t>
      </w:r>
    </w:p>
    <w:p w14:paraId="1385B91E" w14:textId="77777777" w:rsidR="00FB670C" w:rsidRDefault="00FB670C" w:rsidP="000206C2">
      <w:pPr>
        <w:spacing w:line="360" w:lineRule="auto"/>
        <w:jc w:val="both"/>
        <w:rPr>
          <w:rFonts w:ascii="Times New Roman" w:eastAsia="Calibri" w:hAnsi="Times New Roman" w:cs="Times New Roman"/>
          <w:sz w:val="24"/>
          <w:szCs w:val="24"/>
          <w:lang w:eastAsia="zh-CN"/>
        </w:rPr>
      </w:pPr>
    </w:p>
    <w:p w14:paraId="1114CE2A" w14:textId="77777777" w:rsidR="00FB670C" w:rsidRDefault="00FB670C" w:rsidP="000206C2">
      <w:pPr>
        <w:spacing w:line="360" w:lineRule="auto"/>
        <w:jc w:val="both"/>
        <w:rPr>
          <w:rFonts w:ascii="Times New Roman" w:eastAsia="Calibri" w:hAnsi="Times New Roman" w:cs="Times New Roman"/>
          <w:sz w:val="24"/>
          <w:szCs w:val="24"/>
          <w:lang w:eastAsia="zh-CN"/>
        </w:rPr>
      </w:pPr>
    </w:p>
    <w:p w14:paraId="3AE9D990" w14:textId="77777777" w:rsidR="00FB670C" w:rsidRDefault="00FB670C" w:rsidP="000206C2">
      <w:pPr>
        <w:spacing w:line="360" w:lineRule="auto"/>
        <w:jc w:val="both"/>
        <w:rPr>
          <w:rFonts w:ascii="Times New Roman" w:eastAsia="Calibri" w:hAnsi="Times New Roman" w:cs="Times New Roman"/>
          <w:sz w:val="24"/>
          <w:szCs w:val="24"/>
          <w:lang w:eastAsia="zh-CN"/>
        </w:rPr>
      </w:pPr>
    </w:p>
    <w:p w14:paraId="60C1A073" w14:textId="77777777" w:rsidR="00FB670C" w:rsidRDefault="00FB670C" w:rsidP="000206C2">
      <w:pPr>
        <w:spacing w:line="360" w:lineRule="auto"/>
        <w:jc w:val="both"/>
        <w:rPr>
          <w:rFonts w:ascii="Times New Roman" w:eastAsia="Calibri" w:hAnsi="Times New Roman" w:cs="Times New Roman"/>
          <w:sz w:val="24"/>
          <w:szCs w:val="24"/>
          <w:lang w:eastAsia="zh-CN"/>
        </w:rPr>
      </w:pPr>
    </w:p>
    <w:p w14:paraId="43EFF4C5" w14:textId="384C4361" w:rsidR="000206C2" w:rsidRPr="00770396" w:rsidRDefault="000206C2" w:rsidP="000206C2">
      <w:pPr>
        <w:spacing w:line="360" w:lineRule="auto"/>
        <w:jc w:val="both"/>
        <w:rPr>
          <w:rFonts w:ascii="Times New Roman" w:eastAsia="Times New Roman" w:hAnsi="Times New Roman" w:cs="Times New Roman"/>
          <w:b/>
          <w:sz w:val="24"/>
          <w:szCs w:val="24"/>
        </w:rPr>
      </w:pPr>
      <w:r w:rsidRPr="00770396">
        <w:rPr>
          <w:rFonts w:ascii="Times New Roman" w:eastAsia="Times New Roman" w:hAnsi="Times New Roman" w:cs="Times New Roman"/>
          <w:b/>
          <w:sz w:val="24"/>
          <w:szCs w:val="24"/>
        </w:rPr>
        <w:lastRenderedPageBreak/>
        <w:t xml:space="preserve">1. Introduction </w:t>
      </w:r>
    </w:p>
    <w:p w14:paraId="4A7B3AB4" w14:textId="66B2AE30" w:rsidR="00D37BE2" w:rsidRPr="00770396" w:rsidRDefault="006F7408" w:rsidP="0031793D">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 xml:space="preserve">The rapid advancement of digital technology has transformed the financial services sector, leading to the emergence of innovative banking models and digital payment systems worldwide. In India, payment banks were introduced to promote financial inclusion and provide accessible banking services to underserved and unbanked populations through technology-driven platforms. The increasing penetration of smartphones, internet connectivity, and digital payment infrastructure has accelerated the adoption of digital financial services across the country. Consumer adoption intention, which refers to an individual's willingness to use a service in the future, is considered a key predictor of actual usage </w:t>
      </w:r>
      <w:proofErr w:type="spellStart"/>
      <w:r w:rsidRPr="00770396">
        <w:rPr>
          <w:rFonts w:ascii="Times New Roman" w:eastAsia="Times New Roman" w:hAnsi="Times New Roman" w:cs="Times New Roman"/>
          <w:bCs/>
          <w:sz w:val="24"/>
          <w:szCs w:val="24"/>
        </w:rPr>
        <w:t>behavior</w:t>
      </w:r>
      <w:proofErr w:type="spellEnd"/>
      <w:r w:rsidRPr="00770396">
        <w:rPr>
          <w:rFonts w:ascii="Times New Roman" w:eastAsia="Times New Roman" w:hAnsi="Times New Roman" w:cs="Times New Roman"/>
          <w:bCs/>
          <w:sz w:val="24"/>
          <w:szCs w:val="24"/>
        </w:rPr>
        <w:t xml:space="preserve"> (Ajzen, 1991). Financial literacy plays a significant role in influencing consumers' financial decisions, as individuals with greater financial knowledge are better able to understand and utilize financial products and services effectively (Lusardi &amp; Mitchell, 2014). Studies have shown that financially literate individuals are more likely to participate in formal financial systems and adopt digital financial services (Morgan &amp; Trinh, 2019). Service quality is another important determinant of adoption intention, particularly in digital banking environments where reliability, responsiveness, security, accessibility, and transaction efficiency influence consumer perceptions and satisfaction. Parasuraman et al. (2005) highlighted that electronic service quality significantly affects customers’ evaluations of technology-based services, while Sharma and Sharma (2019) found that superior service quality positively influences consumers’ intentions to adopt mobile banking services. Social influence also plays a crucial role in shaping consumer </w:t>
      </w:r>
      <w:proofErr w:type="spellStart"/>
      <w:r w:rsidRPr="00770396">
        <w:rPr>
          <w:rFonts w:ascii="Times New Roman" w:eastAsia="Times New Roman" w:hAnsi="Times New Roman" w:cs="Times New Roman"/>
          <w:bCs/>
          <w:sz w:val="24"/>
          <w:szCs w:val="24"/>
        </w:rPr>
        <w:t>behavior</w:t>
      </w:r>
      <w:proofErr w:type="spellEnd"/>
      <w:r w:rsidRPr="00770396">
        <w:rPr>
          <w:rFonts w:ascii="Times New Roman" w:eastAsia="Times New Roman" w:hAnsi="Times New Roman" w:cs="Times New Roman"/>
          <w:bCs/>
          <w:sz w:val="24"/>
          <w:szCs w:val="24"/>
        </w:rPr>
        <w:t xml:space="preserve">, as recommendations and opinions from family members, friends, colleagues, and social networks can affect attitudes toward new technologies. According to Venkatesh et al. (2003), social influence is a significant determinant of </w:t>
      </w:r>
      <w:proofErr w:type="spellStart"/>
      <w:r w:rsidRPr="00770396">
        <w:rPr>
          <w:rFonts w:ascii="Times New Roman" w:eastAsia="Times New Roman" w:hAnsi="Times New Roman" w:cs="Times New Roman"/>
          <w:bCs/>
          <w:sz w:val="24"/>
          <w:szCs w:val="24"/>
        </w:rPr>
        <w:t>behavioral</w:t>
      </w:r>
      <w:proofErr w:type="spellEnd"/>
      <w:r w:rsidRPr="00770396">
        <w:rPr>
          <w:rFonts w:ascii="Times New Roman" w:eastAsia="Times New Roman" w:hAnsi="Times New Roman" w:cs="Times New Roman"/>
          <w:bCs/>
          <w:sz w:val="24"/>
          <w:szCs w:val="24"/>
        </w:rPr>
        <w:t xml:space="preserve"> intention, particularly during the early stages of technology adoption. Similarly, Martins et al. (2014) and </w:t>
      </w:r>
      <w:proofErr w:type="spellStart"/>
      <w:r w:rsidRPr="00770396">
        <w:rPr>
          <w:rFonts w:ascii="Times New Roman" w:eastAsia="Times New Roman" w:hAnsi="Times New Roman" w:cs="Times New Roman"/>
          <w:bCs/>
          <w:sz w:val="24"/>
          <w:szCs w:val="24"/>
        </w:rPr>
        <w:t>Alalwan</w:t>
      </w:r>
      <w:proofErr w:type="spellEnd"/>
      <w:r w:rsidRPr="00770396">
        <w:rPr>
          <w:rFonts w:ascii="Times New Roman" w:eastAsia="Times New Roman" w:hAnsi="Times New Roman" w:cs="Times New Roman"/>
          <w:bCs/>
          <w:sz w:val="24"/>
          <w:szCs w:val="24"/>
        </w:rPr>
        <w:t xml:space="preserve"> et al. (2017) reported that social influence positively affects consumers’ intentions to adopt digital banking services. Despite the growing importance of payment banks in India's digital financial landscape, limited research has investigated how financial literacy, service quality, and social influence affect consumer adoption intention toward payment bank services in </w:t>
      </w:r>
      <w:proofErr w:type="spellStart"/>
      <w:r w:rsidRPr="00770396">
        <w:rPr>
          <w:rFonts w:ascii="Times New Roman" w:eastAsia="Times New Roman" w:hAnsi="Times New Roman" w:cs="Times New Roman"/>
          <w:bCs/>
          <w:sz w:val="24"/>
          <w:szCs w:val="24"/>
        </w:rPr>
        <w:t>Kolhan</w:t>
      </w:r>
      <w:proofErr w:type="spellEnd"/>
      <w:r w:rsidRPr="00770396">
        <w:rPr>
          <w:rFonts w:ascii="Times New Roman" w:eastAsia="Times New Roman" w:hAnsi="Times New Roman" w:cs="Times New Roman"/>
          <w:bCs/>
          <w:sz w:val="24"/>
          <w:szCs w:val="24"/>
        </w:rPr>
        <w:t xml:space="preserve"> Division, Jharkhand. Therefore, the present study aims to examine the impact of financial literacy, service quality, and social influence on consumers’ adoption intention toward payment bank services and contribute to the growing body of knowledge on digital financial service adoptio</w:t>
      </w:r>
      <w:r w:rsidR="000F2356" w:rsidRPr="00770396">
        <w:rPr>
          <w:rFonts w:ascii="Times New Roman" w:eastAsia="Times New Roman" w:hAnsi="Times New Roman" w:cs="Times New Roman"/>
          <w:bCs/>
          <w:sz w:val="24"/>
          <w:szCs w:val="24"/>
        </w:rPr>
        <w:t xml:space="preserve">n. </w:t>
      </w:r>
    </w:p>
    <w:p w14:paraId="57E3B352" w14:textId="77777777" w:rsidR="00C940D7" w:rsidRDefault="00C940D7" w:rsidP="000206C2">
      <w:pPr>
        <w:spacing w:line="360" w:lineRule="auto"/>
        <w:jc w:val="both"/>
        <w:rPr>
          <w:rFonts w:ascii="Times New Roman" w:eastAsia="Times New Roman" w:hAnsi="Times New Roman" w:cs="Times New Roman"/>
          <w:b/>
          <w:sz w:val="24"/>
          <w:szCs w:val="24"/>
        </w:rPr>
      </w:pPr>
    </w:p>
    <w:p w14:paraId="1F585619" w14:textId="4763BA02" w:rsidR="000206C2" w:rsidRPr="00770396" w:rsidRDefault="000206C2" w:rsidP="000206C2">
      <w:pPr>
        <w:spacing w:line="360" w:lineRule="auto"/>
        <w:jc w:val="both"/>
        <w:rPr>
          <w:rFonts w:ascii="Times New Roman" w:eastAsia="Times New Roman" w:hAnsi="Times New Roman" w:cs="Times New Roman"/>
          <w:b/>
          <w:sz w:val="24"/>
          <w:szCs w:val="24"/>
        </w:rPr>
      </w:pPr>
      <w:r w:rsidRPr="00770396">
        <w:rPr>
          <w:rFonts w:ascii="Times New Roman" w:eastAsia="Times New Roman" w:hAnsi="Times New Roman" w:cs="Times New Roman"/>
          <w:b/>
          <w:sz w:val="24"/>
          <w:szCs w:val="24"/>
        </w:rPr>
        <w:lastRenderedPageBreak/>
        <w:t xml:space="preserve">2. Review of Earlier Literature </w:t>
      </w:r>
    </w:p>
    <w:p w14:paraId="1A3E7F72" w14:textId="5939556C" w:rsidR="002F3307" w:rsidRPr="00770396" w:rsidRDefault="00DE3C3A" w:rsidP="002F3307">
      <w:pPr>
        <w:spacing w:line="360" w:lineRule="auto"/>
        <w:jc w:val="both"/>
        <w:rPr>
          <w:rFonts w:ascii="Times New Roman" w:hAnsi="Times New Roman" w:cs="Times New Roman"/>
          <w:bCs/>
          <w:sz w:val="24"/>
          <w:szCs w:val="24"/>
        </w:rPr>
      </w:pPr>
      <w:r w:rsidRPr="00770396">
        <w:rPr>
          <w:rFonts w:ascii="Times New Roman" w:hAnsi="Times New Roman" w:cs="Times New Roman"/>
          <w:bCs/>
          <w:sz w:val="24"/>
          <w:szCs w:val="24"/>
        </w:rPr>
        <w:t xml:space="preserve">Previous studies have extensively examined the factors influencing the adoption of digital banking and financial technologies. Safeena et al. (2011) found that perceived usefulness, ease of use, and trust significantly influence consumers' intention to adopt internet banking services. Riquelme and Rios (2010) reported that social norms and perceived usefulness play a crucial role in shaping mobile banking adoption </w:t>
      </w:r>
      <w:proofErr w:type="spellStart"/>
      <w:r w:rsidRPr="00770396">
        <w:rPr>
          <w:rFonts w:ascii="Times New Roman" w:hAnsi="Times New Roman" w:cs="Times New Roman"/>
          <w:bCs/>
          <w:sz w:val="24"/>
          <w:szCs w:val="24"/>
        </w:rPr>
        <w:t>behavior</w:t>
      </w:r>
      <w:proofErr w:type="spellEnd"/>
      <w:r w:rsidRPr="00770396">
        <w:rPr>
          <w:rFonts w:ascii="Times New Roman" w:hAnsi="Times New Roman" w:cs="Times New Roman"/>
          <w:bCs/>
          <w:sz w:val="24"/>
          <w:szCs w:val="24"/>
        </w:rPr>
        <w:t xml:space="preserve"> among consumers. Yu (2012) identified perceived </w:t>
      </w:r>
      <w:proofErr w:type="spellStart"/>
      <w:r w:rsidRPr="00770396">
        <w:rPr>
          <w:rFonts w:ascii="Times New Roman" w:hAnsi="Times New Roman" w:cs="Times New Roman"/>
          <w:bCs/>
          <w:sz w:val="24"/>
          <w:szCs w:val="24"/>
        </w:rPr>
        <w:t>behavioral</w:t>
      </w:r>
      <w:proofErr w:type="spellEnd"/>
      <w:r w:rsidRPr="00770396">
        <w:rPr>
          <w:rFonts w:ascii="Times New Roman" w:hAnsi="Times New Roman" w:cs="Times New Roman"/>
          <w:bCs/>
          <w:sz w:val="24"/>
          <w:szCs w:val="24"/>
        </w:rPr>
        <w:t xml:space="preserve"> control and social influence as important determinants of mobile banking acceptance. Baptista and Oliveira (2015) revealed that performance expectancy and facilitating conditions significantly affect mobile banking adoption, particularly among younger users. Shaikh and </w:t>
      </w:r>
      <w:proofErr w:type="spellStart"/>
      <w:r w:rsidRPr="00770396">
        <w:rPr>
          <w:rFonts w:ascii="Times New Roman" w:hAnsi="Times New Roman" w:cs="Times New Roman"/>
          <w:bCs/>
          <w:sz w:val="24"/>
          <w:szCs w:val="24"/>
        </w:rPr>
        <w:t>Karjaluoto</w:t>
      </w:r>
      <w:proofErr w:type="spellEnd"/>
      <w:r w:rsidRPr="00770396">
        <w:rPr>
          <w:rFonts w:ascii="Times New Roman" w:hAnsi="Times New Roman" w:cs="Times New Roman"/>
          <w:bCs/>
          <w:sz w:val="24"/>
          <w:szCs w:val="24"/>
        </w:rPr>
        <w:t xml:space="preserve"> (2015) highlighted that trust, security, and perceived benefits are among the most influential factors driving consumers toward mobile financial services. Malaquias and Hwang (2016) emphasized the importance of user experience and service quality in enhancing consumers’ intention to adopt mobile banking applications. </w:t>
      </w:r>
      <w:proofErr w:type="spellStart"/>
      <w:r w:rsidRPr="00770396">
        <w:rPr>
          <w:rFonts w:ascii="Times New Roman" w:hAnsi="Times New Roman" w:cs="Times New Roman"/>
          <w:bCs/>
          <w:sz w:val="24"/>
          <w:szCs w:val="24"/>
        </w:rPr>
        <w:t>Chaouali</w:t>
      </w:r>
      <w:proofErr w:type="spellEnd"/>
      <w:r w:rsidRPr="00770396">
        <w:rPr>
          <w:rFonts w:ascii="Times New Roman" w:hAnsi="Times New Roman" w:cs="Times New Roman"/>
          <w:bCs/>
          <w:sz w:val="24"/>
          <w:szCs w:val="24"/>
        </w:rPr>
        <w:t xml:space="preserve"> et al. (2017) found that trust and perceived value significantly impact consumers' </w:t>
      </w:r>
      <w:proofErr w:type="spellStart"/>
      <w:r w:rsidRPr="00770396">
        <w:rPr>
          <w:rFonts w:ascii="Times New Roman" w:hAnsi="Times New Roman" w:cs="Times New Roman"/>
          <w:bCs/>
          <w:sz w:val="24"/>
          <w:szCs w:val="24"/>
        </w:rPr>
        <w:t>behavioral</w:t>
      </w:r>
      <w:proofErr w:type="spellEnd"/>
      <w:r w:rsidRPr="00770396">
        <w:rPr>
          <w:rFonts w:ascii="Times New Roman" w:hAnsi="Times New Roman" w:cs="Times New Roman"/>
          <w:bCs/>
          <w:sz w:val="24"/>
          <w:szCs w:val="24"/>
        </w:rPr>
        <w:t xml:space="preserve"> intentions toward digital financial platforms. Singh and Srivastava (2018) demonstrated that service quality and perceived credibility positively influence internet banking adoption among Indian consumers. Al-Jabri and Sohail (2012) concluded that ease of use and perceived usefulness are key predictors of mobile banking acceptance, while risk perceptions negatively affect adoption </w:t>
      </w:r>
      <w:proofErr w:type="spellStart"/>
      <w:r w:rsidRPr="00770396">
        <w:rPr>
          <w:rFonts w:ascii="Times New Roman" w:hAnsi="Times New Roman" w:cs="Times New Roman"/>
          <w:bCs/>
          <w:sz w:val="24"/>
          <w:szCs w:val="24"/>
        </w:rPr>
        <w:t>behavior</w:t>
      </w:r>
      <w:proofErr w:type="spellEnd"/>
      <w:r w:rsidRPr="00770396">
        <w:rPr>
          <w:rFonts w:ascii="Times New Roman" w:hAnsi="Times New Roman" w:cs="Times New Roman"/>
          <w:bCs/>
          <w:sz w:val="24"/>
          <w:szCs w:val="24"/>
        </w:rPr>
        <w:t xml:space="preserve">. Pandey and Gupta (2026) examined payment bank service adoption in </w:t>
      </w:r>
      <w:proofErr w:type="spellStart"/>
      <w:r w:rsidRPr="00770396">
        <w:rPr>
          <w:rFonts w:ascii="Times New Roman" w:hAnsi="Times New Roman" w:cs="Times New Roman"/>
          <w:bCs/>
          <w:sz w:val="24"/>
          <w:szCs w:val="24"/>
        </w:rPr>
        <w:t>Kolhan</w:t>
      </w:r>
      <w:proofErr w:type="spellEnd"/>
      <w:r w:rsidRPr="00770396">
        <w:rPr>
          <w:rFonts w:ascii="Times New Roman" w:hAnsi="Times New Roman" w:cs="Times New Roman"/>
          <w:bCs/>
          <w:sz w:val="24"/>
          <w:szCs w:val="24"/>
        </w:rPr>
        <w:t xml:space="preserve"> Division, Jharkhand, and found that perceived usefulness, perceived ease of use, and trust significantly influence consumers’ adoption intention toward payment bank services, with perceived usefulness emerging as the strongest predictor. Their findings further emphasized that usefulness, trust, security, and ease of use are essential determinants of payment bank acceptance and financial inclusion in semi-urban and rural regions. Collectively, the existing literature suggests that technological, </w:t>
      </w:r>
      <w:proofErr w:type="spellStart"/>
      <w:r w:rsidRPr="00770396">
        <w:rPr>
          <w:rFonts w:ascii="Times New Roman" w:hAnsi="Times New Roman" w:cs="Times New Roman"/>
          <w:bCs/>
          <w:sz w:val="24"/>
          <w:szCs w:val="24"/>
        </w:rPr>
        <w:t>behavioral</w:t>
      </w:r>
      <w:proofErr w:type="spellEnd"/>
      <w:r w:rsidRPr="00770396">
        <w:rPr>
          <w:rFonts w:ascii="Times New Roman" w:hAnsi="Times New Roman" w:cs="Times New Roman"/>
          <w:bCs/>
          <w:sz w:val="24"/>
          <w:szCs w:val="24"/>
        </w:rPr>
        <w:t xml:space="preserve">, and trust-related factors play a significant role in shaping consumers’ intentions to adopt digital financial services, thereby providing a strong foundation for further investigation into payment bank adoption </w:t>
      </w:r>
      <w:proofErr w:type="spellStart"/>
      <w:r w:rsidRPr="00770396">
        <w:rPr>
          <w:rFonts w:ascii="Times New Roman" w:hAnsi="Times New Roman" w:cs="Times New Roman"/>
          <w:bCs/>
          <w:sz w:val="24"/>
          <w:szCs w:val="24"/>
        </w:rPr>
        <w:t>behavior</w:t>
      </w:r>
      <w:proofErr w:type="spellEnd"/>
      <w:r w:rsidRPr="00770396">
        <w:rPr>
          <w:rFonts w:ascii="Times New Roman" w:hAnsi="Times New Roman" w:cs="Times New Roman"/>
          <w:bCs/>
          <w:sz w:val="24"/>
          <w:szCs w:val="24"/>
        </w:rPr>
        <w:t>.</w:t>
      </w:r>
    </w:p>
    <w:p w14:paraId="3C666E72" w14:textId="02C40324" w:rsidR="000206C2" w:rsidRPr="00770396" w:rsidRDefault="000206C2" w:rsidP="000206C2">
      <w:pPr>
        <w:spacing w:line="360" w:lineRule="auto"/>
        <w:jc w:val="both"/>
        <w:rPr>
          <w:rFonts w:ascii="Times New Roman" w:eastAsia="Times New Roman" w:hAnsi="Times New Roman" w:cs="Times New Roman"/>
          <w:b/>
          <w:sz w:val="24"/>
          <w:szCs w:val="24"/>
        </w:rPr>
      </w:pPr>
      <w:r w:rsidRPr="00770396">
        <w:rPr>
          <w:rFonts w:ascii="Times New Roman" w:eastAsia="Times New Roman" w:hAnsi="Times New Roman" w:cs="Times New Roman"/>
          <w:b/>
          <w:sz w:val="24"/>
          <w:szCs w:val="24"/>
        </w:rPr>
        <w:t>3. Hypotheses Development</w:t>
      </w:r>
    </w:p>
    <w:p w14:paraId="5ED2E54E" w14:textId="77777777" w:rsidR="009F078C" w:rsidRPr="00770396" w:rsidRDefault="009F078C" w:rsidP="009F078C">
      <w:pPr>
        <w:spacing w:line="360" w:lineRule="auto"/>
        <w:jc w:val="both"/>
        <w:rPr>
          <w:rFonts w:ascii="Times New Roman" w:eastAsia="Times New Roman" w:hAnsi="Times New Roman" w:cs="Times New Roman"/>
          <w:b/>
          <w:bCs/>
          <w:sz w:val="24"/>
          <w:szCs w:val="24"/>
        </w:rPr>
      </w:pPr>
      <w:r w:rsidRPr="00770396">
        <w:rPr>
          <w:rFonts w:ascii="Times New Roman" w:eastAsia="Times New Roman" w:hAnsi="Times New Roman" w:cs="Times New Roman"/>
          <w:b/>
          <w:bCs/>
          <w:sz w:val="24"/>
          <w:szCs w:val="24"/>
        </w:rPr>
        <w:t>Financial Literacy and Adoption Intention</w:t>
      </w:r>
    </w:p>
    <w:p w14:paraId="5BB3D207"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 xml:space="preserve">Financial literacy refers to an individual's knowledge, understanding, and ability to effectively manage financial resources and make informed financial decisions. In the context of payment bank services, financial literacy enables consumers to understand the features, benefits, risks, </w:t>
      </w:r>
      <w:r w:rsidRPr="00770396">
        <w:rPr>
          <w:rFonts w:ascii="Times New Roman" w:eastAsia="Times New Roman" w:hAnsi="Times New Roman" w:cs="Times New Roman"/>
          <w:bCs/>
          <w:sz w:val="24"/>
          <w:szCs w:val="24"/>
        </w:rPr>
        <w:lastRenderedPageBreak/>
        <w:t>and operational aspects of digital financial products. Individuals with higher levels of financial literacy are generally more confident in using digital banking services and are better equipped to evaluate the advantages of innovative financial solutions. Previous studies have demonstrated that financial literacy positively influences the adoption of digital financial services by enhancing consumers’ awareness, confidence, and decision-making capabilities (Lusardi &amp; Mitchell, 2014; Morgan &amp; Trinh, 2019). Financially literate consumers are more likely to recognize the usefulness of payment bank services and exhibit stronger intentions to adopt such services.</w:t>
      </w:r>
    </w:p>
    <w:p w14:paraId="1C8D3794"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Hence, the following hypothesis is proposed:</w:t>
      </w:r>
    </w:p>
    <w:p w14:paraId="7099E4DB"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
          <w:bCs/>
          <w:sz w:val="24"/>
          <w:szCs w:val="24"/>
        </w:rPr>
        <w:t>H1: There is a significant positive effect of Financial Literacy on Adoption Intention toward payment bank services.</w:t>
      </w:r>
    </w:p>
    <w:p w14:paraId="5AED9952" w14:textId="77777777" w:rsidR="009F078C" w:rsidRPr="00770396" w:rsidRDefault="009F078C" w:rsidP="009F078C">
      <w:pPr>
        <w:spacing w:line="360" w:lineRule="auto"/>
        <w:jc w:val="both"/>
        <w:rPr>
          <w:rFonts w:ascii="Times New Roman" w:eastAsia="Times New Roman" w:hAnsi="Times New Roman" w:cs="Times New Roman"/>
          <w:b/>
          <w:bCs/>
          <w:sz w:val="24"/>
          <w:szCs w:val="24"/>
        </w:rPr>
      </w:pPr>
      <w:r w:rsidRPr="00770396">
        <w:rPr>
          <w:rFonts w:ascii="Times New Roman" w:eastAsia="Times New Roman" w:hAnsi="Times New Roman" w:cs="Times New Roman"/>
          <w:b/>
          <w:bCs/>
          <w:sz w:val="24"/>
          <w:szCs w:val="24"/>
        </w:rPr>
        <w:t>Service Quality and Adoption Intention</w:t>
      </w:r>
    </w:p>
    <w:p w14:paraId="681FD10D"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 xml:space="preserve">Service quality refers to consumers’ overall evaluation of the excellence and effectiveness of a service provider in delivering reliable, secure, responsive, and efficient services. In digital banking environments, service quality encompasses transaction accuracy, accessibility, security, ease of use, and customer support. High-quality services enhance customer satisfaction and trust, thereby encouraging consumers to adopt and continue using digital financial services. Existing studies have consistently found that superior service quality positively affects consumers’ </w:t>
      </w:r>
      <w:proofErr w:type="spellStart"/>
      <w:r w:rsidRPr="00770396">
        <w:rPr>
          <w:rFonts w:ascii="Times New Roman" w:eastAsia="Times New Roman" w:hAnsi="Times New Roman" w:cs="Times New Roman"/>
          <w:bCs/>
          <w:sz w:val="24"/>
          <w:szCs w:val="24"/>
        </w:rPr>
        <w:t>behavioral</w:t>
      </w:r>
      <w:proofErr w:type="spellEnd"/>
      <w:r w:rsidRPr="00770396">
        <w:rPr>
          <w:rFonts w:ascii="Times New Roman" w:eastAsia="Times New Roman" w:hAnsi="Times New Roman" w:cs="Times New Roman"/>
          <w:bCs/>
          <w:sz w:val="24"/>
          <w:szCs w:val="24"/>
        </w:rPr>
        <w:t xml:space="preserve"> intentions toward online and mobile banking services (Parasuraman et al., 2005; Sharma &amp; Sharma, 2019). When consumers perceive payment bank services as reliable and efficient, they are more likely to develop </w:t>
      </w:r>
      <w:proofErr w:type="spellStart"/>
      <w:r w:rsidRPr="00770396">
        <w:rPr>
          <w:rFonts w:ascii="Times New Roman" w:eastAsia="Times New Roman" w:hAnsi="Times New Roman" w:cs="Times New Roman"/>
          <w:bCs/>
          <w:sz w:val="24"/>
          <w:szCs w:val="24"/>
        </w:rPr>
        <w:t>favorable</w:t>
      </w:r>
      <w:proofErr w:type="spellEnd"/>
      <w:r w:rsidRPr="00770396">
        <w:rPr>
          <w:rFonts w:ascii="Times New Roman" w:eastAsia="Times New Roman" w:hAnsi="Times New Roman" w:cs="Times New Roman"/>
          <w:bCs/>
          <w:sz w:val="24"/>
          <w:szCs w:val="24"/>
        </w:rPr>
        <w:t xml:space="preserve"> attitudes and stronger intentions to adopt such services.</w:t>
      </w:r>
    </w:p>
    <w:p w14:paraId="27A3E000"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Hence, the following hypothesis is proposed:</w:t>
      </w:r>
    </w:p>
    <w:p w14:paraId="54D538A4"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
          <w:bCs/>
          <w:sz w:val="24"/>
          <w:szCs w:val="24"/>
        </w:rPr>
        <w:t>H2: There is a significant positive effect of Service Quality on Adoption Intention toward payment bank services.</w:t>
      </w:r>
    </w:p>
    <w:p w14:paraId="12EAC0D9" w14:textId="77777777" w:rsidR="009F078C" w:rsidRPr="00770396" w:rsidRDefault="009F078C" w:rsidP="009F078C">
      <w:pPr>
        <w:spacing w:line="360" w:lineRule="auto"/>
        <w:jc w:val="both"/>
        <w:rPr>
          <w:rFonts w:ascii="Times New Roman" w:eastAsia="Times New Roman" w:hAnsi="Times New Roman" w:cs="Times New Roman"/>
          <w:b/>
          <w:bCs/>
          <w:sz w:val="24"/>
          <w:szCs w:val="24"/>
        </w:rPr>
      </w:pPr>
      <w:r w:rsidRPr="00770396">
        <w:rPr>
          <w:rFonts w:ascii="Times New Roman" w:eastAsia="Times New Roman" w:hAnsi="Times New Roman" w:cs="Times New Roman"/>
          <w:b/>
          <w:bCs/>
          <w:sz w:val="24"/>
          <w:szCs w:val="24"/>
        </w:rPr>
        <w:t>Social Influence and Adoption Intention</w:t>
      </w:r>
    </w:p>
    <w:p w14:paraId="52F5136E"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 xml:space="preserve">Social influence refers to the extent to which individuals perceive </w:t>
      </w:r>
      <w:proofErr w:type="gramStart"/>
      <w:r w:rsidRPr="00770396">
        <w:rPr>
          <w:rFonts w:ascii="Times New Roman" w:eastAsia="Times New Roman" w:hAnsi="Times New Roman" w:cs="Times New Roman"/>
          <w:bCs/>
          <w:sz w:val="24"/>
          <w:szCs w:val="24"/>
        </w:rPr>
        <w:t>that important others</w:t>
      </w:r>
      <w:proofErr w:type="gramEnd"/>
      <w:r w:rsidRPr="00770396">
        <w:rPr>
          <w:rFonts w:ascii="Times New Roman" w:eastAsia="Times New Roman" w:hAnsi="Times New Roman" w:cs="Times New Roman"/>
          <w:bCs/>
          <w:sz w:val="24"/>
          <w:szCs w:val="24"/>
        </w:rPr>
        <w:t xml:space="preserve">, such as family members, friends, colleagues, and social groups, influence their decision to use a particular technology or service. In the context of payment bank services, recommendations, opinions, and experiences shared by social networks can significantly shape consumers’ </w:t>
      </w:r>
      <w:r w:rsidRPr="00770396">
        <w:rPr>
          <w:rFonts w:ascii="Times New Roman" w:eastAsia="Times New Roman" w:hAnsi="Times New Roman" w:cs="Times New Roman"/>
          <w:bCs/>
          <w:sz w:val="24"/>
          <w:szCs w:val="24"/>
        </w:rPr>
        <w:lastRenderedPageBreak/>
        <w:t xml:space="preserve">perceptions and adoption decisions. Social influence reduces uncertainty and increases confidence in adopting innovative financial technologies. Prior research has identified social influence as an important determinant of technology acceptance and </w:t>
      </w:r>
      <w:proofErr w:type="spellStart"/>
      <w:r w:rsidRPr="00770396">
        <w:rPr>
          <w:rFonts w:ascii="Times New Roman" w:eastAsia="Times New Roman" w:hAnsi="Times New Roman" w:cs="Times New Roman"/>
          <w:bCs/>
          <w:sz w:val="24"/>
          <w:szCs w:val="24"/>
        </w:rPr>
        <w:t>behavioral</w:t>
      </w:r>
      <w:proofErr w:type="spellEnd"/>
      <w:r w:rsidRPr="00770396">
        <w:rPr>
          <w:rFonts w:ascii="Times New Roman" w:eastAsia="Times New Roman" w:hAnsi="Times New Roman" w:cs="Times New Roman"/>
          <w:bCs/>
          <w:sz w:val="24"/>
          <w:szCs w:val="24"/>
        </w:rPr>
        <w:t xml:space="preserve"> intention, particularly in digital banking and mobile payment contexts (Venkatesh et al., 2012; </w:t>
      </w:r>
      <w:proofErr w:type="spellStart"/>
      <w:r w:rsidRPr="00770396">
        <w:rPr>
          <w:rFonts w:ascii="Times New Roman" w:eastAsia="Times New Roman" w:hAnsi="Times New Roman" w:cs="Times New Roman"/>
          <w:bCs/>
          <w:sz w:val="24"/>
          <w:szCs w:val="24"/>
        </w:rPr>
        <w:t>Alalwan</w:t>
      </w:r>
      <w:proofErr w:type="spellEnd"/>
      <w:r w:rsidRPr="00770396">
        <w:rPr>
          <w:rFonts w:ascii="Times New Roman" w:eastAsia="Times New Roman" w:hAnsi="Times New Roman" w:cs="Times New Roman"/>
          <w:bCs/>
          <w:sz w:val="24"/>
          <w:szCs w:val="24"/>
        </w:rPr>
        <w:t xml:space="preserve"> et al., 2017). Consumers are more likely to adopt payment bank services when they receive positive recommendations and encouragement from people they trust.</w:t>
      </w:r>
    </w:p>
    <w:p w14:paraId="1EF7518F" w14:textId="77777777" w:rsidR="009F078C" w:rsidRPr="00770396" w:rsidRDefault="009F078C" w:rsidP="009F078C">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Hence, the following hypothesis is proposed:</w:t>
      </w:r>
    </w:p>
    <w:p w14:paraId="6B624AB5" w14:textId="638AD9D0" w:rsidR="009F078C" w:rsidRPr="00770396" w:rsidRDefault="009F078C" w:rsidP="000206C2">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
          <w:bCs/>
          <w:sz w:val="24"/>
          <w:szCs w:val="24"/>
        </w:rPr>
        <w:t>H3: There is a significant positive effect of Social Influence on Adoption Intention toward payment bank services.</w:t>
      </w:r>
    </w:p>
    <w:p w14:paraId="2237A9F5" w14:textId="61B2A52A" w:rsidR="0039262B" w:rsidRPr="00770396" w:rsidRDefault="006846F9" w:rsidP="00D255B6">
      <w:pPr>
        <w:spacing w:line="360" w:lineRule="auto"/>
        <w:jc w:val="center"/>
        <w:rPr>
          <w:rFonts w:ascii="Times New Roman" w:eastAsia="Times New Roman" w:hAnsi="Times New Roman" w:cs="Times New Roman"/>
          <w:bCs/>
          <w:sz w:val="24"/>
          <w:szCs w:val="24"/>
        </w:rPr>
      </w:pPr>
      <w:r w:rsidRPr="00770396">
        <w:rPr>
          <w:rFonts w:ascii="Times New Roman" w:eastAsia="Times New Roman" w:hAnsi="Times New Roman" w:cs="Times New Roman"/>
          <w:bCs/>
          <w:noProof/>
          <w:sz w:val="24"/>
          <w:szCs w:val="24"/>
        </w:rPr>
        <w:drawing>
          <wp:inline distT="0" distB="0" distL="0" distR="0" wp14:anchorId="2D0CE1C9" wp14:editId="14F9B8D6">
            <wp:extent cx="4187687" cy="1410970"/>
            <wp:effectExtent l="0" t="0" r="3810" b="0"/>
            <wp:docPr id="1228408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3512" cy="1470211"/>
                    </a:xfrm>
                    <a:prstGeom prst="rect">
                      <a:avLst/>
                    </a:prstGeom>
                    <a:noFill/>
                    <a:ln>
                      <a:noFill/>
                    </a:ln>
                  </pic:spPr>
                </pic:pic>
              </a:graphicData>
            </a:graphic>
          </wp:inline>
        </w:drawing>
      </w:r>
    </w:p>
    <w:p w14:paraId="2E54C14E" w14:textId="77777777" w:rsidR="008B3A27" w:rsidRPr="00770396" w:rsidRDefault="000206C2" w:rsidP="008B3A27">
      <w:pPr>
        <w:spacing w:line="360" w:lineRule="auto"/>
        <w:jc w:val="center"/>
        <w:rPr>
          <w:rFonts w:ascii="Times New Roman" w:eastAsia="Times New Roman" w:hAnsi="Times New Roman" w:cs="Times New Roman"/>
          <w:bCs/>
          <w:sz w:val="24"/>
          <w:szCs w:val="24"/>
        </w:rPr>
      </w:pPr>
      <w:r w:rsidRPr="00770396">
        <w:rPr>
          <w:rFonts w:ascii="Times New Roman" w:hAnsi="Times New Roman" w:cs="Times New Roman"/>
          <w:b/>
          <w:bCs/>
          <w:sz w:val="24"/>
          <w:szCs w:val="24"/>
        </w:rPr>
        <w:t>Figure 1: Conceptual Framework</w:t>
      </w:r>
    </w:p>
    <w:p w14:paraId="41248917" w14:textId="60CA69D2" w:rsidR="00F13826" w:rsidRPr="00770396" w:rsidRDefault="000206C2" w:rsidP="008B3A27">
      <w:pPr>
        <w:spacing w:line="360" w:lineRule="auto"/>
        <w:rPr>
          <w:rFonts w:ascii="Times New Roman" w:eastAsia="Times New Roman" w:hAnsi="Times New Roman" w:cs="Times New Roman"/>
          <w:bCs/>
          <w:sz w:val="24"/>
          <w:szCs w:val="24"/>
        </w:rPr>
      </w:pPr>
      <w:r w:rsidRPr="00770396">
        <w:rPr>
          <w:rFonts w:ascii="Times New Roman" w:eastAsia="Times New Roman" w:hAnsi="Times New Roman" w:cs="Times New Roman"/>
          <w:b/>
          <w:sz w:val="24"/>
          <w:szCs w:val="24"/>
        </w:rPr>
        <w:t>4. Statement of the Problem</w:t>
      </w:r>
    </w:p>
    <w:p w14:paraId="3E5F1490" w14:textId="7B659A34" w:rsidR="00F25BC1" w:rsidRPr="00770396" w:rsidRDefault="00917B97" w:rsidP="001173B1">
      <w:pPr>
        <w:spacing w:line="360" w:lineRule="auto"/>
        <w:jc w:val="both"/>
        <w:rPr>
          <w:rFonts w:ascii="Times New Roman" w:eastAsia="Times New Roman" w:hAnsi="Times New Roman" w:cs="Times New Roman"/>
          <w:bCs/>
          <w:sz w:val="24"/>
          <w:szCs w:val="24"/>
        </w:rPr>
      </w:pPr>
      <w:r w:rsidRPr="00770396">
        <w:rPr>
          <w:rFonts w:ascii="Times New Roman" w:eastAsia="Times New Roman" w:hAnsi="Times New Roman" w:cs="Times New Roman"/>
          <w:bCs/>
          <w:sz w:val="24"/>
          <w:szCs w:val="24"/>
        </w:rPr>
        <w:t xml:space="preserve">The rapid growth of digital financial services has transformed the banking landscape in India, with payment banks emerging as an important mechanism for promoting financial inclusion and providing accessible banking services to diverse population segments. Despite the increasing availability of payment bank services and government initiatives encouraging digital transactions, the adoption of these services remains uneven across different regions, particularly in semi-urban and rural areas. </w:t>
      </w:r>
      <w:proofErr w:type="spellStart"/>
      <w:r w:rsidRPr="00770396">
        <w:rPr>
          <w:rFonts w:ascii="Times New Roman" w:eastAsia="Times New Roman" w:hAnsi="Times New Roman" w:cs="Times New Roman"/>
          <w:bCs/>
          <w:sz w:val="24"/>
          <w:szCs w:val="24"/>
        </w:rPr>
        <w:t>Kolhan</w:t>
      </w:r>
      <w:proofErr w:type="spellEnd"/>
      <w:r w:rsidRPr="00770396">
        <w:rPr>
          <w:rFonts w:ascii="Times New Roman" w:eastAsia="Times New Roman" w:hAnsi="Times New Roman" w:cs="Times New Roman"/>
          <w:bCs/>
          <w:sz w:val="24"/>
          <w:szCs w:val="24"/>
        </w:rPr>
        <w:t xml:space="preserve"> Division of Jharkhand represents a region where digital financial infrastructure is expanding, yet the extent of consumer adoption of payment bank services remains relatively limited. Several factors may influence consumers' willingness to adopt these services, including their level of financial literacy, perceptions of service quality, and the influence of social networks. Consumers with inadequate financial knowledge may hesitate to use payment bank services, while poor service experiences can negatively affect adoption intentions. Similarly, social influence from family, friends, and peers may play a significant role in shaping consumers' attitudes toward digital financial services. Although previous studies have examined various determinants of digital banking adoption, limited empirical research has investigated the effects of financial literacy, service quality, and </w:t>
      </w:r>
      <w:r w:rsidRPr="00770396">
        <w:rPr>
          <w:rFonts w:ascii="Times New Roman" w:eastAsia="Times New Roman" w:hAnsi="Times New Roman" w:cs="Times New Roman"/>
          <w:bCs/>
          <w:sz w:val="24"/>
          <w:szCs w:val="24"/>
        </w:rPr>
        <w:lastRenderedPageBreak/>
        <w:t xml:space="preserve">social influence on consumer adoption intention toward payment bank services in the context of </w:t>
      </w:r>
      <w:proofErr w:type="spellStart"/>
      <w:r w:rsidRPr="00770396">
        <w:rPr>
          <w:rFonts w:ascii="Times New Roman" w:eastAsia="Times New Roman" w:hAnsi="Times New Roman" w:cs="Times New Roman"/>
          <w:bCs/>
          <w:sz w:val="24"/>
          <w:szCs w:val="24"/>
        </w:rPr>
        <w:t>Kolhan</w:t>
      </w:r>
      <w:proofErr w:type="spellEnd"/>
      <w:r w:rsidRPr="00770396">
        <w:rPr>
          <w:rFonts w:ascii="Times New Roman" w:eastAsia="Times New Roman" w:hAnsi="Times New Roman" w:cs="Times New Roman"/>
          <w:bCs/>
          <w:sz w:val="24"/>
          <w:szCs w:val="24"/>
        </w:rPr>
        <w:t xml:space="preserve"> Division, Jharkhand. Therefore, there is a need to examine how these factors influence consumers’ adoption intention toward payment bank services to provide insights for payment banks, policymakers, and financial institutions seeking to enhance digital financial inclusion and service adoption in the region.</w:t>
      </w:r>
    </w:p>
    <w:p w14:paraId="32460223" w14:textId="116503F4" w:rsidR="008D5D4D" w:rsidRPr="00770396" w:rsidRDefault="003008F5" w:rsidP="008D5D4D">
      <w:pPr>
        <w:spacing w:line="360" w:lineRule="auto"/>
        <w:rPr>
          <w:rFonts w:ascii="Times New Roman" w:hAnsi="Times New Roman" w:cs="Times New Roman"/>
          <w:b/>
          <w:bCs/>
          <w:sz w:val="24"/>
          <w:szCs w:val="24"/>
        </w:rPr>
      </w:pPr>
      <w:r w:rsidRPr="00770396">
        <w:rPr>
          <w:rFonts w:ascii="Times New Roman" w:hAnsi="Times New Roman" w:cs="Times New Roman"/>
          <w:b/>
          <w:bCs/>
          <w:sz w:val="24"/>
          <w:szCs w:val="24"/>
        </w:rPr>
        <w:t xml:space="preserve">5. </w:t>
      </w:r>
      <w:r w:rsidR="008D5D4D" w:rsidRPr="00770396">
        <w:rPr>
          <w:rFonts w:ascii="Times New Roman" w:hAnsi="Times New Roman" w:cs="Times New Roman"/>
          <w:b/>
          <w:bCs/>
          <w:sz w:val="24"/>
          <w:szCs w:val="24"/>
        </w:rPr>
        <w:t xml:space="preserve">Objectives of the Study </w:t>
      </w:r>
    </w:p>
    <w:p w14:paraId="6B79BA9B" w14:textId="77777777" w:rsidR="00C43F2B" w:rsidRPr="00770396" w:rsidRDefault="00C43F2B" w:rsidP="00B64E17">
      <w:pPr>
        <w:pStyle w:val="ListParagraph"/>
        <w:numPr>
          <w:ilvl w:val="0"/>
          <w:numId w:val="13"/>
        </w:numPr>
        <w:spacing w:line="360" w:lineRule="auto"/>
        <w:rPr>
          <w:rFonts w:ascii="Times New Roman" w:hAnsi="Times New Roman" w:cs="Times New Roman"/>
          <w:sz w:val="24"/>
          <w:szCs w:val="24"/>
        </w:rPr>
      </w:pPr>
      <w:r w:rsidRPr="00770396">
        <w:rPr>
          <w:rFonts w:ascii="Times New Roman" w:hAnsi="Times New Roman" w:cs="Times New Roman"/>
          <w:sz w:val="24"/>
          <w:szCs w:val="24"/>
        </w:rPr>
        <w:t xml:space="preserve">To examine the impact of financial literacy on consumers’ adoption intention toward payment bank services in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w:t>
      </w:r>
    </w:p>
    <w:p w14:paraId="37F8B4FC" w14:textId="77777777" w:rsidR="00C43F2B" w:rsidRPr="00770396" w:rsidRDefault="00C43F2B" w:rsidP="00B64E17">
      <w:pPr>
        <w:pStyle w:val="ListParagraph"/>
        <w:numPr>
          <w:ilvl w:val="0"/>
          <w:numId w:val="13"/>
        </w:numPr>
        <w:spacing w:line="360" w:lineRule="auto"/>
        <w:rPr>
          <w:rFonts w:ascii="Times New Roman" w:hAnsi="Times New Roman" w:cs="Times New Roman"/>
          <w:sz w:val="24"/>
          <w:szCs w:val="24"/>
        </w:rPr>
      </w:pPr>
      <w:r w:rsidRPr="00770396">
        <w:rPr>
          <w:rFonts w:ascii="Times New Roman" w:hAnsi="Times New Roman" w:cs="Times New Roman"/>
          <w:sz w:val="24"/>
          <w:szCs w:val="24"/>
        </w:rPr>
        <w:t xml:space="preserve">To </w:t>
      </w:r>
      <w:proofErr w:type="spellStart"/>
      <w:r w:rsidRPr="00770396">
        <w:rPr>
          <w:rFonts w:ascii="Times New Roman" w:hAnsi="Times New Roman" w:cs="Times New Roman"/>
          <w:sz w:val="24"/>
          <w:szCs w:val="24"/>
        </w:rPr>
        <w:t>analyze</w:t>
      </w:r>
      <w:proofErr w:type="spellEnd"/>
      <w:r w:rsidRPr="00770396">
        <w:rPr>
          <w:rFonts w:ascii="Times New Roman" w:hAnsi="Times New Roman" w:cs="Times New Roman"/>
          <w:sz w:val="24"/>
          <w:szCs w:val="24"/>
        </w:rPr>
        <w:t xml:space="preserve"> the effect of service quality on consumers’ adoption intention toward payment bank services in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w:t>
      </w:r>
    </w:p>
    <w:p w14:paraId="64749C61" w14:textId="77777777" w:rsidR="00C43F2B" w:rsidRPr="00770396" w:rsidRDefault="00C43F2B" w:rsidP="00B64E17">
      <w:pPr>
        <w:pStyle w:val="ListParagraph"/>
        <w:numPr>
          <w:ilvl w:val="0"/>
          <w:numId w:val="13"/>
        </w:numPr>
        <w:spacing w:line="360" w:lineRule="auto"/>
        <w:rPr>
          <w:rFonts w:ascii="Times New Roman" w:hAnsi="Times New Roman" w:cs="Times New Roman"/>
          <w:sz w:val="24"/>
          <w:szCs w:val="24"/>
        </w:rPr>
      </w:pPr>
      <w:r w:rsidRPr="00770396">
        <w:rPr>
          <w:rFonts w:ascii="Times New Roman" w:hAnsi="Times New Roman" w:cs="Times New Roman"/>
          <w:sz w:val="24"/>
          <w:szCs w:val="24"/>
        </w:rPr>
        <w:t xml:space="preserve">To investigate the influence of social influence on consumers’ adoption intention toward payment bank services in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w:t>
      </w:r>
    </w:p>
    <w:p w14:paraId="6E42F495" w14:textId="598BD4EE" w:rsidR="000206C2" w:rsidRPr="00770396" w:rsidRDefault="002D2FE9" w:rsidP="00C43F2B">
      <w:pPr>
        <w:rPr>
          <w:rFonts w:ascii="Times New Roman" w:hAnsi="Times New Roman" w:cs="Times New Roman"/>
          <w:b/>
          <w:bCs/>
          <w:sz w:val="24"/>
          <w:szCs w:val="24"/>
        </w:rPr>
      </w:pPr>
      <w:r w:rsidRPr="00770396">
        <w:rPr>
          <w:rFonts w:ascii="Times New Roman" w:hAnsi="Times New Roman" w:cs="Times New Roman"/>
          <w:b/>
          <w:bCs/>
          <w:sz w:val="24"/>
          <w:szCs w:val="24"/>
        </w:rPr>
        <w:t>6</w:t>
      </w:r>
      <w:r w:rsidR="000206C2" w:rsidRPr="00770396">
        <w:rPr>
          <w:rFonts w:ascii="Times New Roman" w:hAnsi="Times New Roman" w:cs="Times New Roman"/>
          <w:b/>
          <w:bCs/>
          <w:sz w:val="24"/>
          <w:szCs w:val="24"/>
        </w:rPr>
        <w:t xml:space="preserve">. Research Methodology </w:t>
      </w:r>
    </w:p>
    <w:p w14:paraId="07DFFB3E" w14:textId="0D7034A8" w:rsidR="00A25826" w:rsidRPr="00770396" w:rsidRDefault="00A25826" w:rsidP="0097657A">
      <w:pPr>
        <w:jc w:val="center"/>
        <w:rPr>
          <w:rFonts w:ascii="Times New Roman" w:hAnsi="Times New Roman" w:cs="Times New Roman"/>
          <w:b/>
          <w:bCs/>
          <w:sz w:val="24"/>
          <w:szCs w:val="24"/>
        </w:rPr>
      </w:pPr>
      <w:r w:rsidRPr="00770396">
        <w:rPr>
          <w:rFonts w:ascii="Times New Roman" w:hAnsi="Times New Roman" w:cs="Times New Roman"/>
          <w:b/>
          <w:bCs/>
          <w:sz w:val="24"/>
          <w:szCs w:val="24"/>
        </w:rPr>
        <w:t>Table 1: Research Methodology</w:t>
      </w:r>
    </w:p>
    <w:tbl>
      <w:tblPr>
        <w:tblStyle w:val="GridTable4-Accent4"/>
        <w:tblW w:w="0" w:type="auto"/>
        <w:tblLook w:val="04A0" w:firstRow="1" w:lastRow="0" w:firstColumn="1" w:lastColumn="0" w:noHBand="0" w:noVBand="1"/>
      </w:tblPr>
      <w:tblGrid>
        <w:gridCol w:w="2130"/>
        <w:gridCol w:w="6886"/>
      </w:tblGrid>
      <w:tr w:rsidR="00323187" w:rsidRPr="00770396" w14:paraId="0AE2DE6B" w14:textId="77777777" w:rsidTr="00542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C5C08" w14:textId="77777777" w:rsidR="00323187" w:rsidRPr="00770396" w:rsidRDefault="00323187" w:rsidP="00323187">
            <w:pPr>
              <w:jc w:val="center"/>
              <w:rPr>
                <w:rFonts w:ascii="Times New Roman" w:hAnsi="Times New Roman" w:cs="Times New Roman"/>
                <w:sz w:val="24"/>
                <w:szCs w:val="24"/>
              </w:rPr>
            </w:pPr>
            <w:r w:rsidRPr="00770396">
              <w:rPr>
                <w:rFonts w:ascii="Times New Roman" w:hAnsi="Times New Roman" w:cs="Times New Roman"/>
                <w:sz w:val="24"/>
                <w:szCs w:val="24"/>
              </w:rPr>
              <w:t>Particulars</w:t>
            </w:r>
          </w:p>
        </w:tc>
        <w:tc>
          <w:tcPr>
            <w:tcW w:w="0" w:type="auto"/>
            <w:hideMark/>
          </w:tcPr>
          <w:p w14:paraId="7953474A" w14:textId="77777777" w:rsidR="00323187" w:rsidRPr="00770396" w:rsidRDefault="00323187" w:rsidP="003231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Description</w:t>
            </w:r>
          </w:p>
        </w:tc>
      </w:tr>
      <w:tr w:rsidR="00323187" w:rsidRPr="00770396" w14:paraId="68504FE0"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B5E27"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Research Approach</w:t>
            </w:r>
          </w:p>
        </w:tc>
        <w:tc>
          <w:tcPr>
            <w:tcW w:w="0" w:type="auto"/>
            <w:hideMark/>
          </w:tcPr>
          <w:p w14:paraId="63D7C93F"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Quantitative Research</w:t>
            </w:r>
          </w:p>
        </w:tc>
      </w:tr>
      <w:tr w:rsidR="00323187" w:rsidRPr="00770396" w14:paraId="12EEBAB7"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6C1523FB"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Research Design</w:t>
            </w:r>
          </w:p>
        </w:tc>
        <w:tc>
          <w:tcPr>
            <w:tcW w:w="0" w:type="auto"/>
            <w:hideMark/>
          </w:tcPr>
          <w:p w14:paraId="02124BB3"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Descriptive and Explanatory Research Design</w:t>
            </w:r>
          </w:p>
        </w:tc>
      </w:tr>
      <w:tr w:rsidR="00323187" w:rsidRPr="00770396" w14:paraId="3CFC3A38"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DCA28"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Study Area</w:t>
            </w:r>
          </w:p>
        </w:tc>
        <w:tc>
          <w:tcPr>
            <w:tcW w:w="0" w:type="auto"/>
            <w:hideMark/>
          </w:tcPr>
          <w:p w14:paraId="53C162E8"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w:t>
            </w:r>
          </w:p>
        </w:tc>
      </w:tr>
      <w:tr w:rsidR="00323187" w:rsidRPr="00770396" w14:paraId="24D851E3"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33524B50"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Target Population</w:t>
            </w:r>
          </w:p>
        </w:tc>
        <w:tc>
          <w:tcPr>
            <w:tcW w:w="0" w:type="auto"/>
            <w:hideMark/>
          </w:tcPr>
          <w:p w14:paraId="77201526"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 xml:space="preserve">Consumers residing in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 who use, have experience with, or possess awareness of payment bank services and </w:t>
            </w:r>
            <w:proofErr w:type="gramStart"/>
            <w:r w:rsidRPr="00770396">
              <w:rPr>
                <w:rFonts w:ascii="Times New Roman" w:hAnsi="Times New Roman" w:cs="Times New Roman"/>
                <w:sz w:val="24"/>
                <w:szCs w:val="24"/>
              </w:rPr>
              <w:t>are capable of evaluating</w:t>
            </w:r>
            <w:proofErr w:type="gramEnd"/>
            <w:r w:rsidRPr="00770396">
              <w:rPr>
                <w:rFonts w:ascii="Times New Roman" w:hAnsi="Times New Roman" w:cs="Times New Roman"/>
                <w:sz w:val="24"/>
                <w:szCs w:val="24"/>
              </w:rPr>
              <w:t xml:space="preserve"> their intention to adopt such services.</w:t>
            </w:r>
          </w:p>
        </w:tc>
      </w:tr>
      <w:tr w:rsidR="00323187" w:rsidRPr="00770396" w14:paraId="606DB799"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A2757"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Sampling Unit</w:t>
            </w:r>
          </w:p>
        </w:tc>
        <w:tc>
          <w:tcPr>
            <w:tcW w:w="0" w:type="auto"/>
            <w:hideMark/>
          </w:tcPr>
          <w:p w14:paraId="7B53FF15"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 xml:space="preserve">Individual consumers residing in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 who use or are aware of payment bank services.</w:t>
            </w:r>
          </w:p>
        </w:tc>
      </w:tr>
      <w:tr w:rsidR="00323187" w:rsidRPr="00770396" w14:paraId="787DEB03"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6C2942DE"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Respondents</w:t>
            </w:r>
          </w:p>
        </w:tc>
        <w:tc>
          <w:tcPr>
            <w:tcW w:w="0" w:type="auto"/>
            <w:hideMark/>
          </w:tcPr>
          <w:p w14:paraId="05F73A22"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 xml:space="preserve">Consumers and users of payment bank services in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w:t>
            </w:r>
          </w:p>
        </w:tc>
      </w:tr>
      <w:tr w:rsidR="00323187" w:rsidRPr="00770396" w14:paraId="1029142C"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DC8EE"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Sampling Technique</w:t>
            </w:r>
          </w:p>
        </w:tc>
        <w:tc>
          <w:tcPr>
            <w:tcW w:w="0" w:type="auto"/>
            <w:hideMark/>
          </w:tcPr>
          <w:p w14:paraId="5302093C"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Convenience Sampling</w:t>
            </w:r>
          </w:p>
        </w:tc>
      </w:tr>
      <w:tr w:rsidR="00323187" w:rsidRPr="00770396" w14:paraId="0F03BBE0"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12F79981"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Sample Size</w:t>
            </w:r>
          </w:p>
        </w:tc>
        <w:tc>
          <w:tcPr>
            <w:tcW w:w="0" w:type="auto"/>
            <w:hideMark/>
          </w:tcPr>
          <w:p w14:paraId="3FC8A236"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200 Respondents</w:t>
            </w:r>
          </w:p>
        </w:tc>
      </w:tr>
      <w:tr w:rsidR="00323187" w:rsidRPr="00770396" w14:paraId="17A172B6"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3414"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Data Collection Method</w:t>
            </w:r>
          </w:p>
        </w:tc>
        <w:tc>
          <w:tcPr>
            <w:tcW w:w="0" w:type="auto"/>
            <w:hideMark/>
          </w:tcPr>
          <w:p w14:paraId="6919A37A"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Structured Questionnaire Survey</w:t>
            </w:r>
          </w:p>
        </w:tc>
      </w:tr>
      <w:tr w:rsidR="00323187" w:rsidRPr="00770396" w14:paraId="276DD68C"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27BA7F78"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Source of Data</w:t>
            </w:r>
          </w:p>
        </w:tc>
        <w:tc>
          <w:tcPr>
            <w:tcW w:w="0" w:type="auto"/>
            <w:hideMark/>
          </w:tcPr>
          <w:p w14:paraId="38B8DFC8"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Primary Data and Secondary Data</w:t>
            </w:r>
          </w:p>
        </w:tc>
      </w:tr>
      <w:tr w:rsidR="00323187" w:rsidRPr="00770396" w14:paraId="03F701EC"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C7900"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lastRenderedPageBreak/>
              <w:t>Primary Data Source</w:t>
            </w:r>
          </w:p>
        </w:tc>
        <w:tc>
          <w:tcPr>
            <w:tcW w:w="0" w:type="auto"/>
            <w:hideMark/>
          </w:tcPr>
          <w:p w14:paraId="2E4ABB0F"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Responses collected from consumers through a structured questionnaire.</w:t>
            </w:r>
          </w:p>
        </w:tc>
      </w:tr>
      <w:tr w:rsidR="00323187" w:rsidRPr="00770396" w14:paraId="1D2193D0"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36117B8C"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Secondary Data Source</w:t>
            </w:r>
          </w:p>
        </w:tc>
        <w:tc>
          <w:tcPr>
            <w:tcW w:w="0" w:type="auto"/>
            <w:hideMark/>
          </w:tcPr>
          <w:p w14:paraId="57BD8845"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Research articles, books, journals, RBI reports, government publications, and relevant online sources.</w:t>
            </w:r>
          </w:p>
        </w:tc>
      </w:tr>
      <w:tr w:rsidR="00323187" w:rsidRPr="00770396" w14:paraId="2E3D2A58"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056C0"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Measurement Scale</w:t>
            </w:r>
          </w:p>
        </w:tc>
        <w:tc>
          <w:tcPr>
            <w:tcW w:w="0" w:type="auto"/>
            <w:hideMark/>
          </w:tcPr>
          <w:p w14:paraId="557CC277"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Five-Point Likert Scale (1 = Strongly Disagree to 5 = Strongly Agree)</w:t>
            </w:r>
          </w:p>
        </w:tc>
      </w:tr>
      <w:tr w:rsidR="00323187" w:rsidRPr="00770396" w14:paraId="6F5C6C8C"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7B8E4702"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Independent Variables</w:t>
            </w:r>
          </w:p>
        </w:tc>
        <w:tc>
          <w:tcPr>
            <w:tcW w:w="0" w:type="auto"/>
            <w:hideMark/>
          </w:tcPr>
          <w:p w14:paraId="1C471E27"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Financial Literacy, Service Quality, and Social Influence</w:t>
            </w:r>
          </w:p>
        </w:tc>
      </w:tr>
      <w:tr w:rsidR="00323187" w:rsidRPr="00770396" w14:paraId="4283CDC7"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D2168"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Dependent Variable</w:t>
            </w:r>
          </w:p>
        </w:tc>
        <w:tc>
          <w:tcPr>
            <w:tcW w:w="0" w:type="auto"/>
            <w:hideMark/>
          </w:tcPr>
          <w:p w14:paraId="3DB77803"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Consumer Adoption Intention toward Payment Bank Services</w:t>
            </w:r>
          </w:p>
        </w:tc>
      </w:tr>
      <w:tr w:rsidR="00323187" w:rsidRPr="00770396" w14:paraId="0AA7D599"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557A1818"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Data Analysis Software</w:t>
            </w:r>
          </w:p>
        </w:tc>
        <w:tc>
          <w:tcPr>
            <w:tcW w:w="0" w:type="auto"/>
            <w:hideMark/>
          </w:tcPr>
          <w:p w14:paraId="47FB3187"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 xml:space="preserve">SPSS 17.0 and </w:t>
            </w:r>
            <w:proofErr w:type="spellStart"/>
            <w:r w:rsidRPr="00770396">
              <w:rPr>
                <w:rFonts w:ascii="Times New Roman" w:hAnsi="Times New Roman" w:cs="Times New Roman"/>
                <w:sz w:val="24"/>
                <w:szCs w:val="24"/>
              </w:rPr>
              <w:t>SmartPLS</w:t>
            </w:r>
            <w:proofErr w:type="spellEnd"/>
            <w:r w:rsidRPr="00770396">
              <w:rPr>
                <w:rFonts w:ascii="Times New Roman" w:hAnsi="Times New Roman" w:cs="Times New Roman"/>
                <w:sz w:val="24"/>
                <w:szCs w:val="24"/>
              </w:rPr>
              <w:t xml:space="preserve"> 4</w:t>
            </w:r>
          </w:p>
        </w:tc>
      </w:tr>
      <w:tr w:rsidR="00323187" w:rsidRPr="00770396" w14:paraId="5C4FD3C2" w14:textId="77777777" w:rsidTr="0054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A01FB"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Statistical Techniques</w:t>
            </w:r>
          </w:p>
        </w:tc>
        <w:tc>
          <w:tcPr>
            <w:tcW w:w="0" w:type="auto"/>
            <w:hideMark/>
          </w:tcPr>
          <w:p w14:paraId="71EAEB3F" w14:textId="77777777" w:rsidR="00323187" w:rsidRPr="00770396" w:rsidRDefault="00323187" w:rsidP="00542B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 xml:space="preserve">Descriptive Statistics, Reliability Analysis, Validity Analysis, Measurement Model Assessment, and Partial Least Squares Structural Equation </w:t>
            </w:r>
            <w:proofErr w:type="spellStart"/>
            <w:r w:rsidRPr="00770396">
              <w:rPr>
                <w:rFonts w:ascii="Times New Roman" w:hAnsi="Times New Roman" w:cs="Times New Roman"/>
                <w:sz w:val="24"/>
                <w:szCs w:val="24"/>
              </w:rPr>
              <w:t>Modeling</w:t>
            </w:r>
            <w:proofErr w:type="spellEnd"/>
            <w:r w:rsidRPr="00770396">
              <w:rPr>
                <w:rFonts w:ascii="Times New Roman" w:hAnsi="Times New Roman" w:cs="Times New Roman"/>
                <w:sz w:val="24"/>
                <w:szCs w:val="24"/>
              </w:rPr>
              <w:t xml:space="preserve"> (PLS-SEM)</w:t>
            </w:r>
          </w:p>
        </w:tc>
      </w:tr>
      <w:tr w:rsidR="00323187" w:rsidRPr="00770396" w14:paraId="36DE9E23" w14:textId="77777777" w:rsidTr="00542B72">
        <w:tc>
          <w:tcPr>
            <w:cnfStyle w:val="001000000000" w:firstRow="0" w:lastRow="0" w:firstColumn="1" w:lastColumn="0" w:oddVBand="0" w:evenVBand="0" w:oddHBand="0" w:evenHBand="0" w:firstRowFirstColumn="0" w:firstRowLastColumn="0" w:lastRowFirstColumn="0" w:lastRowLastColumn="0"/>
            <w:tcW w:w="0" w:type="auto"/>
            <w:hideMark/>
          </w:tcPr>
          <w:p w14:paraId="7D7BADB0" w14:textId="77777777" w:rsidR="00323187" w:rsidRPr="00770396" w:rsidRDefault="00323187" w:rsidP="00542B72">
            <w:pPr>
              <w:rPr>
                <w:rFonts w:ascii="Times New Roman" w:hAnsi="Times New Roman" w:cs="Times New Roman"/>
                <w:sz w:val="24"/>
                <w:szCs w:val="24"/>
              </w:rPr>
            </w:pPr>
            <w:r w:rsidRPr="00770396">
              <w:rPr>
                <w:rFonts w:ascii="Times New Roman" w:hAnsi="Times New Roman" w:cs="Times New Roman"/>
                <w:sz w:val="24"/>
                <w:szCs w:val="24"/>
              </w:rPr>
              <w:t>Hypothesis Testing Technique</w:t>
            </w:r>
          </w:p>
        </w:tc>
        <w:tc>
          <w:tcPr>
            <w:tcW w:w="0" w:type="auto"/>
            <w:hideMark/>
          </w:tcPr>
          <w:p w14:paraId="0CC32E94" w14:textId="77777777" w:rsidR="00323187" w:rsidRPr="00770396" w:rsidRDefault="00323187" w:rsidP="00542B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0396">
              <w:rPr>
                <w:rFonts w:ascii="Times New Roman" w:hAnsi="Times New Roman" w:cs="Times New Roman"/>
                <w:sz w:val="24"/>
                <w:szCs w:val="24"/>
              </w:rPr>
              <w:t>Bootstrapping in PLS-SEM</w:t>
            </w:r>
          </w:p>
        </w:tc>
      </w:tr>
    </w:tbl>
    <w:p w14:paraId="7611A9C2" w14:textId="77777777" w:rsidR="002F00A7" w:rsidRDefault="002F00A7" w:rsidP="00B20931">
      <w:pPr>
        <w:rPr>
          <w:rFonts w:ascii="Times New Roman" w:hAnsi="Times New Roman" w:cs="Times New Roman"/>
          <w:sz w:val="24"/>
          <w:szCs w:val="24"/>
        </w:rPr>
      </w:pPr>
    </w:p>
    <w:p w14:paraId="4D805E92" w14:textId="2103A3D6" w:rsidR="000206C2" w:rsidRPr="00770396" w:rsidRDefault="00C513A8" w:rsidP="00FC495C">
      <w:pPr>
        <w:spacing w:after="0" w:line="360" w:lineRule="auto"/>
        <w:jc w:val="both"/>
        <w:rPr>
          <w:rFonts w:ascii="Times New Roman" w:hAnsi="Times New Roman" w:cs="Times New Roman"/>
          <w:sz w:val="24"/>
          <w:szCs w:val="24"/>
        </w:rPr>
      </w:pPr>
      <w:r w:rsidRPr="00770396">
        <w:rPr>
          <w:rFonts w:ascii="Times New Roman" w:hAnsi="Times New Roman" w:cs="Times New Roman"/>
          <w:b/>
          <w:bCs/>
          <w:sz w:val="24"/>
          <w:szCs w:val="24"/>
        </w:rPr>
        <w:t>7</w:t>
      </w:r>
      <w:r w:rsidR="000206C2" w:rsidRPr="00770396">
        <w:rPr>
          <w:rFonts w:ascii="Times New Roman" w:hAnsi="Times New Roman" w:cs="Times New Roman"/>
          <w:b/>
          <w:bCs/>
          <w:sz w:val="24"/>
          <w:szCs w:val="24"/>
        </w:rPr>
        <w:t xml:space="preserve">. Analysis of the Study </w:t>
      </w:r>
    </w:p>
    <w:p w14:paraId="0A28033C" w14:textId="253355A2" w:rsidR="000206C2" w:rsidRPr="00770396" w:rsidRDefault="000206C2" w:rsidP="000206C2">
      <w:pPr>
        <w:jc w:val="center"/>
        <w:rPr>
          <w:rFonts w:ascii="Times New Roman" w:hAnsi="Times New Roman" w:cs="Times New Roman"/>
          <w:b/>
          <w:bCs/>
          <w:sz w:val="24"/>
          <w:szCs w:val="24"/>
        </w:rPr>
      </w:pPr>
      <w:r w:rsidRPr="00770396">
        <w:rPr>
          <w:rFonts w:ascii="Times New Roman" w:hAnsi="Times New Roman" w:cs="Times New Roman"/>
          <w:b/>
          <w:bCs/>
          <w:sz w:val="24"/>
          <w:szCs w:val="24"/>
        </w:rPr>
        <w:t xml:space="preserve">Table </w:t>
      </w:r>
      <w:r w:rsidR="007359BB" w:rsidRPr="00770396">
        <w:rPr>
          <w:rFonts w:ascii="Times New Roman" w:hAnsi="Times New Roman" w:cs="Times New Roman"/>
          <w:b/>
          <w:bCs/>
          <w:sz w:val="24"/>
          <w:szCs w:val="24"/>
        </w:rPr>
        <w:t>2</w:t>
      </w:r>
      <w:r w:rsidRPr="00770396">
        <w:rPr>
          <w:rFonts w:ascii="Times New Roman" w:hAnsi="Times New Roman" w:cs="Times New Roman"/>
          <w:b/>
          <w:bCs/>
          <w:sz w:val="24"/>
          <w:szCs w:val="24"/>
        </w:rPr>
        <w:t>: Outer Loading – Matrix</w:t>
      </w:r>
    </w:p>
    <w:tbl>
      <w:tblPr>
        <w:tblW w:w="5000" w:type="pct"/>
        <w:tblCellMar>
          <w:top w:w="15" w:type="dxa"/>
          <w:left w:w="15" w:type="dxa"/>
          <w:bottom w:w="15" w:type="dxa"/>
          <w:right w:w="15" w:type="dxa"/>
        </w:tblCellMar>
        <w:tblLook w:val="04A0" w:firstRow="1" w:lastRow="0" w:firstColumn="1" w:lastColumn="0" w:noHBand="0" w:noVBand="1"/>
      </w:tblPr>
      <w:tblGrid>
        <w:gridCol w:w="704"/>
        <w:gridCol w:w="2284"/>
        <w:gridCol w:w="2200"/>
        <w:gridCol w:w="1883"/>
        <w:gridCol w:w="1939"/>
      </w:tblGrid>
      <w:tr w:rsidR="00C25BA4" w:rsidRPr="00770396" w14:paraId="7157414E"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4D9429" w14:textId="77777777" w:rsidR="00C25BA4" w:rsidRPr="00770396" w:rsidRDefault="00C25BA4" w:rsidP="004F3574">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39D64A" w14:textId="56A91274"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r w:rsidRPr="00C90E1E">
              <w:rPr>
                <w:rFonts w:ascii="Times New Roman" w:eastAsia="Times New Roman" w:hAnsi="Times New Roman" w:cs="Times New Roman"/>
                <w:b/>
                <w:bCs/>
                <w:sz w:val="24"/>
                <w:szCs w:val="24"/>
                <w:lang w:eastAsia="en-IN"/>
              </w:rPr>
              <w:t>Adoption Intention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DEB636" w14:textId="2F35BFFD"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r w:rsidRPr="00C90E1E">
              <w:rPr>
                <w:rFonts w:ascii="Times New Roman" w:eastAsia="Times New Roman" w:hAnsi="Times New Roman" w:cs="Times New Roman"/>
                <w:b/>
                <w:bCs/>
                <w:sz w:val="24"/>
                <w:szCs w:val="24"/>
                <w:lang w:eastAsia="en-IN"/>
              </w:rPr>
              <w:t>Financial Literacy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0133F2" w14:textId="3C130A34"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r w:rsidRPr="00C90E1E">
              <w:rPr>
                <w:rFonts w:ascii="Times New Roman" w:eastAsia="Times New Roman" w:hAnsi="Times New Roman" w:cs="Times New Roman"/>
                <w:b/>
                <w:bCs/>
                <w:sz w:val="24"/>
                <w:szCs w:val="24"/>
                <w:lang w:eastAsia="en-IN"/>
              </w:rPr>
              <w:t>Service Quality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32AE58" w14:textId="417B36B2"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r w:rsidRPr="00C90E1E">
              <w:rPr>
                <w:rFonts w:ascii="Times New Roman" w:eastAsia="Times New Roman" w:hAnsi="Times New Roman" w:cs="Times New Roman"/>
                <w:b/>
                <w:bCs/>
                <w:sz w:val="24"/>
                <w:szCs w:val="24"/>
                <w:lang w:eastAsia="en-IN"/>
              </w:rPr>
              <w:t>Social Influence</w:t>
            </w:r>
          </w:p>
        </w:tc>
      </w:tr>
      <w:tr w:rsidR="00C25BA4" w:rsidRPr="00770396" w14:paraId="6853F193"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713749"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AI1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62BF5E" w14:textId="2EEE2148"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0.995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543671"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B956DB"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45F1A3"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r>
      <w:tr w:rsidR="00C25BA4" w:rsidRPr="00770396" w14:paraId="01EA1D61"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677BE0"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AI2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083AA8" w14:textId="007FA01A"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0.995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BF29A7"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ADD7B8"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395E79"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r>
      <w:tr w:rsidR="00C25BA4" w:rsidRPr="00770396" w14:paraId="4CE0DA2D"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75C86A"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FL1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964A7F"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B4DF9F" w14:textId="3B2DA9DC"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0.785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F3CFC6"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769FE4"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r>
      <w:tr w:rsidR="00C25BA4" w:rsidRPr="00770396" w14:paraId="10DDDE19"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1EBCD9"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FL2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3FBC21"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211C06" w14:textId="61DA4166"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0.799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3CEA73"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FAF035"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r>
      <w:tr w:rsidR="00C25BA4" w:rsidRPr="00770396" w14:paraId="309D91D1"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9E2B71"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FL3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F55709"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18A49A" w14:textId="0D0BE19D"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0.920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6F617D"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FBE56E"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r>
      <w:tr w:rsidR="00C25BA4" w:rsidRPr="00770396" w14:paraId="7A2CD8C9"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EFC523"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FL4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6A8AC2"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5A1368" w14:textId="1BDB0BAB"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0.915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A7824D"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3EB830"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r>
      <w:tr w:rsidR="00C25BA4" w:rsidRPr="00770396" w14:paraId="78AA834A"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857E93"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SI1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558215"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6C0758"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6278C8"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C08B3D" w14:textId="3D5B6B79"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0.801</w:t>
            </w:r>
          </w:p>
        </w:tc>
      </w:tr>
      <w:tr w:rsidR="00C25BA4" w:rsidRPr="00770396" w14:paraId="5B1CD8D4"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7BAFCF"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SI2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1470D6"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39BD5F"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22DA79"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2442A1" w14:textId="7736DE51"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0.770</w:t>
            </w:r>
          </w:p>
        </w:tc>
      </w:tr>
      <w:tr w:rsidR="00C25BA4" w:rsidRPr="00770396" w14:paraId="0BA84C2C"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B71BA6"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SI3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AC98F5"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74A6F9"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369299"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A2BFE3" w14:textId="0EFBAFB5"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0.940</w:t>
            </w:r>
          </w:p>
        </w:tc>
      </w:tr>
      <w:tr w:rsidR="00C25BA4" w:rsidRPr="00770396" w14:paraId="50979F42"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7EEC41"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SI4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3A6343"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FEDF86"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D1FDE2"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0597A6" w14:textId="689063FB"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0.936</w:t>
            </w:r>
          </w:p>
        </w:tc>
      </w:tr>
      <w:tr w:rsidR="00C25BA4" w:rsidRPr="00770396" w14:paraId="24C58387"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C58CCD"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SQ1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B78EE8"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F22C7B"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A12821" w14:textId="06587AFD"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0.757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8D2B5E"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r>
      <w:tr w:rsidR="00C25BA4" w:rsidRPr="00770396" w14:paraId="1D55B753"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53855E"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SQ2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30513F"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A9BF85"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251ECB" w14:textId="0B72F77B"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0.688</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1B248B"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r>
      <w:tr w:rsidR="00C25BA4" w:rsidRPr="00770396" w14:paraId="0F752C59"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66A1EC"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SQ3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85ED279"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BD29A0"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F2A568" w14:textId="548CECAB"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0.844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C06F28"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r>
      <w:tr w:rsidR="00C25BA4" w:rsidRPr="00770396" w14:paraId="5DEA3688"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330B81" w14:textId="77777777" w:rsidR="00C25BA4" w:rsidRPr="00770396" w:rsidRDefault="00C25BA4" w:rsidP="004F3574">
            <w:pPr>
              <w:spacing w:after="0" w:line="240" w:lineRule="auto"/>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 xml:space="preserve">SQ4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4D1E0B" w14:textId="77777777" w:rsidR="00C25BA4" w:rsidRPr="00C90E1E" w:rsidRDefault="00C25BA4" w:rsidP="004F3574">
            <w:pPr>
              <w:spacing w:after="0" w:line="240" w:lineRule="auto"/>
              <w:jc w:val="center"/>
              <w:rPr>
                <w:rFonts w:ascii="Times New Roman" w:eastAsia="Times New Roman" w:hAnsi="Times New Roman" w:cs="Times New Roman"/>
                <w:b/>
                <w:bCs/>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865F18" w14:textId="77777777" w:rsidR="00C25BA4" w:rsidRPr="00C90E1E" w:rsidRDefault="00C25BA4" w:rsidP="004F3574">
            <w:pPr>
              <w:spacing w:after="0" w:line="240" w:lineRule="auto"/>
              <w:jc w:val="center"/>
              <w:rPr>
                <w:rFonts w:ascii="Times New Roman" w:eastAsia="Times New Roman" w:hAnsi="Times New Roman"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FAE00E" w14:textId="3D6044CC"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r w:rsidRPr="00C90E1E">
              <w:rPr>
                <w:rFonts w:ascii="Times New Roman" w:eastAsia="Times New Roman" w:hAnsi="Times New Roman" w:cs="Times New Roman"/>
                <w:sz w:val="24"/>
                <w:szCs w:val="24"/>
                <w:lang w:eastAsia="en-IN"/>
              </w:rPr>
              <w:t>0.804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7245BC" w14:textId="77777777" w:rsidR="00C25BA4" w:rsidRPr="00C90E1E" w:rsidRDefault="00C25BA4" w:rsidP="004F3574">
            <w:pPr>
              <w:spacing w:after="0" w:line="240" w:lineRule="auto"/>
              <w:jc w:val="center"/>
              <w:rPr>
                <w:rFonts w:ascii="Times New Roman" w:eastAsia="Times New Roman" w:hAnsi="Times New Roman" w:cs="Times New Roman"/>
                <w:sz w:val="24"/>
                <w:szCs w:val="24"/>
                <w:lang w:eastAsia="en-IN"/>
              </w:rPr>
            </w:pPr>
          </w:p>
        </w:tc>
      </w:tr>
    </w:tbl>
    <w:p w14:paraId="13B9B30C"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Note:</w:t>
      </w:r>
      <w:r w:rsidRPr="00D47410">
        <w:rPr>
          <w:rFonts w:ascii="Times New Roman" w:hAnsi="Times New Roman" w:cs="Times New Roman"/>
          <w:sz w:val="24"/>
          <w:szCs w:val="24"/>
        </w:rPr>
        <w:t xml:space="preserve"> AI: Adoption Intention; FL: Financial Literacy; SQ: Service Quality; SI: Social Influence. AI1–AI2 represent Adoption Intention indicators; FL1–FL4 represent Financial Literacy indicators; SQ1–SQ4 represent Service Quality indicators; SI1–SI4 represent Social Influence indicators.</w:t>
      </w:r>
    </w:p>
    <w:p w14:paraId="13E47EA1" w14:textId="77777777" w:rsidR="0051468F" w:rsidRDefault="0051468F" w:rsidP="00294401">
      <w:pPr>
        <w:spacing w:line="240" w:lineRule="auto"/>
        <w:jc w:val="both"/>
        <w:rPr>
          <w:rFonts w:ascii="Times New Roman" w:hAnsi="Times New Roman" w:cs="Times New Roman"/>
          <w:b/>
          <w:bCs/>
          <w:sz w:val="24"/>
          <w:szCs w:val="24"/>
        </w:rPr>
      </w:pPr>
    </w:p>
    <w:p w14:paraId="56167F57" w14:textId="16B409B1"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lastRenderedPageBreak/>
        <w:t>Item Statements:</w:t>
      </w:r>
    </w:p>
    <w:p w14:paraId="38201E59"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AI1:</w:t>
      </w:r>
      <w:r w:rsidRPr="00D47410">
        <w:rPr>
          <w:rFonts w:ascii="Times New Roman" w:hAnsi="Times New Roman" w:cs="Times New Roman"/>
          <w:sz w:val="24"/>
          <w:szCs w:val="24"/>
        </w:rPr>
        <w:t xml:space="preserve"> I am willing to use payment bank services regularly.</w:t>
      </w:r>
    </w:p>
    <w:p w14:paraId="43390BD5"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AI2:</w:t>
      </w:r>
      <w:r w:rsidRPr="00D47410">
        <w:rPr>
          <w:rFonts w:ascii="Times New Roman" w:hAnsi="Times New Roman" w:cs="Times New Roman"/>
          <w:sz w:val="24"/>
          <w:szCs w:val="24"/>
        </w:rPr>
        <w:t xml:space="preserve"> I intend to increase my use of payment bank services </w:t>
      </w:r>
      <w:proofErr w:type="gramStart"/>
      <w:r w:rsidRPr="00D47410">
        <w:rPr>
          <w:rFonts w:ascii="Times New Roman" w:hAnsi="Times New Roman" w:cs="Times New Roman"/>
          <w:sz w:val="24"/>
          <w:szCs w:val="24"/>
        </w:rPr>
        <w:t>in the near future</w:t>
      </w:r>
      <w:proofErr w:type="gramEnd"/>
      <w:r w:rsidRPr="00D47410">
        <w:rPr>
          <w:rFonts w:ascii="Times New Roman" w:hAnsi="Times New Roman" w:cs="Times New Roman"/>
          <w:sz w:val="24"/>
          <w:szCs w:val="24"/>
        </w:rPr>
        <w:t>.</w:t>
      </w:r>
    </w:p>
    <w:p w14:paraId="7E87B980"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FL1:</w:t>
      </w:r>
      <w:r w:rsidRPr="00D47410">
        <w:rPr>
          <w:rFonts w:ascii="Times New Roman" w:hAnsi="Times New Roman" w:cs="Times New Roman"/>
          <w:sz w:val="24"/>
          <w:szCs w:val="24"/>
        </w:rPr>
        <w:t xml:space="preserve"> I understand basic financial concepts such as savings, interest, and credit.</w:t>
      </w:r>
    </w:p>
    <w:p w14:paraId="37E45C83"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FL2:</w:t>
      </w:r>
      <w:r w:rsidRPr="00D47410">
        <w:rPr>
          <w:rFonts w:ascii="Times New Roman" w:hAnsi="Times New Roman" w:cs="Times New Roman"/>
          <w:sz w:val="24"/>
          <w:szCs w:val="24"/>
        </w:rPr>
        <w:t xml:space="preserve"> I am aware of digital financial products such as payment banks.</w:t>
      </w:r>
    </w:p>
    <w:p w14:paraId="4EBDCE8D"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FL3:</w:t>
      </w:r>
      <w:r w:rsidRPr="00D47410">
        <w:rPr>
          <w:rFonts w:ascii="Times New Roman" w:hAnsi="Times New Roman" w:cs="Times New Roman"/>
          <w:sz w:val="24"/>
          <w:szCs w:val="24"/>
        </w:rPr>
        <w:t xml:space="preserve"> I can manage my money and budget effectively.</w:t>
      </w:r>
    </w:p>
    <w:p w14:paraId="62A9E391"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FL4:</w:t>
      </w:r>
      <w:r w:rsidRPr="00D47410">
        <w:rPr>
          <w:rFonts w:ascii="Times New Roman" w:hAnsi="Times New Roman" w:cs="Times New Roman"/>
          <w:sz w:val="24"/>
          <w:szCs w:val="24"/>
        </w:rPr>
        <w:t xml:space="preserve"> I am confident in using digital payment platforms securely.</w:t>
      </w:r>
    </w:p>
    <w:p w14:paraId="2A8C248B"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SQ1:</w:t>
      </w:r>
      <w:r w:rsidRPr="00D47410">
        <w:rPr>
          <w:rFonts w:ascii="Times New Roman" w:hAnsi="Times New Roman" w:cs="Times New Roman"/>
          <w:sz w:val="24"/>
          <w:szCs w:val="24"/>
        </w:rPr>
        <w:t xml:space="preserve"> Payment banks provide reliable services.</w:t>
      </w:r>
    </w:p>
    <w:p w14:paraId="5D62AD6E"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SQ2:</w:t>
      </w:r>
      <w:r w:rsidRPr="00D47410">
        <w:rPr>
          <w:rFonts w:ascii="Times New Roman" w:hAnsi="Times New Roman" w:cs="Times New Roman"/>
          <w:sz w:val="24"/>
          <w:szCs w:val="24"/>
        </w:rPr>
        <w:t xml:space="preserve"> Payment bank transactions are completed accurately.</w:t>
      </w:r>
    </w:p>
    <w:p w14:paraId="2DA432FF"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SQ3:</w:t>
      </w:r>
      <w:r w:rsidRPr="00D47410">
        <w:rPr>
          <w:rFonts w:ascii="Times New Roman" w:hAnsi="Times New Roman" w:cs="Times New Roman"/>
          <w:sz w:val="24"/>
          <w:szCs w:val="24"/>
        </w:rPr>
        <w:t xml:space="preserve"> Customer support provided by payment banks is responsive and helpful.</w:t>
      </w:r>
    </w:p>
    <w:p w14:paraId="0F4538E8"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SQ4:</w:t>
      </w:r>
      <w:r w:rsidRPr="00D47410">
        <w:rPr>
          <w:rFonts w:ascii="Times New Roman" w:hAnsi="Times New Roman" w:cs="Times New Roman"/>
          <w:sz w:val="24"/>
          <w:szCs w:val="24"/>
        </w:rPr>
        <w:t xml:space="preserve"> Payment bank services are convenient and accessible.</w:t>
      </w:r>
    </w:p>
    <w:p w14:paraId="6DA4CEB5"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SI1:</w:t>
      </w:r>
      <w:r w:rsidRPr="00D47410">
        <w:rPr>
          <w:rFonts w:ascii="Times New Roman" w:hAnsi="Times New Roman" w:cs="Times New Roman"/>
          <w:sz w:val="24"/>
          <w:szCs w:val="24"/>
        </w:rPr>
        <w:t xml:space="preserve"> My family encourages me to use payment bank services.</w:t>
      </w:r>
    </w:p>
    <w:p w14:paraId="669AD8F5"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SI2:</w:t>
      </w:r>
      <w:r w:rsidRPr="00D47410">
        <w:rPr>
          <w:rFonts w:ascii="Times New Roman" w:hAnsi="Times New Roman" w:cs="Times New Roman"/>
          <w:sz w:val="24"/>
          <w:szCs w:val="24"/>
        </w:rPr>
        <w:t xml:space="preserve"> My friends or community members recommend payment bank services.</w:t>
      </w:r>
    </w:p>
    <w:p w14:paraId="5D821BB9"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SI3:</w:t>
      </w:r>
      <w:r w:rsidRPr="00D47410">
        <w:rPr>
          <w:rFonts w:ascii="Times New Roman" w:hAnsi="Times New Roman" w:cs="Times New Roman"/>
          <w:sz w:val="24"/>
          <w:szCs w:val="24"/>
        </w:rPr>
        <w:t xml:space="preserve"> People who are important to me believe that I should use payment bank services.</w:t>
      </w:r>
    </w:p>
    <w:p w14:paraId="636E778C" w14:textId="77777777" w:rsidR="00D47410" w:rsidRPr="00D47410" w:rsidRDefault="00D47410" w:rsidP="00294401">
      <w:pPr>
        <w:spacing w:line="240" w:lineRule="auto"/>
        <w:jc w:val="both"/>
        <w:rPr>
          <w:rFonts w:ascii="Times New Roman" w:hAnsi="Times New Roman" w:cs="Times New Roman"/>
          <w:sz w:val="24"/>
          <w:szCs w:val="24"/>
        </w:rPr>
      </w:pPr>
      <w:r w:rsidRPr="00D47410">
        <w:rPr>
          <w:rFonts w:ascii="Times New Roman" w:hAnsi="Times New Roman" w:cs="Times New Roman"/>
          <w:b/>
          <w:bCs/>
          <w:sz w:val="24"/>
          <w:szCs w:val="24"/>
        </w:rPr>
        <w:t>SI4:</w:t>
      </w:r>
      <w:r w:rsidRPr="00D47410">
        <w:rPr>
          <w:rFonts w:ascii="Times New Roman" w:hAnsi="Times New Roman" w:cs="Times New Roman"/>
          <w:sz w:val="24"/>
          <w:szCs w:val="24"/>
        </w:rPr>
        <w:t xml:space="preserve"> Positive opinions from others influence my decision to use payment bank services.</w:t>
      </w:r>
    </w:p>
    <w:p w14:paraId="73D86E3A" w14:textId="77777777" w:rsidR="00CE739A" w:rsidRDefault="00CE739A" w:rsidP="00BC0E01">
      <w:pPr>
        <w:spacing w:line="360" w:lineRule="auto"/>
        <w:jc w:val="both"/>
        <w:rPr>
          <w:rFonts w:ascii="Times New Roman" w:hAnsi="Times New Roman" w:cs="Times New Roman"/>
          <w:b/>
          <w:bCs/>
          <w:sz w:val="24"/>
          <w:szCs w:val="24"/>
        </w:rPr>
      </w:pPr>
    </w:p>
    <w:p w14:paraId="11F89159" w14:textId="3658483F" w:rsidR="00262D0D" w:rsidRPr="00BC0E01" w:rsidRDefault="00875DF4" w:rsidP="00BC0E01">
      <w:pPr>
        <w:spacing w:line="360" w:lineRule="auto"/>
        <w:jc w:val="both"/>
        <w:rPr>
          <w:rFonts w:ascii="Times New Roman" w:hAnsi="Times New Roman" w:cs="Times New Roman"/>
          <w:sz w:val="24"/>
          <w:szCs w:val="24"/>
        </w:rPr>
      </w:pPr>
      <w:r w:rsidRPr="00875DF4">
        <w:rPr>
          <w:rFonts w:ascii="Times New Roman" w:hAnsi="Times New Roman" w:cs="Times New Roman"/>
          <w:sz w:val="24"/>
          <w:szCs w:val="24"/>
        </w:rPr>
        <w:t>Table 2 presents the outer loading values for the measurement model constructs, namely Financial Literacy, Service Quality, Social Influence, and Adoption Intention. The results indicate that all indicators exhibit satisfactory loadings on their respective constructs, demonstrating adequate indicator reliability and convergent validity. The Adoption Intention construct shows exceptionally high loadings for AI1 (0.995) and AI2 (0.995), indicating that both items strongly represent the construct. The Financial Literacy indicators range from 0.785 to 0.920, reflecting a strong relationship between the indicators and the latent construct. Likewise, the Social Influence indicators exhibit loadings ranging from 0.770 to 0.940, confirming their suitability for measuring the construct. The Service Quality indicators record loadings between 0.688 and 0.844, indicating acceptable reliability and validity. According to Hair et al. (2022), indicator loadings of 0.50 and above are considered acceptable for retaining indicators, particularly when the overall construct reliability and validity are satisfactory. Since all indicator loadings exceed the minimum threshold value of 0.50, all items were retained in the model. Therefore, the measurement model demonstrates adequate indicator reliability and provides support for proceeding with further validity and structural model assessments.</w:t>
      </w:r>
    </w:p>
    <w:p w14:paraId="06907288" w14:textId="77777777" w:rsidR="000008FB" w:rsidRDefault="000008FB" w:rsidP="007C7538">
      <w:pPr>
        <w:spacing w:line="360" w:lineRule="auto"/>
        <w:jc w:val="center"/>
        <w:rPr>
          <w:rFonts w:ascii="Times New Roman" w:hAnsi="Times New Roman" w:cs="Times New Roman"/>
          <w:b/>
          <w:bCs/>
          <w:sz w:val="24"/>
          <w:szCs w:val="24"/>
        </w:rPr>
      </w:pPr>
    </w:p>
    <w:p w14:paraId="1B5D2A77" w14:textId="346E4D18" w:rsidR="000206C2" w:rsidRPr="00770396" w:rsidRDefault="000206C2" w:rsidP="007C7538">
      <w:pPr>
        <w:spacing w:line="360" w:lineRule="auto"/>
        <w:jc w:val="center"/>
        <w:rPr>
          <w:rFonts w:ascii="Times New Roman" w:hAnsi="Times New Roman" w:cs="Times New Roman"/>
          <w:b/>
          <w:bCs/>
          <w:sz w:val="24"/>
          <w:szCs w:val="24"/>
        </w:rPr>
      </w:pPr>
      <w:r w:rsidRPr="00770396">
        <w:rPr>
          <w:rFonts w:ascii="Times New Roman" w:hAnsi="Times New Roman" w:cs="Times New Roman"/>
          <w:b/>
          <w:bCs/>
          <w:sz w:val="24"/>
          <w:szCs w:val="24"/>
        </w:rPr>
        <w:lastRenderedPageBreak/>
        <w:t xml:space="preserve">Table </w:t>
      </w:r>
      <w:r w:rsidR="007359BB" w:rsidRPr="00770396">
        <w:rPr>
          <w:rFonts w:ascii="Times New Roman" w:hAnsi="Times New Roman" w:cs="Times New Roman"/>
          <w:b/>
          <w:bCs/>
          <w:sz w:val="24"/>
          <w:szCs w:val="24"/>
        </w:rPr>
        <w:t>3</w:t>
      </w:r>
      <w:r w:rsidRPr="00770396">
        <w:rPr>
          <w:rFonts w:ascii="Times New Roman" w:hAnsi="Times New Roman" w:cs="Times New Roman"/>
          <w:b/>
          <w:bCs/>
          <w:sz w:val="24"/>
          <w:szCs w:val="24"/>
        </w:rPr>
        <w:t>: Construct Reliability and Validity</w:t>
      </w:r>
    </w:p>
    <w:tbl>
      <w:tblPr>
        <w:tblW w:w="5000" w:type="pct"/>
        <w:tblCellMar>
          <w:top w:w="15" w:type="dxa"/>
          <w:left w:w="15" w:type="dxa"/>
          <w:bottom w:w="15" w:type="dxa"/>
          <w:right w:w="15" w:type="dxa"/>
        </w:tblCellMar>
        <w:tblLook w:val="04A0" w:firstRow="1" w:lastRow="0" w:firstColumn="1" w:lastColumn="0" w:noHBand="0" w:noVBand="1"/>
      </w:tblPr>
      <w:tblGrid>
        <w:gridCol w:w="1519"/>
        <w:gridCol w:w="1627"/>
        <w:gridCol w:w="1927"/>
        <w:gridCol w:w="1923"/>
        <w:gridCol w:w="2014"/>
      </w:tblGrid>
      <w:tr w:rsidR="00BD67F6" w:rsidRPr="00770396" w14:paraId="596A8D3C"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D6EA26" w14:textId="77777777" w:rsidR="00BD67F6" w:rsidRPr="00645CD4" w:rsidRDefault="00BD67F6" w:rsidP="00954287">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E17D0D" w14:textId="6B48F12C" w:rsidR="00BD67F6" w:rsidRPr="00645CD4" w:rsidRDefault="00BD67F6" w:rsidP="00927EB0">
            <w:pPr>
              <w:spacing w:after="0" w:line="240" w:lineRule="auto"/>
              <w:jc w:val="center"/>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Cronbach's alpha</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871142" w14:textId="685922C9" w:rsidR="00BD67F6" w:rsidRPr="00645CD4" w:rsidRDefault="00BD67F6" w:rsidP="00927EB0">
            <w:pPr>
              <w:spacing w:after="0" w:line="240" w:lineRule="auto"/>
              <w:jc w:val="center"/>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Composite reliability (</w:t>
            </w:r>
            <w:proofErr w:type="spellStart"/>
            <w:r w:rsidRPr="00645CD4">
              <w:rPr>
                <w:rFonts w:ascii="Times New Roman" w:eastAsia="Times New Roman" w:hAnsi="Times New Roman" w:cs="Times New Roman"/>
                <w:b/>
                <w:bCs/>
                <w:sz w:val="24"/>
                <w:szCs w:val="24"/>
                <w:lang w:eastAsia="en-IN"/>
              </w:rPr>
              <w:t>rho_a</w:t>
            </w:r>
            <w:proofErr w:type="spellEnd"/>
            <w:r w:rsidRPr="00645CD4">
              <w:rPr>
                <w:rFonts w:ascii="Times New Roman" w:eastAsia="Times New Roman" w:hAnsi="Times New Roman" w:cs="Times New Roman"/>
                <w:b/>
                <w:bCs/>
                <w:sz w:val="24"/>
                <w:szCs w:val="24"/>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ADF5A5" w14:textId="3E987853" w:rsidR="00BD67F6" w:rsidRPr="00645CD4" w:rsidRDefault="00BD67F6" w:rsidP="00927EB0">
            <w:pPr>
              <w:spacing w:after="0" w:line="240" w:lineRule="auto"/>
              <w:jc w:val="center"/>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Composite reliability (</w:t>
            </w:r>
            <w:proofErr w:type="spellStart"/>
            <w:r w:rsidRPr="00645CD4">
              <w:rPr>
                <w:rFonts w:ascii="Times New Roman" w:eastAsia="Times New Roman" w:hAnsi="Times New Roman" w:cs="Times New Roman"/>
                <w:b/>
                <w:bCs/>
                <w:sz w:val="24"/>
                <w:szCs w:val="24"/>
                <w:lang w:eastAsia="en-IN"/>
              </w:rPr>
              <w:t>rho_c</w:t>
            </w:r>
            <w:proofErr w:type="spellEnd"/>
            <w:r w:rsidRPr="00645CD4">
              <w:rPr>
                <w:rFonts w:ascii="Times New Roman" w:eastAsia="Times New Roman" w:hAnsi="Times New Roman" w:cs="Times New Roman"/>
                <w:b/>
                <w:bCs/>
                <w:sz w:val="24"/>
                <w:szCs w:val="24"/>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B582E0" w14:textId="7A4CD2ED" w:rsidR="00BD67F6" w:rsidRPr="00645CD4" w:rsidRDefault="00BD67F6" w:rsidP="00927EB0">
            <w:pPr>
              <w:spacing w:after="0" w:line="240" w:lineRule="auto"/>
              <w:jc w:val="center"/>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Average variance extracted (AVE)</w:t>
            </w:r>
          </w:p>
        </w:tc>
      </w:tr>
      <w:tr w:rsidR="00BD67F6" w:rsidRPr="00770396" w14:paraId="5D1CA930"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B92A09" w14:textId="77777777" w:rsidR="00BD67F6" w:rsidRPr="00645CD4" w:rsidRDefault="00BD67F6" w:rsidP="00954287">
            <w:pPr>
              <w:spacing w:after="0" w:line="240" w:lineRule="auto"/>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 xml:space="preserve">Adoption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8E830C" w14:textId="7044D8F0"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0.990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462CCB" w14:textId="1C435F5C"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0.990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311B86" w14:textId="5FADFCC0"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0.995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F9AADD" w14:textId="30C631A9"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0.990</w:t>
            </w:r>
          </w:p>
        </w:tc>
      </w:tr>
      <w:tr w:rsidR="00BD67F6" w:rsidRPr="00770396" w14:paraId="25299277"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938C87" w14:textId="77777777" w:rsidR="00BD67F6" w:rsidRPr="00645CD4" w:rsidRDefault="00BD67F6" w:rsidP="00954287">
            <w:pPr>
              <w:spacing w:after="0" w:line="240" w:lineRule="auto"/>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 xml:space="preserve">Financial Literacy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82D4B5" w14:textId="3E6BE70D"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0.880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271067" w14:textId="4C8BC293"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0.906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AD016E" w14:textId="28B46DFA"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0.917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1CB3C6" w14:textId="2CEBCADE"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0.735</w:t>
            </w:r>
          </w:p>
        </w:tc>
      </w:tr>
      <w:tr w:rsidR="00BD67F6" w:rsidRPr="00770396" w14:paraId="37C3E339"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E4A969" w14:textId="77777777" w:rsidR="00BD67F6" w:rsidRPr="00645CD4" w:rsidRDefault="00BD67F6" w:rsidP="00954287">
            <w:pPr>
              <w:spacing w:after="0" w:line="240" w:lineRule="auto"/>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 xml:space="preserve">Service Quality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43F43D" w14:textId="6CD25F38"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0.780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FDB2DC" w14:textId="5D9BC680"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0.809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C36E94" w14:textId="3C1B10B7"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0.857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75D045" w14:textId="755D0BC0"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0.601</w:t>
            </w:r>
          </w:p>
        </w:tc>
      </w:tr>
      <w:tr w:rsidR="00BD67F6" w:rsidRPr="00770396" w14:paraId="3EBB688D"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F0DACB" w14:textId="77777777" w:rsidR="00BD67F6" w:rsidRPr="00645CD4" w:rsidRDefault="00BD67F6" w:rsidP="00954287">
            <w:pPr>
              <w:spacing w:after="0" w:line="240" w:lineRule="auto"/>
              <w:rPr>
                <w:rFonts w:ascii="Times New Roman" w:eastAsia="Times New Roman" w:hAnsi="Times New Roman" w:cs="Times New Roman"/>
                <w:b/>
                <w:bCs/>
                <w:sz w:val="24"/>
                <w:szCs w:val="24"/>
                <w:lang w:eastAsia="en-IN"/>
              </w:rPr>
            </w:pPr>
            <w:r w:rsidRPr="00645CD4">
              <w:rPr>
                <w:rFonts w:ascii="Times New Roman" w:eastAsia="Times New Roman" w:hAnsi="Times New Roman" w:cs="Times New Roman"/>
                <w:b/>
                <w:bCs/>
                <w:sz w:val="24"/>
                <w:szCs w:val="24"/>
                <w:lang w:eastAsia="en-IN"/>
              </w:rPr>
              <w:t xml:space="preserve">Social Influence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069CD3" w14:textId="0D98CBB3"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0.885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BB26E4" w14:textId="39CB4AC0"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0.902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CFC34F" w14:textId="46FF6E7B"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0.922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84764E" w14:textId="503E5081" w:rsidR="00BD67F6" w:rsidRPr="00645CD4" w:rsidRDefault="00BD67F6" w:rsidP="00927EB0">
            <w:pPr>
              <w:spacing w:after="0" w:line="240" w:lineRule="auto"/>
              <w:jc w:val="center"/>
              <w:rPr>
                <w:rFonts w:ascii="Times New Roman" w:eastAsia="Times New Roman" w:hAnsi="Times New Roman" w:cs="Times New Roman"/>
                <w:sz w:val="24"/>
                <w:szCs w:val="24"/>
                <w:lang w:eastAsia="en-IN"/>
              </w:rPr>
            </w:pPr>
            <w:r w:rsidRPr="00645CD4">
              <w:rPr>
                <w:rFonts w:ascii="Times New Roman" w:eastAsia="Times New Roman" w:hAnsi="Times New Roman" w:cs="Times New Roman"/>
                <w:sz w:val="24"/>
                <w:szCs w:val="24"/>
                <w:lang w:eastAsia="en-IN"/>
              </w:rPr>
              <w:t>0.749</w:t>
            </w:r>
          </w:p>
        </w:tc>
      </w:tr>
    </w:tbl>
    <w:p w14:paraId="238157EB" w14:textId="77777777" w:rsidR="0082335B" w:rsidRDefault="0082335B" w:rsidP="0073330D">
      <w:pPr>
        <w:tabs>
          <w:tab w:val="left" w:pos="3350"/>
        </w:tabs>
        <w:spacing w:line="360" w:lineRule="auto"/>
        <w:jc w:val="both"/>
        <w:rPr>
          <w:rFonts w:ascii="Times New Roman" w:hAnsi="Times New Roman" w:cs="Times New Roman"/>
          <w:sz w:val="24"/>
          <w:szCs w:val="24"/>
        </w:rPr>
      </w:pPr>
    </w:p>
    <w:p w14:paraId="5D711142" w14:textId="68C9DF1D" w:rsidR="0073330D" w:rsidRPr="00770396" w:rsidRDefault="0073330D" w:rsidP="0073330D">
      <w:pPr>
        <w:tabs>
          <w:tab w:val="left" w:pos="3350"/>
        </w:tabs>
        <w:spacing w:line="360" w:lineRule="auto"/>
        <w:jc w:val="both"/>
        <w:rPr>
          <w:rFonts w:ascii="Times New Roman" w:hAnsi="Times New Roman" w:cs="Times New Roman"/>
          <w:sz w:val="24"/>
          <w:szCs w:val="24"/>
        </w:rPr>
      </w:pPr>
      <w:r w:rsidRPr="0073330D">
        <w:rPr>
          <w:rFonts w:ascii="Times New Roman" w:hAnsi="Times New Roman" w:cs="Times New Roman"/>
          <w:sz w:val="24"/>
          <w:szCs w:val="24"/>
        </w:rPr>
        <w:t>Table 3 presents the results of construct reliability and convergent validity for the study variables. The findings indicate that all constructs demonstrate satisfactory levels of internal consistency reliability, as the Cronbach’s alpha values range from 0.780 to 0.990, exceeding the recommended minimum threshold of 0.70. Similarly, the composite reliability values (</w:t>
      </w:r>
      <w:proofErr w:type="spellStart"/>
      <w:r w:rsidRPr="0073330D">
        <w:rPr>
          <w:rFonts w:ascii="Times New Roman" w:hAnsi="Times New Roman" w:cs="Times New Roman"/>
          <w:sz w:val="24"/>
          <w:szCs w:val="24"/>
        </w:rPr>
        <w:t>rho_</w:t>
      </w:r>
      <w:proofErr w:type="gramStart"/>
      <w:r w:rsidRPr="0073330D">
        <w:rPr>
          <w:rFonts w:ascii="Times New Roman" w:hAnsi="Times New Roman" w:cs="Times New Roman"/>
          <w:sz w:val="24"/>
          <w:szCs w:val="24"/>
        </w:rPr>
        <w:t>a</w:t>
      </w:r>
      <w:proofErr w:type="spellEnd"/>
      <w:r w:rsidRPr="0073330D">
        <w:rPr>
          <w:rFonts w:ascii="Times New Roman" w:hAnsi="Times New Roman" w:cs="Times New Roman"/>
          <w:sz w:val="24"/>
          <w:szCs w:val="24"/>
        </w:rPr>
        <w:t xml:space="preserve"> and</w:t>
      </w:r>
      <w:proofErr w:type="gramEnd"/>
      <w:r w:rsidRPr="0073330D">
        <w:rPr>
          <w:rFonts w:ascii="Times New Roman" w:hAnsi="Times New Roman" w:cs="Times New Roman"/>
          <w:sz w:val="24"/>
          <w:szCs w:val="24"/>
        </w:rPr>
        <w:t xml:space="preserve"> </w:t>
      </w:r>
      <w:proofErr w:type="spellStart"/>
      <w:r w:rsidRPr="0073330D">
        <w:rPr>
          <w:rFonts w:ascii="Times New Roman" w:hAnsi="Times New Roman" w:cs="Times New Roman"/>
          <w:sz w:val="24"/>
          <w:szCs w:val="24"/>
        </w:rPr>
        <w:t>rho_c</w:t>
      </w:r>
      <w:proofErr w:type="spellEnd"/>
      <w:r w:rsidRPr="0073330D">
        <w:rPr>
          <w:rFonts w:ascii="Times New Roman" w:hAnsi="Times New Roman" w:cs="Times New Roman"/>
          <w:sz w:val="24"/>
          <w:szCs w:val="24"/>
        </w:rPr>
        <w:t>) for all constructs are above 0.70, confirming strong construct reliability. Adoption Intention exhibits the highest reliability with Cronbach’s alpha of 0.990, composite reliability (</w:t>
      </w:r>
      <w:proofErr w:type="spellStart"/>
      <w:r w:rsidRPr="0073330D">
        <w:rPr>
          <w:rFonts w:ascii="Times New Roman" w:hAnsi="Times New Roman" w:cs="Times New Roman"/>
          <w:sz w:val="24"/>
          <w:szCs w:val="24"/>
        </w:rPr>
        <w:t>rho_a</w:t>
      </w:r>
      <w:proofErr w:type="spellEnd"/>
      <w:r w:rsidRPr="0073330D">
        <w:rPr>
          <w:rFonts w:ascii="Times New Roman" w:hAnsi="Times New Roman" w:cs="Times New Roman"/>
          <w:sz w:val="24"/>
          <w:szCs w:val="24"/>
        </w:rPr>
        <w:t>) of 0.990, and composite reliability (</w:t>
      </w:r>
      <w:proofErr w:type="spellStart"/>
      <w:r w:rsidRPr="0073330D">
        <w:rPr>
          <w:rFonts w:ascii="Times New Roman" w:hAnsi="Times New Roman" w:cs="Times New Roman"/>
          <w:sz w:val="24"/>
          <w:szCs w:val="24"/>
        </w:rPr>
        <w:t>rho_c</w:t>
      </w:r>
      <w:proofErr w:type="spellEnd"/>
      <w:r w:rsidRPr="0073330D">
        <w:rPr>
          <w:rFonts w:ascii="Times New Roman" w:hAnsi="Times New Roman" w:cs="Times New Roman"/>
          <w:sz w:val="24"/>
          <w:szCs w:val="24"/>
        </w:rPr>
        <w:t>) of 0.995. Financial Literacy, Service Quality, and Social Influence also demonstrate acceptable reliability levels, indicating consistency among their respective indicators. Furthermore, convergent validity was assessed using the Average Variance Extracted (AVE). The AVE values range from 0.601 to 0.990, all exceeding the recommended threshold of 0.50, indicating that each construct explains more than 50 percent of the variance in its indicators. Social Influence records an AVE of 0.749, Financial Literacy 0.735, and Service Quality 0.601, while Adoption Intention exhibits an exceptionally high AVE of 0.990. Therefore, the results confirm that the measurement model possesses adequate reliability and convergent validity, supporting the suitability of the constructs for subsequent structural model analysis.</w:t>
      </w:r>
    </w:p>
    <w:p w14:paraId="4EA77040" w14:textId="24A7FD2E" w:rsidR="009E1173" w:rsidRPr="00770396" w:rsidRDefault="009F3DC6" w:rsidP="007A1321">
      <w:pPr>
        <w:tabs>
          <w:tab w:val="left" w:pos="3350"/>
        </w:tabs>
        <w:spacing w:line="360" w:lineRule="auto"/>
        <w:jc w:val="center"/>
        <w:rPr>
          <w:rFonts w:ascii="Times New Roman" w:hAnsi="Times New Roman" w:cs="Times New Roman"/>
          <w:sz w:val="24"/>
          <w:szCs w:val="24"/>
        </w:rPr>
      </w:pPr>
      <w:r w:rsidRPr="00770396">
        <w:rPr>
          <w:rFonts w:ascii="Times New Roman" w:hAnsi="Times New Roman" w:cs="Times New Roman"/>
          <w:noProof/>
        </w:rPr>
        <w:lastRenderedPageBreak/>
        <w:drawing>
          <wp:inline distT="0" distB="0" distL="0" distR="0" wp14:anchorId="5BA8962A" wp14:editId="0E5051E9">
            <wp:extent cx="3191698" cy="2393950"/>
            <wp:effectExtent l="0" t="0" r="8890" b="6350"/>
            <wp:docPr id="212012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8103" name=""/>
                    <pic:cNvPicPr/>
                  </pic:nvPicPr>
                  <pic:blipFill>
                    <a:blip r:embed="rId6"/>
                    <a:stretch>
                      <a:fillRect/>
                    </a:stretch>
                  </pic:blipFill>
                  <pic:spPr>
                    <a:xfrm>
                      <a:off x="0" y="0"/>
                      <a:ext cx="3206029" cy="2404699"/>
                    </a:xfrm>
                    <a:prstGeom prst="rect">
                      <a:avLst/>
                    </a:prstGeom>
                  </pic:spPr>
                </pic:pic>
              </a:graphicData>
            </a:graphic>
          </wp:inline>
        </w:drawing>
      </w:r>
    </w:p>
    <w:p w14:paraId="298DDE5A" w14:textId="56F0D227" w:rsidR="00C453D0" w:rsidRPr="00770396" w:rsidRDefault="000206C2" w:rsidP="00D25F04">
      <w:pPr>
        <w:jc w:val="center"/>
        <w:rPr>
          <w:rFonts w:ascii="Times New Roman" w:hAnsi="Times New Roman" w:cs="Times New Roman"/>
          <w:b/>
          <w:bCs/>
          <w:sz w:val="24"/>
          <w:szCs w:val="24"/>
        </w:rPr>
      </w:pPr>
      <w:r w:rsidRPr="00770396">
        <w:rPr>
          <w:rFonts w:ascii="Times New Roman" w:hAnsi="Times New Roman" w:cs="Times New Roman"/>
          <w:b/>
          <w:bCs/>
          <w:sz w:val="24"/>
          <w:szCs w:val="24"/>
        </w:rPr>
        <w:t xml:space="preserve">Figure </w:t>
      </w:r>
      <w:r w:rsidR="00E72C97" w:rsidRPr="00770396">
        <w:rPr>
          <w:rFonts w:ascii="Times New Roman" w:hAnsi="Times New Roman" w:cs="Times New Roman"/>
          <w:b/>
          <w:bCs/>
          <w:sz w:val="24"/>
          <w:szCs w:val="24"/>
        </w:rPr>
        <w:t>2</w:t>
      </w:r>
      <w:r w:rsidRPr="00770396">
        <w:rPr>
          <w:rFonts w:ascii="Times New Roman" w:hAnsi="Times New Roman" w:cs="Times New Roman"/>
          <w:b/>
          <w:bCs/>
          <w:sz w:val="24"/>
          <w:szCs w:val="24"/>
        </w:rPr>
        <w:t>: Cronbach’s alpha</w:t>
      </w:r>
    </w:p>
    <w:p w14:paraId="4893FF5C" w14:textId="220D5C60" w:rsidR="000206C2" w:rsidRPr="00770396" w:rsidRDefault="00B56FC1" w:rsidP="000206C2">
      <w:pPr>
        <w:jc w:val="center"/>
        <w:rPr>
          <w:rFonts w:ascii="Times New Roman" w:hAnsi="Times New Roman" w:cs="Times New Roman"/>
          <w:sz w:val="24"/>
          <w:szCs w:val="24"/>
        </w:rPr>
      </w:pPr>
      <w:r w:rsidRPr="00770396">
        <w:rPr>
          <w:rFonts w:ascii="Times New Roman" w:hAnsi="Times New Roman" w:cs="Times New Roman"/>
          <w:noProof/>
        </w:rPr>
        <w:drawing>
          <wp:inline distT="0" distB="0" distL="0" distR="0" wp14:anchorId="759D8558" wp14:editId="0976AD7E">
            <wp:extent cx="3225562" cy="2419350"/>
            <wp:effectExtent l="0" t="0" r="0" b="0"/>
            <wp:docPr id="151212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0765" name=""/>
                    <pic:cNvPicPr/>
                  </pic:nvPicPr>
                  <pic:blipFill>
                    <a:blip r:embed="rId7"/>
                    <a:stretch>
                      <a:fillRect/>
                    </a:stretch>
                  </pic:blipFill>
                  <pic:spPr>
                    <a:xfrm>
                      <a:off x="0" y="0"/>
                      <a:ext cx="3247756" cy="2435997"/>
                    </a:xfrm>
                    <a:prstGeom prst="rect">
                      <a:avLst/>
                    </a:prstGeom>
                  </pic:spPr>
                </pic:pic>
              </a:graphicData>
            </a:graphic>
          </wp:inline>
        </w:drawing>
      </w:r>
    </w:p>
    <w:p w14:paraId="44831076" w14:textId="3DA1EB5C" w:rsidR="00455642" w:rsidRPr="00770396" w:rsidRDefault="000206C2" w:rsidP="006F04D3">
      <w:pPr>
        <w:jc w:val="center"/>
        <w:rPr>
          <w:rFonts w:ascii="Times New Roman" w:eastAsia="Times New Roman" w:hAnsi="Times New Roman" w:cs="Times New Roman"/>
          <w:b/>
          <w:bCs/>
          <w:sz w:val="24"/>
          <w:szCs w:val="24"/>
          <w:lang w:eastAsia="en-IN"/>
        </w:rPr>
      </w:pPr>
      <w:r w:rsidRPr="00770396">
        <w:rPr>
          <w:rFonts w:ascii="Times New Roman" w:hAnsi="Times New Roman" w:cs="Times New Roman"/>
          <w:b/>
          <w:bCs/>
          <w:sz w:val="24"/>
          <w:szCs w:val="24"/>
        </w:rPr>
        <w:t xml:space="preserve">Figure </w:t>
      </w:r>
      <w:r w:rsidR="00361F87" w:rsidRPr="00770396">
        <w:rPr>
          <w:rFonts w:ascii="Times New Roman" w:hAnsi="Times New Roman" w:cs="Times New Roman"/>
          <w:b/>
          <w:bCs/>
          <w:sz w:val="24"/>
          <w:szCs w:val="24"/>
        </w:rPr>
        <w:t>3</w:t>
      </w:r>
      <w:r w:rsidRPr="00770396">
        <w:rPr>
          <w:rFonts w:ascii="Times New Roman" w:hAnsi="Times New Roman" w:cs="Times New Roman"/>
          <w:b/>
          <w:bCs/>
          <w:sz w:val="24"/>
          <w:szCs w:val="24"/>
        </w:rPr>
        <w:t xml:space="preserve">: </w:t>
      </w:r>
      <w:r w:rsidRPr="00770396">
        <w:rPr>
          <w:rFonts w:ascii="Times New Roman" w:eastAsia="Times New Roman" w:hAnsi="Times New Roman" w:cs="Times New Roman"/>
          <w:b/>
          <w:bCs/>
          <w:sz w:val="24"/>
          <w:szCs w:val="24"/>
          <w:lang w:eastAsia="en-IN"/>
        </w:rPr>
        <w:t>Composite reliability (</w:t>
      </w:r>
      <w:proofErr w:type="spellStart"/>
      <w:r w:rsidRPr="00770396">
        <w:rPr>
          <w:rFonts w:ascii="Times New Roman" w:eastAsia="Times New Roman" w:hAnsi="Times New Roman" w:cs="Times New Roman"/>
          <w:b/>
          <w:bCs/>
          <w:sz w:val="24"/>
          <w:szCs w:val="24"/>
          <w:lang w:eastAsia="en-IN"/>
        </w:rPr>
        <w:t>rho_a</w:t>
      </w:r>
      <w:proofErr w:type="spellEnd"/>
      <w:r w:rsidRPr="00770396">
        <w:rPr>
          <w:rFonts w:ascii="Times New Roman" w:eastAsia="Times New Roman" w:hAnsi="Times New Roman" w:cs="Times New Roman"/>
          <w:b/>
          <w:bCs/>
          <w:sz w:val="24"/>
          <w:szCs w:val="24"/>
          <w:lang w:eastAsia="en-IN"/>
        </w:rPr>
        <w:t>)</w:t>
      </w:r>
    </w:p>
    <w:p w14:paraId="6AE78D6E" w14:textId="3EB78EFB" w:rsidR="000206C2" w:rsidRPr="00770396" w:rsidRDefault="00A44CD2" w:rsidP="000206C2">
      <w:pPr>
        <w:jc w:val="center"/>
        <w:rPr>
          <w:rFonts w:ascii="Times New Roman" w:eastAsia="Times New Roman" w:hAnsi="Times New Roman" w:cs="Times New Roman"/>
          <w:b/>
          <w:bCs/>
          <w:sz w:val="24"/>
          <w:szCs w:val="24"/>
          <w:lang w:eastAsia="en-IN"/>
        </w:rPr>
      </w:pPr>
      <w:r w:rsidRPr="00770396">
        <w:rPr>
          <w:rFonts w:ascii="Times New Roman" w:hAnsi="Times New Roman" w:cs="Times New Roman"/>
          <w:noProof/>
        </w:rPr>
        <w:drawing>
          <wp:inline distT="0" distB="0" distL="0" distR="0" wp14:anchorId="22F50861" wp14:editId="06B3488C">
            <wp:extent cx="3244850" cy="2433818"/>
            <wp:effectExtent l="0" t="0" r="0" b="5080"/>
            <wp:docPr id="21390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6603" name=""/>
                    <pic:cNvPicPr/>
                  </pic:nvPicPr>
                  <pic:blipFill>
                    <a:blip r:embed="rId8"/>
                    <a:stretch>
                      <a:fillRect/>
                    </a:stretch>
                  </pic:blipFill>
                  <pic:spPr>
                    <a:xfrm>
                      <a:off x="0" y="0"/>
                      <a:ext cx="3263683" cy="2447944"/>
                    </a:xfrm>
                    <a:prstGeom prst="rect">
                      <a:avLst/>
                    </a:prstGeom>
                  </pic:spPr>
                </pic:pic>
              </a:graphicData>
            </a:graphic>
          </wp:inline>
        </w:drawing>
      </w:r>
    </w:p>
    <w:p w14:paraId="50299864" w14:textId="25454D17" w:rsidR="000206C2" w:rsidRPr="00770396" w:rsidRDefault="000206C2" w:rsidP="000206C2">
      <w:pPr>
        <w:jc w:val="center"/>
        <w:rPr>
          <w:rFonts w:ascii="Times New Roman" w:eastAsia="Times New Roman" w:hAnsi="Times New Roman" w:cs="Times New Roman"/>
          <w:b/>
          <w:bCs/>
          <w:sz w:val="24"/>
          <w:szCs w:val="24"/>
          <w:lang w:eastAsia="en-IN"/>
        </w:rPr>
      </w:pPr>
      <w:r w:rsidRPr="00770396">
        <w:rPr>
          <w:rFonts w:ascii="Times New Roman" w:hAnsi="Times New Roman" w:cs="Times New Roman"/>
          <w:b/>
          <w:bCs/>
          <w:sz w:val="24"/>
          <w:szCs w:val="24"/>
        </w:rPr>
        <w:t xml:space="preserve">Figure </w:t>
      </w:r>
      <w:r w:rsidR="00361F87" w:rsidRPr="00770396">
        <w:rPr>
          <w:rFonts w:ascii="Times New Roman" w:hAnsi="Times New Roman" w:cs="Times New Roman"/>
          <w:b/>
          <w:bCs/>
          <w:sz w:val="24"/>
          <w:szCs w:val="24"/>
        </w:rPr>
        <w:t>4</w:t>
      </w:r>
      <w:r w:rsidRPr="00770396">
        <w:rPr>
          <w:rFonts w:ascii="Times New Roman" w:hAnsi="Times New Roman" w:cs="Times New Roman"/>
          <w:b/>
          <w:bCs/>
          <w:sz w:val="24"/>
          <w:szCs w:val="24"/>
        </w:rPr>
        <w:t xml:space="preserve">: </w:t>
      </w:r>
      <w:r w:rsidRPr="00770396">
        <w:rPr>
          <w:rFonts w:ascii="Times New Roman" w:eastAsia="Times New Roman" w:hAnsi="Times New Roman" w:cs="Times New Roman"/>
          <w:b/>
          <w:bCs/>
          <w:sz w:val="24"/>
          <w:szCs w:val="24"/>
          <w:lang w:eastAsia="en-IN"/>
        </w:rPr>
        <w:t>Composite reliability (</w:t>
      </w:r>
      <w:proofErr w:type="spellStart"/>
      <w:r w:rsidRPr="00770396">
        <w:rPr>
          <w:rFonts w:ascii="Times New Roman" w:eastAsia="Times New Roman" w:hAnsi="Times New Roman" w:cs="Times New Roman"/>
          <w:b/>
          <w:bCs/>
          <w:sz w:val="24"/>
          <w:szCs w:val="24"/>
          <w:lang w:eastAsia="en-IN"/>
        </w:rPr>
        <w:t>rho_c</w:t>
      </w:r>
      <w:proofErr w:type="spellEnd"/>
      <w:r w:rsidRPr="00770396">
        <w:rPr>
          <w:rFonts w:ascii="Times New Roman" w:eastAsia="Times New Roman" w:hAnsi="Times New Roman" w:cs="Times New Roman"/>
          <w:b/>
          <w:bCs/>
          <w:sz w:val="24"/>
          <w:szCs w:val="24"/>
          <w:lang w:eastAsia="en-IN"/>
        </w:rPr>
        <w:t>)</w:t>
      </w:r>
    </w:p>
    <w:p w14:paraId="1255A148" w14:textId="77777777" w:rsidR="003B5A63" w:rsidRPr="00770396" w:rsidRDefault="003B5A63" w:rsidP="000206C2">
      <w:pPr>
        <w:jc w:val="center"/>
        <w:rPr>
          <w:rFonts w:ascii="Times New Roman" w:eastAsia="Times New Roman" w:hAnsi="Times New Roman" w:cs="Times New Roman"/>
          <w:b/>
          <w:bCs/>
          <w:sz w:val="24"/>
          <w:szCs w:val="24"/>
          <w:lang w:eastAsia="en-IN"/>
        </w:rPr>
      </w:pPr>
    </w:p>
    <w:p w14:paraId="66C80FAA" w14:textId="1F2442F5" w:rsidR="000206C2" w:rsidRPr="00770396" w:rsidRDefault="00E057A2" w:rsidP="000206C2">
      <w:pPr>
        <w:jc w:val="center"/>
        <w:rPr>
          <w:rFonts w:ascii="Times New Roman" w:eastAsia="Times New Roman" w:hAnsi="Times New Roman" w:cs="Times New Roman"/>
          <w:b/>
          <w:bCs/>
          <w:sz w:val="24"/>
          <w:szCs w:val="24"/>
          <w:lang w:eastAsia="en-IN"/>
        </w:rPr>
      </w:pPr>
      <w:r w:rsidRPr="00770396">
        <w:rPr>
          <w:rFonts w:ascii="Times New Roman" w:hAnsi="Times New Roman" w:cs="Times New Roman"/>
          <w:noProof/>
        </w:rPr>
        <w:lastRenderedPageBreak/>
        <w:drawing>
          <wp:inline distT="0" distB="0" distL="0" distR="0" wp14:anchorId="4D296754" wp14:editId="1EF2485D">
            <wp:extent cx="3263900" cy="2448105"/>
            <wp:effectExtent l="0" t="0" r="0" b="9525"/>
            <wp:docPr id="78079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96557" name=""/>
                    <pic:cNvPicPr/>
                  </pic:nvPicPr>
                  <pic:blipFill>
                    <a:blip r:embed="rId9"/>
                    <a:stretch>
                      <a:fillRect/>
                    </a:stretch>
                  </pic:blipFill>
                  <pic:spPr>
                    <a:xfrm>
                      <a:off x="0" y="0"/>
                      <a:ext cx="3300889" cy="2475849"/>
                    </a:xfrm>
                    <a:prstGeom prst="rect">
                      <a:avLst/>
                    </a:prstGeom>
                  </pic:spPr>
                </pic:pic>
              </a:graphicData>
            </a:graphic>
          </wp:inline>
        </w:drawing>
      </w:r>
    </w:p>
    <w:p w14:paraId="1A9107FF" w14:textId="7079C3F5" w:rsidR="008049F6" w:rsidRPr="00770396" w:rsidRDefault="000206C2" w:rsidP="00BD7AD4">
      <w:pPr>
        <w:jc w:val="center"/>
        <w:rPr>
          <w:rFonts w:ascii="Times New Roman" w:eastAsia="Times New Roman" w:hAnsi="Times New Roman" w:cs="Times New Roman"/>
          <w:b/>
          <w:bCs/>
          <w:sz w:val="24"/>
          <w:szCs w:val="24"/>
          <w:lang w:eastAsia="en-IN" w:bidi="bn-IN"/>
        </w:rPr>
      </w:pPr>
      <w:r w:rsidRPr="00770396">
        <w:rPr>
          <w:rFonts w:ascii="Times New Roman" w:hAnsi="Times New Roman" w:cs="Times New Roman"/>
          <w:b/>
          <w:bCs/>
          <w:sz w:val="24"/>
          <w:szCs w:val="24"/>
        </w:rPr>
        <w:t xml:space="preserve">Figure </w:t>
      </w:r>
      <w:r w:rsidR="00361F87" w:rsidRPr="00770396">
        <w:rPr>
          <w:rFonts w:ascii="Times New Roman" w:hAnsi="Times New Roman" w:cs="Times New Roman"/>
          <w:b/>
          <w:bCs/>
          <w:sz w:val="24"/>
          <w:szCs w:val="24"/>
        </w:rPr>
        <w:t>5</w:t>
      </w:r>
      <w:r w:rsidRPr="00770396">
        <w:rPr>
          <w:rFonts w:ascii="Times New Roman" w:hAnsi="Times New Roman" w:cs="Times New Roman"/>
          <w:b/>
          <w:bCs/>
          <w:sz w:val="24"/>
          <w:szCs w:val="24"/>
        </w:rPr>
        <w:t xml:space="preserve">: </w:t>
      </w:r>
      <w:r w:rsidRPr="00770396">
        <w:rPr>
          <w:rFonts w:ascii="Times New Roman" w:eastAsia="Times New Roman" w:hAnsi="Times New Roman" w:cs="Times New Roman"/>
          <w:b/>
          <w:bCs/>
          <w:sz w:val="24"/>
          <w:szCs w:val="24"/>
          <w:lang w:eastAsia="en-IN" w:bidi="bn-IN"/>
        </w:rPr>
        <w:t>Average variance extracted (AVE)</w:t>
      </w:r>
    </w:p>
    <w:p w14:paraId="53FA65A3" w14:textId="50EAE68D" w:rsidR="000206C2" w:rsidRPr="00770396" w:rsidRDefault="000206C2" w:rsidP="00CC7F05">
      <w:pPr>
        <w:tabs>
          <w:tab w:val="left" w:pos="2580"/>
        </w:tabs>
        <w:jc w:val="center"/>
        <w:rPr>
          <w:rFonts w:ascii="Times New Roman" w:hAnsi="Times New Roman" w:cs="Times New Roman"/>
          <w:b/>
          <w:bCs/>
          <w:sz w:val="24"/>
          <w:szCs w:val="24"/>
        </w:rPr>
      </w:pPr>
      <w:r w:rsidRPr="00770396">
        <w:rPr>
          <w:rFonts w:ascii="Times New Roman" w:hAnsi="Times New Roman" w:cs="Times New Roman"/>
          <w:b/>
          <w:bCs/>
          <w:sz w:val="24"/>
          <w:szCs w:val="24"/>
        </w:rPr>
        <w:t xml:space="preserve">Table </w:t>
      </w:r>
      <w:r w:rsidR="007359BB" w:rsidRPr="00770396">
        <w:rPr>
          <w:rFonts w:ascii="Times New Roman" w:hAnsi="Times New Roman" w:cs="Times New Roman"/>
          <w:b/>
          <w:bCs/>
          <w:sz w:val="24"/>
          <w:szCs w:val="24"/>
        </w:rPr>
        <w:t>4</w:t>
      </w:r>
      <w:r w:rsidRPr="00770396">
        <w:rPr>
          <w:rFonts w:ascii="Times New Roman" w:hAnsi="Times New Roman" w:cs="Times New Roman"/>
          <w:b/>
          <w:bCs/>
          <w:sz w:val="24"/>
          <w:szCs w:val="24"/>
        </w:rPr>
        <w:t>: Path Coefficients - Mean, STDEV, T values, p values</w:t>
      </w:r>
    </w:p>
    <w:tbl>
      <w:tblPr>
        <w:tblW w:w="5000" w:type="pct"/>
        <w:tblCellMar>
          <w:top w:w="15" w:type="dxa"/>
          <w:left w:w="15" w:type="dxa"/>
          <w:bottom w:w="15" w:type="dxa"/>
          <w:right w:w="15" w:type="dxa"/>
        </w:tblCellMar>
        <w:tblLook w:val="04A0" w:firstRow="1" w:lastRow="0" w:firstColumn="1" w:lastColumn="0" w:noHBand="0" w:noVBand="1"/>
      </w:tblPr>
      <w:tblGrid>
        <w:gridCol w:w="1946"/>
        <w:gridCol w:w="1383"/>
        <w:gridCol w:w="1249"/>
        <w:gridCol w:w="1673"/>
        <w:gridCol w:w="1830"/>
        <w:gridCol w:w="929"/>
      </w:tblGrid>
      <w:tr w:rsidR="00B01328" w:rsidRPr="00770396" w14:paraId="54C775E2"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213F96" w14:textId="77777777" w:rsidR="00B01328" w:rsidRPr="00770396" w:rsidRDefault="00B01328" w:rsidP="00FD6746">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914C75" w14:textId="26372F99" w:rsidR="00B01328" w:rsidRPr="00770396" w:rsidRDefault="00B01328" w:rsidP="00FD6746">
            <w:pPr>
              <w:spacing w:after="0" w:line="240" w:lineRule="auto"/>
              <w:jc w:val="center"/>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Original sample (O)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2F2527" w14:textId="2E29D4BA" w:rsidR="00B01328" w:rsidRPr="00770396" w:rsidRDefault="00B01328" w:rsidP="00FD6746">
            <w:pPr>
              <w:spacing w:after="0" w:line="240" w:lineRule="auto"/>
              <w:jc w:val="center"/>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Sample mean (M)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B144BA" w14:textId="15D2BCBD" w:rsidR="00B01328" w:rsidRPr="00770396" w:rsidRDefault="00B01328" w:rsidP="00FD6746">
            <w:pPr>
              <w:spacing w:after="0" w:line="240" w:lineRule="auto"/>
              <w:jc w:val="center"/>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Standard deviation (STDEV)</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A65B34" w14:textId="509F57FB" w:rsidR="00B01328" w:rsidRPr="00770396" w:rsidRDefault="00B01328" w:rsidP="00FD6746">
            <w:pPr>
              <w:spacing w:after="0" w:line="240" w:lineRule="auto"/>
              <w:jc w:val="center"/>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T statistics (|O/STDEV|)</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05A63E" w14:textId="0BFF104E" w:rsidR="00B01328" w:rsidRPr="00770396" w:rsidRDefault="00B01328" w:rsidP="00FD6746">
            <w:pPr>
              <w:spacing w:after="0" w:line="240" w:lineRule="auto"/>
              <w:jc w:val="center"/>
              <w:rPr>
                <w:rFonts w:ascii="Times New Roman" w:eastAsia="Times New Roman" w:hAnsi="Times New Roman" w:cs="Times New Roman"/>
                <w:b/>
                <w:bCs/>
                <w:sz w:val="24"/>
                <w:szCs w:val="24"/>
                <w:lang w:eastAsia="en-IN"/>
              </w:rPr>
            </w:pPr>
            <w:r w:rsidRPr="00770396">
              <w:rPr>
                <w:rFonts w:ascii="Times New Roman" w:eastAsia="Times New Roman" w:hAnsi="Times New Roman" w:cs="Times New Roman"/>
                <w:b/>
                <w:bCs/>
                <w:sz w:val="24"/>
                <w:szCs w:val="24"/>
                <w:lang w:eastAsia="en-IN"/>
              </w:rPr>
              <w:t>P values</w:t>
            </w:r>
          </w:p>
        </w:tc>
      </w:tr>
      <w:tr w:rsidR="00B01328" w:rsidRPr="00770396" w14:paraId="5A15E193"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024562" w14:textId="1C97FC45" w:rsidR="00B01328" w:rsidRPr="00DD72E5" w:rsidRDefault="002B219C" w:rsidP="00FD6746">
            <w:pPr>
              <w:spacing w:after="0" w:line="240" w:lineRule="auto"/>
              <w:rPr>
                <w:rFonts w:ascii="Times New Roman" w:eastAsia="Times New Roman" w:hAnsi="Times New Roman" w:cs="Times New Roman"/>
                <w:sz w:val="24"/>
                <w:szCs w:val="24"/>
                <w:lang w:eastAsia="en-IN"/>
              </w:rPr>
            </w:pPr>
            <w:r w:rsidRPr="00DD72E5">
              <w:rPr>
                <w:rFonts w:ascii="Times New Roman" w:eastAsia="Times New Roman" w:hAnsi="Times New Roman" w:cs="Times New Roman"/>
                <w:sz w:val="24"/>
                <w:szCs w:val="24"/>
                <w:lang w:eastAsia="en-IN"/>
              </w:rPr>
              <w:t xml:space="preserve">H1: </w:t>
            </w:r>
            <w:r w:rsidR="00B01328" w:rsidRPr="00DD72E5">
              <w:rPr>
                <w:rFonts w:ascii="Times New Roman" w:eastAsia="Times New Roman" w:hAnsi="Times New Roman" w:cs="Times New Roman"/>
                <w:sz w:val="24"/>
                <w:szCs w:val="24"/>
                <w:lang w:eastAsia="en-IN"/>
              </w:rPr>
              <w:t xml:space="preserve">Financial Literacy -&gt; Adoption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2C71C2" w14:textId="532124D3" w:rsidR="00B01328" w:rsidRPr="00DD72E5" w:rsidRDefault="00B01328" w:rsidP="00FD6746">
            <w:pPr>
              <w:spacing w:after="0" w:line="240" w:lineRule="auto"/>
              <w:jc w:val="center"/>
              <w:rPr>
                <w:rFonts w:ascii="Times New Roman" w:eastAsia="Times New Roman" w:hAnsi="Times New Roman" w:cs="Times New Roman"/>
                <w:sz w:val="24"/>
                <w:szCs w:val="24"/>
                <w:lang w:eastAsia="en-IN"/>
              </w:rPr>
            </w:pPr>
            <w:r w:rsidRPr="00DD72E5">
              <w:rPr>
                <w:rFonts w:ascii="Times New Roman" w:eastAsia="Times New Roman" w:hAnsi="Times New Roman" w:cs="Times New Roman"/>
                <w:sz w:val="24"/>
                <w:szCs w:val="24"/>
                <w:lang w:eastAsia="en-IN"/>
              </w:rPr>
              <w:t>0.305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14D8F4" w14:textId="398E9E1A"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0.308</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D3B8F5" w14:textId="2F54110E"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0.082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6B8604" w14:textId="471F161C"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3.701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0139DE" w14:textId="0EA009B7" w:rsidR="00B01328" w:rsidRPr="00770396" w:rsidRDefault="00B01328" w:rsidP="00FD6746">
            <w:pPr>
              <w:spacing w:after="0" w:line="240" w:lineRule="auto"/>
              <w:jc w:val="center"/>
              <w:rPr>
                <w:rFonts w:ascii="Times New Roman" w:eastAsia="Times New Roman" w:hAnsi="Times New Roman" w:cs="Times New Roman"/>
                <w:color w:val="006400"/>
                <w:sz w:val="24"/>
                <w:szCs w:val="24"/>
                <w:lang w:eastAsia="en-IN"/>
              </w:rPr>
            </w:pPr>
            <w:r w:rsidRPr="00770396">
              <w:rPr>
                <w:rFonts w:ascii="Times New Roman" w:eastAsia="Times New Roman" w:hAnsi="Times New Roman" w:cs="Times New Roman"/>
                <w:color w:val="006400"/>
                <w:sz w:val="24"/>
                <w:szCs w:val="24"/>
                <w:lang w:eastAsia="en-IN"/>
              </w:rPr>
              <w:t>0.000</w:t>
            </w:r>
          </w:p>
        </w:tc>
      </w:tr>
      <w:tr w:rsidR="00B01328" w:rsidRPr="00770396" w14:paraId="5D011747"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7B9BC6" w14:textId="00B2F9E3" w:rsidR="00B01328" w:rsidRPr="00DD72E5" w:rsidRDefault="002B219C" w:rsidP="00FD6746">
            <w:pPr>
              <w:spacing w:after="0" w:line="240" w:lineRule="auto"/>
              <w:rPr>
                <w:rFonts w:ascii="Times New Roman" w:eastAsia="Times New Roman" w:hAnsi="Times New Roman" w:cs="Times New Roman"/>
                <w:sz w:val="24"/>
                <w:szCs w:val="24"/>
                <w:lang w:eastAsia="en-IN"/>
              </w:rPr>
            </w:pPr>
            <w:r w:rsidRPr="00DD72E5">
              <w:rPr>
                <w:rFonts w:ascii="Times New Roman" w:eastAsia="Times New Roman" w:hAnsi="Times New Roman" w:cs="Times New Roman"/>
                <w:sz w:val="24"/>
                <w:szCs w:val="24"/>
                <w:lang w:eastAsia="en-IN"/>
              </w:rPr>
              <w:t xml:space="preserve">H2: </w:t>
            </w:r>
            <w:r w:rsidR="00B01328" w:rsidRPr="00DD72E5">
              <w:rPr>
                <w:rFonts w:ascii="Times New Roman" w:eastAsia="Times New Roman" w:hAnsi="Times New Roman" w:cs="Times New Roman"/>
                <w:sz w:val="24"/>
                <w:szCs w:val="24"/>
                <w:lang w:eastAsia="en-IN"/>
              </w:rPr>
              <w:t xml:space="preserve">Service Quality -&gt; Adoption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13A676" w14:textId="2CA16748" w:rsidR="00B01328" w:rsidRPr="00DD72E5" w:rsidRDefault="00B01328" w:rsidP="00FD6746">
            <w:pPr>
              <w:spacing w:after="0" w:line="240" w:lineRule="auto"/>
              <w:jc w:val="center"/>
              <w:rPr>
                <w:rFonts w:ascii="Times New Roman" w:eastAsia="Times New Roman" w:hAnsi="Times New Roman" w:cs="Times New Roman"/>
                <w:sz w:val="24"/>
                <w:szCs w:val="24"/>
                <w:lang w:eastAsia="en-IN"/>
              </w:rPr>
            </w:pPr>
            <w:r w:rsidRPr="00DD72E5">
              <w:rPr>
                <w:rFonts w:ascii="Times New Roman" w:eastAsia="Times New Roman" w:hAnsi="Times New Roman" w:cs="Times New Roman"/>
                <w:sz w:val="24"/>
                <w:szCs w:val="24"/>
                <w:lang w:eastAsia="en-IN"/>
              </w:rPr>
              <w:t>0.221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E5EB29" w14:textId="4703F8AB"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0.223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7B6C1F" w14:textId="7E6784D8"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0.072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EFAE23" w14:textId="646052AB"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3.071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F85C7E" w14:textId="5E50623B" w:rsidR="00B01328" w:rsidRPr="00770396" w:rsidRDefault="00B01328" w:rsidP="00FD6746">
            <w:pPr>
              <w:spacing w:after="0" w:line="240" w:lineRule="auto"/>
              <w:jc w:val="center"/>
              <w:rPr>
                <w:rFonts w:ascii="Times New Roman" w:eastAsia="Times New Roman" w:hAnsi="Times New Roman" w:cs="Times New Roman"/>
                <w:color w:val="006400"/>
                <w:sz w:val="24"/>
                <w:szCs w:val="24"/>
                <w:lang w:eastAsia="en-IN"/>
              </w:rPr>
            </w:pPr>
            <w:r w:rsidRPr="00770396">
              <w:rPr>
                <w:rFonts w:ascii="Times New Roman" w:eastAsia="Times New Roman" w:hAnsi="Times New Roman" w:cs="Times New Roman"/>
                <w:color w:val="006400"/>
                <w:sz w:val="24"/>
                <w:szCs w:val="24"/>
                <w:lang w:eastAsia="en-IN"/>
              </w:rPr>
              <w:t>0.002</w:t>
            </w:r>
          </w:p>
        </w:tc>
      </w:tr>
      <w:tr w:rsidR="00B01328" w:rsidRPr="00770396" w14:paraId="65013F87" w14:textId="77777777" w:rsidTr="00954287">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E6DFE7" w14:textId="4FF4C5D9" w:rsidR="00B01328" w:rsidRPr="00DD72E5" w:rsidRDefault="002B219C" w:rsidP="00FD6746">
            <w:pPr>
              <w:spacing w:after="0" w:line="240" w:lineRule="auto"/>
              <w:rPr>
                <w:rFonts w:ascii="Times New Roman" w:eastAsia="Times New Roman" w:hAnsi="Times New Roman" w:cs="Times New Roman"/>
                <w:sz w:val="24"/>
                <w:szCs w:val="24"/>
                <w:lang w:eastAsia="en-IN"/>
              </w:rPr>
            </w:pPr>
            <w:r w:rsidRPr="00DD72E5">
              <w:rPr>
                <w:rFonts w:ascii="Times New Roman" w:eastAsia="Times New Roman" w:hAnsi="Times New Roman" w:cs="Times New Roman"/>
                <w:sz w:val="24"/>
                <w:szCs w:val="24"/>
                <w:lang w:eastAsia="en-IN"/>
              </w:rPr>
              <w:t xml:space="preserve">H3: </w:t>
            </w:r>
            <w:r w:rsidR="00B01328" w:rsidRPr="00DD72E5">
              <w:rPr>
                <w:rFonts w:ascii="Times New Roman" w:eastAsia="Times New Roman" w:hAnsi="Times New Roman" w:cs="Times New Roman"/>
                <w:sz w:val="24"/>
                <w:szCs w:val="24"/>
                <w:lang w:eastAsia="en-IN"/>
              </w:rPr>
              <w:t xml:space="preserve">Social Influence -&gt; Adoption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2863FA" w14:textId="4CD551CA" w:rsidR="00B01328" w:rsidRPr="00DD72E5" w:rsidRDefault="00B01328" w:rsidP="00FD6746">
            <w:pPr>
              <w:spacing w:after="0" w:line="240" w:lineRule="auto"/>
              <w:jc w:val="center"/>
              <w:rPr>
                <w:rFonts w:ascii="Times New Roman" w:eastAsia="Times New Roman" w:hAnsi="Times New Roman" w:cs="Times New Roman"/>
                <w:sz w:val="24"/>
                <w:szCs w:val="24"/>
                <w:lang w:eastAsia="en-IN"/>
              </w:rPr>
            </w:pPr>
            <w:r w:rsidRPr="00DD72E5">
              <w:rPr>
                <w:rFonts w:ascii="Times New Roman" w:eastAsia="Times New Roman" w:hAnsi="Times New Roman" w:cs="Times New Roman"/>
                <w:sz w:val="24"/>
                <w:szCs w:val="24"/>
                <w:lang w:eastAsia="en-IN"/>
              </w:rPr>
              <w:t>0.217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905D77" w14:textId="2EAFA2DA"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0.216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5E6A95" w14:textId="23075153"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0.095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2BB37D" w14:textId="6AC7A59B" w:rsidR="00B01328" w:rsidRPr="00770396" w:rsidRDefault="00B01328" w:rsidP="00FD6746">
            <w:pPr>
              <w:spacing w:after="0" w:line="240" w:lineRule="auto"/>
              <w:jc w:val="center"/>
              <w:rPr>
                <w:rFonts w:ascii="Times New Roman" w:eastAsia="Times New Roman" w:hAnsi="Times New Roman" w:cs="Times New Roman"/>
                <w:sz w:val="24"/>
                <w:szCs w:val="24"/>
                <w:lang w:eastAsia="en-IN"/>
              </w:rPr>
            </w:pPr>
            <w:r w:rsidRPr="00770396">
              <w:rPr>
                <w:rFonts w:ascii="Times New Roman" w:eastAsia="Times New Roman" w:hAnsi="Times New Roman" w:cs="Times New Roman"/>
                <w:sz w:val="24"/>
                <w:szCs w:val="24"/>
                <w:lang w:eastAsia="en-IN"/>
              </w:rPr>
              <w:t>2.276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91A8AF" w14:textId="08291DF4" w:rsidR="00B01328" w:rsidRPr="00770396" w:rsidRDefault="00B01328" w:rsidP="00FD6746">
            <w:pPr>
              <w:spacing w:after="0" w:line="240" w:lineRule="auto"/>
              <w:jc w:val="center"/>
              <w:rPr>
                <w:rFonts w:ascii="Times New Roman" w:eastAsia="Times New Roman" w:hAnsi="Times New Roman" w:cs="Times New Roman"/>
                <w:color w:val="006400"/>
                <w:sz w:val="24"/>
                <w:szCs w:val="24"/>
                <w:lang w:eastAsia="en-IN"/>
              </w:rPr>
            </w:pPr>
            <w:r w:rsidRPr="00770396">
              <w:rPr>
                <w:rFonts w:ascii="Times New Roman" w:eastAsia="Times New Roman" w:hAnsi="Times New Roman" w:cs="Times New Roman"/>
                <w:color w:val="006400"/>
                <w:sz w:val="24"/>
                <w:szCs w:val="24"/>
                <w:lang w:eastAsia="en-IN"/>
              </w:rPr>
              <w:t>0.023</w:t>
            </w:r>
          </w:p>
        </w:tc>
      </w:tr>
    </w:tbl>
    <w:p w14:paraId="580418ED" w14:textId="77777777" w:rsidR="00CD0474" w:rsidRDefault="00CD0474" w:rsidP="00EB193A">
      <w:pPr>
        <w:tabs>
          <w:tab w:val="left" w:pos="2580"/>
        </w:tabs>
        <w:rPr>
          <w:rFonts w:ascii="Times New Roman" w:hAnsi="Times New Roman" w:cs="Times New Roman"/>
          <w:b/>
          <w:bCs/>
          <w:sz w:val="24"/>
          <w:szCs w:val="24"/>
        </w:rPr>
      </w:pPr>
    </w:p>
    <w:p w14:paraId="086E8A3A" w14:textId="4F01FFCB" w:rsidR="00EB193A" w:rsidRPr="00E6269C" w:rsidRDefault="00EB193A" w:rsidP="00E06911">
      <w:pPr>
        <w:tabs>
          <w:tab w:val="left" w:pos="2580"/>
        </w:tabs>
        <w:spacing w:line="360" w:lineRule="auto"/>
        <w:jc w:val="both"/>
        <w:rPr>
          <w:rFonts w:ascii="Times New Roman" w:hAnsi="Times New Roman" w:cs="Times New Roman"/>
          <w:sz w:val="24"/>
          <w:szCs w:val="24"/>
        </w:rPr>
      </w:pPr>
      <w:r w:rsidRPr="00E6269C">
        <w:rPr>
          <w:rFonts w:ascii="Times New Roman" w:hAnsi="Times New Roman" w:cs="Times New Roman"/>
          <w:sz w:val="24"/>
          <w:szCs w:val="24"/>
        </w:rPr>
        <w:t xml:space="preserve">Table 4 presents the results of hypothesis testing for the structural model. The findings indicate that Financial Literacy has a significant positive effect on Adoption Intention (β = 0.305, t = 3.701, p = 0.000), thereby supporting H1. This suggests that consumers with higher financial knowledge and understanding are more likely to adopt payment bank services. Similarly, Service Quality exerts a significant positive influence on Adoption Intention (β = 0.221, t = 3.071, p = 0.002), supporting H2. The result implies that consumers are more inclined to adopt payment bank services when they perceive the services as reliable, efficient, and convenient. Furthermore, Social Influence significantly and positively affects Adoption Intention (β = 0.217, t = 2.276, p = 0.023), thus supporting H3. This finding indicates that recommendations and encouragement from family members, friends, and other important individuals play a </w:t>
      </w:r>
      <w:r w:rsidRPr="00E6269C">
        <w:rPr>
          <w:rFonts w:ascii="Times New Roman" w:hAnsi="Times New Roman" w:cs="Times New Roman"/>
          <w:sz w:val="24"/>
          <w:szCs w:val="24"/>
        </w:rPr>
        <w:lastRenderedPageBreak/>
        <w:t>crucial role in shaping consumers’ intentions to adopt payment bank services. Since all path coefficients are positive, the t-values exceed the critical value of 1.96, and the p-values are below the 0.05 significance level, all three hypotheses are accepted. Among the predictors, Financial Literacy exhibits the strongest influence on Adoption Intention, followed by Service Quality and Social Influence.</w:t>
      </w:r>
    </w:p>
    <w:p w14:paraId="769C1897" w14:textId="5063AF5B" w:rsidR="00400195" w:rsidRPr="00770396" w:rsidRDefault="00400042" w:rsidP="00D67251">
      <w:pPr>
        <w:tabs>
          <w:tab w:val="left" w:pos="2580"/>
        </w:tabs>
        <w:spacing w:line="360" w:lineRule="auto"/>
        <w:jc w:val="both"/>
        <w:rPr>
          <w:rFonts w:ascii="Times New Roman" w:hAnsi="Times New Roman" w:cs="Times New Roman"/>
          <w:sz w:val="24"/>
          <w:szCs w:val="24"/>
        </w:rPr>
      </w:pPr>
      <w:r w:rsidRPr="00770396">
        <w:rPr>
          <w:rFonts w:ascii="Times New Roman" w:hAnsi="Times New Roman" w:cs="Times New Roman"/>
          <w:noProof/>
        </w:rPr>
        <w:drawing>
          <wp:inline distT="0" distB="0" distL="0" distR="0" wp14:anchorId="1B4B18D1" wp14:editId="27A6A12D">
            <wp:extent cx="5731510" cy="3269615"/>
            <wp:effectExtent l="0" t="0" r="2540" b="6985"/>
            <wp:docPr id="120987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28D4F12C" w14:textId="7B15C643" w:rsidR="000206C2" w:rsidRPr="00770396" w:rsidRDefault="000206C2" w:rsidP="000206C2">
      <w:pPr>
        <w:tabs>
          <w:tab w:val="left" w:pos="2580"/>
        </w:tabs>
        <w:jc w:val="center"/>
        <w:rPr>
          <w:rFonts w:ascii="Times New Roman" w:hAnsi="Times New Roman" w:cs="Times New Roman"/>
          <w:sz w:val="24"/>
          <w:szCs w:val="24"/>
        </w:rPr>
      </w:pPr>
      <w:r w:rsidRPr="00770396">
        <w:rPr>
          <w:rFonts w:ascii="Times New Roman" w:hAnsi="Times New Roman" w:cs="Times New Roman"/>
          <w:b/>
          <w:bCs/>
          <w:sz w:val="24"/>
          <w:szCs w:val="24"/>
        </w:rPr>
        <w:t xml:space="preserve">Figure </w:t>
      </w:r>
      <w:r w:rsidR="00361F87" w:rsidRPr="00770396">
        <w:rPr>
          <w:rFonts w:ascii="Times New Roman" w:hAnsi="Times New Roman" w:cs="Times New Roman"/>
          <w:b/>
          <w:bCs/>
          <w:sz w:val="24"/>
          <w:szCs w:val="24"/>
        </w:rPr>
        <w:t>6</w:t>
      </w:r>
      <w:r w:rsidRPr="00770396">
        <w:rPr>
          <w:rFonts w:ascii="Times New Roman" w:hAnsi="Times New Roman" w:cs="Times New Roman"/>
          <w:b/>
          <w:bCs/>
          <w:sz w:val="24"/>
          <w:szCs w:val="24"/>
        </w:rPr>
        <w:t xml:space="preserve">: Measurement and Structural Model (Outer and Inner Model) showing factor loadings and path coefficients </w:t>
      </w:r>
    </w:p>
    <w:p w14:paraId="0C34E700" w14:textId="7ADF6BA4" w:rsidR="000206C2" w:rsidRPr="00770396" w:rsidRDefault="0060177A" w:rsidP="000206C2">
      <w:pPr>
        <w:tabs>
          <w:tab w:val="left" w:pos="2580"/>
        </w:tabs>
        <w:jc w:val="center"/>
        <w:rPr>
          <w:rFonts w:ascii="Times New Roman" w:hAnsi="Times New Roman" w:cs="Times New Roman"/>
          <w:sz w:val="24"/>
          <w:szCs w:val="24"/>
        </w:rPr>
      </w:pPr>
      <w:r w:rsidRPr="00770396">
        <w:rPr>
          <w:rFonts w:ascii="Times New Roman" w:hAnsi="Times New Roman" w:cs="Times New Roman"/>
          <w:noProof/>
        </w:rPr>
        <w:drawing>
          <wp:inline distT="0" distB="0" distL="0" distR="0" wp14:anchorId="68316AC3" wp14:editId="2BC6810E">
            <wp:extent cx="5731510" cy="3269615"/>
            <wp:effectExtent l="0" t="0" r="2540" b="6985"/>
            <wp:docPr id="1126057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648E9F73" w14:textId="0C2E181C" w:rsidR="000206C2" w:rsidRPr="00770396" w:rsidRDefault="000206C2" w:rsidP="000206C2">
      <w:pPr>
        <w:tabs>
          <w:tab w:val="left" w:pos="2580"/>
        </w:tabs>
        <w:jc w:val="center"/>
        <w:rPr>
          <w:rFonts w:ascii="Times New Roman" w:hAnsi="Times New Roman" w:cs="Times New Roman"/>
          <w:b/>
          <w:bCs/>
          <w:sz w:val="24"/>
          <w:szCs w:val="24"/>
        </w:rPr>
      </w:pPr>
      <w:r w:rsidRPr="00770396">
        <w:rPr>
          <w:rFonts w:ascii="Times New Roman" w:hAnsi="Times New Roman" w:cs="Times New Roman"/>
          <w:b/>
          <w:bCs/>
          <w:sz w:val="24"/>
          <w:szCs w:val="24"/>
        </w:rPr>
        <w:lastRenderedPageBreak/>
        <w:t xml:space="preserve">Figure </w:t>
      </w:r>
      <w:r w:rsidR="00361F87" w:rsidRPr="00770396">
        <w:rPr>
          <w:rFonts w:ascii="Times New Roman" w:hAnsi="Times New Roman" w:cs="Times New Roman"/>
          <w:b/>
          <w:bCs/>
          <w:sz w:val="24"/>
          <w:szCs w:val="24"/>
        </w:rPr>
        <w:t>7</w:t>
      </w:r>
      <w:r w:rsidRPr="00770396">
        <w:rPr>
          <w:rFonts w:ascii="Times New Roman" w:hAnsi="Times New Roman" w:cs="Times New Roman"/>
          <w:b/>
          <w:bCs/>
          <w:sz w:val="24"/>
          <w:szCs w:val="24"/>
        </w:rPr>
        <w:t xml:space="preserve">: Measurement and Structural Model (Outer and Inner Model) showing factor loadings, t-values, and path coefficients </w:t>
      </w:r>
    </w:p>
    <w:p w14:paraId="03BB444F" w14:textId="323EFE12" w:rsidR="006F5EC1" w:rsidRPr="00770396" w:rsidRDefault="00160A46" w:rsidP="000206C2">
      <w:pPr>
        <w:tabs>
          <w:tab w:val="left" w:pos="2580"/>
        </w:tabs>
        <w:jc w:val="center"/>
        <w:rPr>
          <w:rFonts w:ascii="Times New Roman" w:hAnsi="Times New Roman" w:cs="Times New Roman"/>
          <w:b/>
          <w:bCs/>
          <w:sz w:val="24"/>
          <w:szCs w:val="24"/>
        </w:rPr>
      </w:pPr>
      <w:r w:rsidRPr="00770396">
        <w:rPr>
          <w:rFonts w:ascii="Times New Roman" w:hAnsi="Times New Roman" w:cs="Times New Roman"/>
          <w:noProof/>
        </w:rPr>
        <w:drawing>
          <wp:inline distT="0" distB="0" distL="0" distR="0" wp14:anchorId="35A5C976" wp14:editId="675844A2">
            <wp:extent cx="5731510" cy="3515360"/>
            <wp:effectExtent l="0" t="0" r="2540" b="8890"/>
            <wp:docPr id="135224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noFill/>
                    </a:ln>
                  </pic:spPr>
                </pic:pic>
              </a:graphicData>
            </a:graphic>
          </wp:inline>
        </w:drawing>
      </w:r>
    </w:p>
    <w:p w14:paraId="4E87DE4F" w14:textId="36257DBF" w:rsidR="000206C2" w:rsidRPr="00770396" w:rsidRDefault="000206C2" w:rsidP="000206C2">
      <w:pPr>
        <w:jc w:val="center"/>
        <w:rPr>
          <w:rFonts w:ascii="Times New Roman" w:hAnsi="Times New Roman" w:cs="Times New Roman"/>
          <w:b/>
          <w:bCs/>
          <w:sz w:val="24"/>
          <w:szCs w:val="24"/>
        </w:rPr>
      </w:pPr>
      <w:r w:rsidRPr="00770396">
        <w:rPr>
          <w:rFonts w:ascii="Times New Roman" w:hAnsi="Times New Roman" w:cs="Times New Roman"/>
          <w:b/>
          <w:bCs/>
          <w:sz w:val="24"/>
          <w:szCs w:val="24"/>
        </w:rPr>
        <w:t xml:space="preserve">Figure </w:t>
      </w:r>
      <w:r w:rsidR="00C32C93" w:rsidRPr="00770396">
        <w:rPr>
          <w:rFonts w:ascii="Times New Roman" w:hAnsi="Times New Roman" w:cs="Times New Roman"/>
          <w:b/>
          <w:bCs/>
          <w:sz w:val="24"/>
          <w:szCs w:val="24"/>
        </w:rPr>
        <w:t>8</w:t>
      </w:r>
      <w:r w:rsidRPr="00770396">
        <w:rPr>
          <w:rFonts w:ascii="Times New Roman" w:hAnsi="Times New Roman" w:cs="Times New Roman"/>
          <w:b/>
          <w:bCs/>
          <w:sz w:val="24"/>
          <w:szCs w:val="24"/>
        </w:rPr>
        <w:t xml:space="preserve">: Structural Model (Inner Model) showing path coefficients and t-values </w:t>
      </w:r>
    </w:p>
    <w:p w14:paraId="1A04E9E3" w14:textId="77777777" w:rsidR="00993A69" w:rsidRPr="00770396" w:rsidRDefault="00993A69" w:rsidP="000206C2">
      <w:pPr>
        <w:jc w:val="center"/>
        <w:rPr>
          <w:rFonts w:ascii="Times New Roman" w:hAnsi="Times New Roman" w:cs="Times New Roman"/>
          <w:b/>
          <w:bCs/>
          <w:sz w:val="24"/>
          <w:szCs w:val="24"/>
        </w:rPr>
      </w:pPr>
    </w:p>
    <w:p w14:paraId="50474ECF" w14:textId="4DD251CF" w:rsidR="00993A69" w:rsidRPr="00770396" w:rsidRDefault="00A6293E" w:rsidP="000206C2">
      <w:pPr>
        <w:jc w:val="center"/>
        <w:rPr>
          <w:rFonts w:ascii="Times New Roman" w:hAnsi="Times New Roman" w:cs="Times New Roman"/>
          <w:b/>
          <w:bCs/>
          <w:sz w:val="24"/>
          <w:szCs w:val="24"/>
        </w:rPr>
      </w:pPr>
      <w:r w:rsidRPr="00770396">
        <w:rPr>
          <w:rFonts w:ascii="Times New Roman" w:hAnsi="Times New Roman" w:cs="Times New Roman"/>
          <w:noProof/>
        </w:rPr>
        <w:drawing>
          <wp:inline distT="0" distB="0" distL="0" distR="0" wp14:anchorId="18993EA1" wp14:editId="3016110D">
            <wp:extent cx="5731510" cy="3515360"/>
            <wp:effectExtent l="0" t="0" r="2540" b="8890"/>
            <wp:docPr id="24929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noFill/>
                    </a:ln>
                  </pic:spPr>
                </pic:pic>
              </a:graphicData>
            </a:graphic>
          </wp:inline>
        </w:drawing>
      </w:r>
    </w:p>
    <w:p w14:paraId="4D686D3E" w14:textId="0C733F9A" w:rsidR="000206C2" w:rsidRPr="00770396" w:rsidRDefault="000206C2" w:rsidP="000206C2">
      <w:pPr>
        <w:jc w:val="center"/>
        <w:rPr>
          <w:rFonts w:ascii="Times New Roman" w:hAnsi="Times New Roman" w:cs="Times New Roman"/>
          <w:b/>
          <w:bCs/>
          <w:sz w:val="24"/>
          <w:szCs w:val="24"/>
        </w:rPr>
      </w:pPr>
      <w:r w:rsidRPr="00770396">
        <w:rPr>
          <w:rFonts w:ascii="Times New Roman" w:hAnsi="Times New Roman" w:cs="Times New Roman"/>
          <w:b/>
          <w:bCs/>
          <w:sz w:val="24"/>
          <w:szCs w:val="24"/>
        </w:rPr>
        <w:t xml:space="preserve">Figure </w:t>
      </w:r>
      <w:r w:rsidR="00C32C93" w:rsidRPr="00770396">
        <w:rPr>
          <w:rFonts w:ascii="Times New Roman" w:hAnsi="Times New Roman" w:cs="Times New Roman"/>
          <w:b/>
          <w:bCs/>
          <w:sz w:val="24"/>
          <w:szCs w:val="24"/>
        </w:rPr>
        <w:t>9</w:t>
      </w:r>
      <w:r w:rsidRPr="00770396">
        <w:rPr>
          <w:rFonts w:ascii="Times New Roman" w:hAnsi="Times New Roman" w:cs="Times New Roman"/>
          <w:b/>
          <w:bCs/>
          <w:sz w:val="24"/>
          <w:szCs w:val="24"/>
        </w:rPr>
        <w:t xml:space="preserve">: Structural Model (Inner Model) showing path coefficients and significance levels </w:t>
      </w:r>
    </w:p>
    <w:p w14:paraId="6CF1B618" w14:textId="4CDB9612" w:rsidR="000206C2" w:rsidRPr="00770396" w:rsidRDefault="007F517C" w:rsidP="000206C2">
      <w:pPr>
        <w:rPr>
          <w:rFonts w:ascii="Times New Roman" w:hAnsi="Times New Roman" w:cs="Times New Roman"/>
          <w:b/>
          <w:bCs/>
          <w:sz w:val="24"/>
          <w:szCs w:val="24"/>
        </w:rPr>
      </w:pPr>
      <w:r w:rsidRPr="00770396">
        <w:rPr>
          <w:rFonts w:ascii="Times New Roman" w:hAnsi="Times New Roman" w:cs="Times New Roman"/>
          <w:b/>
          <w:bCs/>
          <w:sz w:val="24"/>
          <w:szCs w:val="24"/>
        </w:rPr>
        <w:lastRenderedPageBreak/>
        <w:t>8</w:t>
      </w:r>
      <w:r w:rsidR="000206C2" w:rsidRPr="00770396">
        <w:rPr>
          <w:rFonts w:ascii="Times New Roman" w:hAnsi="Times New Roman" w:cs="Times New Roman"/>
          <w:b/>
          <w:bCs/>
          <w:sz w:val="24"/>
          <w:szCs w:val="24"/>
        </w:rPr>
        <w:t>. Suggestions</w:t>
      </w:r>
    </w:p>
    <w:p w14:paraId="3B8AB6F1" w14:textId="26929B9D" w:rsidR="00213108" w:rsidRPr="00770396" w:rsidRDefault="004055AB" w:rsidP="00213108">
      <w:pPr>
        <w:spacing w:line="360" w:lineRule="auto"/>
        <w:jc w:val="both"/>
        <w:rPr>
          <w:rFonts w:ascii="Times New Roman" w:hAnsi="Times New Roman" w:cs="Times New Roman"/>
          <w:sz w:val="24"/>
          <w:szCs w:val="24"/>
        </w:rPr>
      </w:pPr>
      <w:r w:rsidRPr="004055AB">
        <w:rPr>
          <w:rFonts w:ascii="Times New Roman" w:hAnsi="Times New Roman" w:cs="Times New Roman"/>
          <w:sz w:val="24"/>
          <w:szCs w:val="24"/>
        </w:rPr>
        <w:t xml:space="preserve">Based on the findings of the study, several suggestions can be made to enhance consumers’ adoption intention toward payment bank services in </w:t>
      </w:r>
      <w:proofErr w:type="spellStart"/>
      <w:r w:rsidRPr="004055AB">
        <w:rPr>
          <w:rFonts w:ascii="Times New Roman" w:hAnsi="Times New Roman" w:cs="Times New Roman"/>
          <w:sz w:val="24"/>
          <w:szCs w:val="24"/>
        </w:rPr>
        <w:t>Kolhan</w:t>
      </w:r>
      <w:proofErr w:type="spellEnd"/>
      <w:r w:rsidRPr="004055AB">
        <w:rPr>
          <w:rFonts w:ascii="Times New Roman" w:hAnsi="Times New Roman" w:cs="Times New Roman"/>
          <w:sz w:val="24"/>
          <w:szCs w:val="24"/>
        </w:rPr>
        <w:t xml:space="preserve"> Division, Jharkhand. First, payment banks and policymakers should focus on improving financial literacy among consumers through awareness campaigns, financial education programs, and digital literacy initiatives, as financial literacy was found to have the strongest influence on adoption intention. Such efforts can help consumers better understand the benefits, features, and usage of payment bank services. Second, payment banks should continuously improve service quality by ensuring reliable transactions, user-friendly interfaces, efficient customer support, and secure digital platforms. Enhancing service quality can increase consumer confidence and encourage greater adoption of payment bank services. Third, payment banks should leverage social influence by promoting positive word-of-mouth communication, referral programs, and community-based awareness initiatives. Collaborating with local influencers, community leaders, and existing users can help build trust and encourage potential consumers to adopt payment bank services. Additionally, payment banks should strengthen their outreach efforts in semi-urban and rural areas by conducting demonstrations and awareness programs to familiarize consumers with digital financial services. Finally, policymakers and financial institutions should work together to create an enabling environment that supports digital financial inclusion and promotes the widespread adoption of payment bank services across different population segments.</w:t>
      </w:r>
    </w:p>
    <w:p w14:paraId="2BF3643E" w14:textId="2B000D77" w:rsidR="000206C2" w:rsidRPr="00770396" w:rsidRDefault="00BB72A9" w:rsidP="000206C2">
      <w:pPr>
        <w:spacing w:line="360" w:lineRule="auto"/>
        <w:jc w:val="both"/>
        <w:rPr>
          <w:rFonts w:ascii="Times New Roman" w:hAnsi="Times New Roman" w:cs="Times New Roman"/>
          <w:b/>
          <w:bCs/>
          <w:sz w:val="24"/>
          <w:szCs w:val="24"/>
        </w:rPr>
      </w:pPr>
      <w:r w:rsidRPr="00770396">
        <w:rPr>
          <w:rFonts w:ascii="Times New Roman" w:hAnsi="Times New Roman" w:cs="Times New Roman"/>
          <w:b/>
          <w:bCs/>
          <w:sz w:val="24"/>
          <w:szCs w:val="24"/>
        </w:rPr>
        <w:t>9</w:t>
      </w:r>
      <w:r w:rsidR="000206C2" w:rsidRPr="00770396">
        <w:rPr>
          <w:rFonts w:ascii="Times New Roman" w:hAnsi="Times New Roman" w:cs="Times New Roman"/>
          <w:b/>
          <w:bCs/>
          <w:sz w:val="24"/>
          <w:szCs w:val="24"/>
        </w:rPr>
        <w:t xml:space="preserve">. Conclusion </w:t>
      </w:r>
    </w:p>
    <w:p w14:paraId="111479DE" w14:textId="01C7EBA0" w:rsidR="003C6FB6" w:rsidRPr="00770396" w:rsidRDefault="008D418A" w:rsidP="00DF5E50">
      <w:pPr>
        <w:spacing w:line="360" w:lineRule="auto"/>
        <w:jc w:val="both"/>
        <w:rPr>
          <w:rFonts w:ascii="Times New Roman" w:hAnsi="Times New Roman" w:cs="Times New Roman"/>
          <w:sz w:val="24"/>
          <w:szCs w:val="24"/>
        </w:rPr>
      </w:pPr>
      <w:r w:rsidRPr="008D418A">
        <w:rPr>
          <w:rFonts w:ascii="Times New Roman" w:hAnsi="Times New Roman" w:cs="Times New Roman"/>
          <w:sz w:val="24"/>
          <w:szCs w:val="24"/>
        </w:rPr>
        <w:t xml:space="preserve">The present study examined the impact of Financial Literacy, Service Quality, and Social Influence on consumers’ Adoption Intention toward payment bank services in </w:t>
      </w:r>
      <w:proofErr w:type="spellStart"/>
      <w:r w:rsidRPr="008D418A">
        <w:rPr>
          <w:rFonts w:ascii="Times New Roman" w:hAnsi="Times New Roman" w:cs="Times New Roman"/>
          <w:sz w:val="24"/>
          <w:szCs w:val="24"/>
        </w:rPr>
        <w:t>Kolhan</w:t>
      </w:r>
      <w:proofErr w:type="spellEnd"/>
      <w:r w:rsidRPr="008D418A">
        <w:rPr>
          <w:rFonts w:ascii="Times New Roman" w:hAnsi="Times New Roman" w:cs="Times New Roman"/>
          <w:sz w:val="24"/>
          <w:szCs w:val="24"/>
        </w:rPr>
        <w:t xml:space="preserve"> Division, Jharkhand. The findings revealed that all three factors significantly and positively influence consumers’ intention to adopt payment bank services. Among the predictors, Financial Literacy emerged as the most influential factor, indicating that consumers with greater financial knowledge and awareness are more likely to adopt payment bank services. Service Quality was also found to significantly affect adoption intention, highlighting the importance of reliable, efficient, and user-friendly services in encouraging consumers to embrace digital banking solutions. Furthermore, Social Influence demonstrated a significant positive effect, suggesting that recommendations and encouragement from family members, friends, and social networks play an important role in shaping consumers’ adoption decisions. The study confirms that enhancing financial literacy, improving service quality, and leveraging </w:t>
      </w:r>
      <w:r w:rsidRPr="008D418A">
        <w:rPr>
          <w:rFonts w:ascii="Times New Roman" w:hAnsi="Times New Roman" w:cs="Times New Roman"/>
          <w:sz w:val="24"/>
          <w:szCs w:val="24"/>
        </w:rPr>
        <w:lastRenderedPageBreak/>
        <w:t>social influence can contribute significantly to increasing the adoption of payment bank services. These findings provide valuable insights for payment banks, financial institutions, and policymakers seeking to strengthen digital financial inclusion and promote the wider use of payment bank services in semi-urban and rural regions. Overall, the study contributes to the growing literature on digital financial service adoption and offers practical implications for improving consumer acceptance of payment bank services in emerging markets.</w:t>
      </w:r>
    </w:p>
    <w:p w14:paraId="4E3C7553" w14:textId="791F2E49" w:rsidR="000206C2" w:rsidRPr="00770396" w:rsidRDefault="000206C2" w:rsidP="000206C2">
      <w:pPr>
        <w:rPr>
          <w:rFonts w:ascii="Times New Roman" w:hAnsi="Times New Roman" w:cs="Times New Roman"/>
          <w:b/>
          <w:bCs/>
          <w:sz w:val="24"/>
          <w:szCs w:val="24"/>
        </w:rPr>
      </w:pPr>
      <w:r w:rsidRPr="00770396">
        <w:rPr>
          <w:rFonts w:ascii="Times New Roman" w:hAnsi="Times New Roman" w:cs="Times New Roman"/>
          <w:b/>
          <w:bCs/>
          <w:sz w:val="24"/>
          <w:szCs w:val="24"/>
        </w:rPr>
        <w:t xml:space="preserve">References </w:t>
      </w:r>
    </w:p>
    <w:p w14:paraId="259AADCE" w14:textId="77777777" w:rsidR="00D63D01" w:rsidRPr="00770396" w:rsidRDefault="00D63D01" w:rsidP="00FE3FE3">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Agarwal, S., Barua, S. K., Jacob, J., &amp; Varma, J. R. (2019). Financial literacy and financial planning: Evidence from India. </w:t>
      </w:r>
      <w:r w:rsidRPr="00770396">
        <w:rPr>
          <w:rFonts w:ascii="Times New Roman" w:hAnsi="Times New Roman" w:cs="Times New Roman"/>
          <w:i/>
          <w:iCs/>
          <w:sz w:val="24"/>
          <w:szCs w:val="24"/>
        </w:rPr>
        <w:t xml:space="preserve">Journal of Financial </w:t>
      </w:r>
      <w:proofErr w:type="spellStart"/>
      <w:r w:rsidRPr="00770396">
        <w:rPr>
          <w:rFonts w:ascii="Times New Roman" w:hAnsi="Times New Roman" w:cs="Times New Roman"/>
          <w:i/>
          <w:iCs/>
          <w:sz w:val="24"/>
          <w:szCs w:val="24"/>
        </w:rPr>
        <w:t>Counseling</w:t>
      </w:r>
      <w:proofErr w:type="spellEnd"/>
      <w:r w:rsidRPr="00770396">
        <w:rPr>
          <w:rFonts w:ascii="Times New Roman" w:hAnsi="Times New Roman" w:cs="Times New Roman"/>
          <w:i/>
          <w:iCs/>
          <w:sz w:val="24"/>
          <w:szCs w:val="24"/>
        </w:rPr>
        <w:t xml:space="preserve"> and Planning, 30</w:t>
      </w:r>
      <w:r w:rsidRPr="00770396">
        <w:rPr>
          <w:rFonts w:ascii="Times New Roman" w:hAnsi="Times New Roman" w:cs="Times New Roman"/>
          <w:sz w:val="24"/>
          <w:szCs w:val="24"/>
        </w:rPr>
        <w:t xml:space="preserve">(1), 1–15. </w:t>
      </w:r>
    </w:p>
    <w:p w14:paraId="3A0A811E"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Ajzen, I. (1991). The theory of planned </w:t>
      </w:r>
      <w:proofErr w:type="spellStart"/>
      <w:r w:rsidRPr="00770396">
        <w:rPr>
          <w:rFonts w:ascii="Times New Roman" w:hAnsi="Times New Roman" w:cs="Times New Roman"/>
          <w:sz w:val="24"/>
          <w:szCs w:val="24"/>
        </w:rPr>
        <w:t>behavior</w:t>
      </w:r>
      <w:proofErr w:type="spellEnd"/>
      <w:r w:rsidRPr="00770396">
        <w:rPr>
          <w:rFonts w:ascii="Times New Roman" w:hAnsi="Times New Roman" w:cs="Times New Roman"/>
          <w:sz w:val="24"/>
          <w:szCs w:val="24"/>
        </w:rPr>
        <w:t xml:space="preserve">. </w:t>
      </w:r>
      <w:r w:rsidRPr="00770396">
        <w:rPr>
          <w:rFonts w:ascii="Times New Roman" w:hAnsi="Times New Roman" w:cs="Times New Roman"/>
          <w:i/>
          <w:iCs/>
          <w:sz w:val="24"/>
          <w:szCs w:val="24"/>
        </w:rPr>
        <w:t xml:space="preserve">Organizational </w:t>
      </w:r>
      <w:proofErr w:type="spellStart"/>
      <w:r w:rsidRPr="00770396">
        <w:rPr>
          <w:rFonts w:ascii="Times New Roman" w:hAnsi="Times New Roman" w:cs="Times New Roman"/>
          <w:i/>
          <w:iCs/>
          <w:sz w:val="24"/>
          <w:szCs w:val="24"/>
        </w:rPr>
        <w:t>Behavior</w:t>
      </w:r>
      <w:proofErr w:type="spellEnd"/>
      <w:r w:rsidRPr="00770396">
        <w:rPr>
          <w:rFonts w:ascii="Times New Roman" w:hAnsi="Times New Roman" w:cs="Times New Roman"/>
          <w:i/>
          <w:iCs/>
          <w:sz w:val="24"/>
          <w:szCs w:val="24"/>
        </w:rPr>
        <w:t xml:space="preserve"> and Human Decision Processes, 50</w:t>
      </w:r>
      <w:r w:rsidRPr="00770396">
        <w:rPr>
          <w:rFonts w:ascii="Times New Roman" w:hAnsi="Times New Roman" w:cs="Times New Roman"/>
          <w:sz w:val="24"/>
          <w:szCs w:val="24"/>
        </w:rPr>
        <w:t xml:space="preserve">(2), 179–211. </w:t>
      </w:r>
    </w:p>
    <w:p w14:paraId="4008281A" w14:textId="77777777" w:rsidR="00D63D01" w:rsidRPr="00770396" w:rsidRDefault="00D63D01" w:rsidP="00495BD0">
      <w:pPr>
        <w:spacing w:line="360" w:lineRule="auto"/>
        <w:jc w:val="both"/>
        <w:rPr>
          <w:rFonts w:ascii="Times New Roman" w:hAnsi="Times New Roman" w:cs="Times New Roman"/>
          <w:sz w:val="24"/>
          <w:szCs w:val="24"/>
        </w:rPr>
      </w:pPr>
      <w:proofErr w:type="spellStart"/>
      <w:r w:rsidRPr="00770396">
        <w:rPr>
          <w:rFonts w:ascii="Times New Roman" w:hAnsi="Times New Roman" w:cs="Times New Roman"/>
          <w:sz w:val="24"/>
          <w:szCs w:val="24"/>
        </w:rPr>
        <w:t>Alalwan</w:t>
      </w:r>
      <w:proofErr w:type="spellEnd"/>
      <w:r w:rsidRPr="00770396">
        <w:rPr>
          <w:rFonts w:ascii="Times New Roman" w:hAnsi="Times New Roman" w:cs="Times New Roman"/>
          <w:sz w:val="24"/>
          <w:szCs w:val="24"/>
        </w:rPr>
        <w:t xml:space="preserve">, A. A., Dwivedi, Y. K., Rana, N. P., &amp; Williams, M. D. (2017). Examining factors influencing Jordanian customers’ intentions and adoption of internet banking. </w:t>
      </w:r>
      <w:r w:rsidRPr="00770396">
        <w:rPr>
          <w:rFonts w:ascii="Times New Roman" w:hAnsi="Times New Roman" w:cs="Times New Roman"/>
          <w:i/>
          <w:iCs/>
          <w:sz w:val="24"/>
          <w:szCs w:val="24"/>
        </w:rPr>
        <w:t>Journal of Retailing and Consumer Services, 34</w:t>
      </w:r>
      <w:r w:rsidRPr="00770396">
        <w:rPr>
          <w:rFonts w:ascii="Times New Roman" w:hAnsi="Times New Roman" w:cs="Times New Roman"/>
          <w:sz w:val="24"/>
          <w:szCs w:val="24"/>
        </w:rPr>
        <w:t xml:space="preserve">, 154–165. </w:t>
      </w:r>
    </w:p>
    <w:p w14:paraId="0EE6FF2C"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Al-Jabri, I. M., &amp; Sohail, M. S. (2012). Mobile banking adoption: Application of diffusion of innovation theory. </w:t>
      </w:r>
      <w:r w:rsidRPr="00770396">
        <w:rPr>
          <w:rFonts w:ascii="Times New Roman" w:hAnsi="Times New Roman" w:cs="Times New Roman"/>
          <w:i/>
          <w:iCs/>
          <w:sz w:val="24"/>
          <w:szCs w:val="24"/>
        </w:rPr>
        <w:t>Journal of Electronic Commerce Research, 13</w:t>
      </w:r>
      <w:r w:rsidRPr="00770396">
        <w:rPr>
          <w:rFonts w:ascii="Times New Roman" w:hAnsi="Times New Roman" w:cs="Times New Roman"/>
          <w:sz w:val="24"/>
          <w:szCs w:val="24"/>
        </w:rPr>
        <w:t xml:space="preserve">(4), 379–391. </w:t>
      </w:r>
    </w:p>
    <w:p w14:paraId="4ED7EB63"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Baptista, G., &amp; Oliveira, T. (2015). Understanding mobile banking: The unified theory of acceptance and use of technology combined with cultural moderators. </w:t>
      </w:r>
      <w:r w:rsidRPr="00770396">
        <w:rPr>
          <w:rFonts w:ascii="Times New Roman" w:hAnsi="Times New Roman" w:cs="Times New Roman"/>
          <w:i/>
          <w:iCs/>
          <w:sz w:val="24"/>
          <w:szCs w:val="24"/>
        </w:rPr>
        <w:t xml:space="preserve">Computers in Human </w:t>
      </w:r>
      <w:proofErr w:type="spellStart"/>
      <w:r w:rsidRPr="00770396">
        <w:rPr>
          <w:rFonts w:ascii="Times New Roman" w:hAnsi="Times New Roman" w:cs="Times New Roman"/>
          <w:i/>
          <w:iCs/>
          <w:sz w:val="24"/>
          <w:szCs w:val="24"/>
        </w:rPr>
        <w:t>Behavior</w:t>
      </w:r>
      <w:proofErr w:type="spellEnd"/>
      <w:r w:rsidRPr="00770396">
        <w:rPr>
          <w:rFonts w:ascii="Times New Roman" w:hAnsi="Times New Roman" w:cs="Times New Roman"/>
          <w:i/>
          <w:iCs/>
          <w:sz w:val="24"/>
          <w:szCs w:val="24"/>
        </w:rPr>
        <w:t>, 50</w:t>
      </w:r>
      <w:r w:rsidRPr="00770396">
        <w:rPr>
          <w:rFonts w:ascii="Times New Roman" w:hAnsi="Times New Roman" w:cs="Times New Roman"/>
          <w:sz w:val="24"/>
          <w:szCs w:val="24"/>
        </w:rPr>
        <w:t xml:space="preserve">, 418–430. </w:t>
      </w:r>
    </w:p>
    <w:p w14:paraId="4C6E1BD7" w14:textId="77777777" w:rsidR="00D63D01" w:rsidRPr="00770396" w:rsidRDefault="00D63D01" w:rsidP="0035324C">
      <w:pPr>
        <w:spacing w:line="360" w:lineRule="auto"/>
        <w:jc w:val="both"/>
        <w:rPr>
          <w:rFonts w:ascii="Times New Roman" w:hAnsi="Times New Roman" w:cs="Times New Roman"/>
          <w:sz w:val="24"/>
          <w:szCs w:val="24"/>
        </w:rPr>
      </w:pPr>
      <w:proofErr w:type="spellStart"/>
      <w:r w:rsidRPr="00770396">
        <w:rPr>
          <w:rFonts w:ascii="Times New Roman" w:hAnsi="Times New Roman" w:cs="Times New Roman"/>
          <w:sz w:val="24"/>
          <w:szCs w:val="24"/>
        </w:rPr>
        <w:t>Chaouali</w:t>
      </w:r>
      <w:proofErr w:type="spellEnd"/>
      <w:r w:rsidRPr="00770396">
        <w:rPr>
          <w:rFonts w:ascii="Times New Roman" w:hAnsi="Times New Roman" w:cs="Times New Roman"/>
          <w:sz w:val="24"/>
          <w:szCs w:val="24"/>
        </w:rPr>
        <w:t xml:space="preserve">, W., Yahia, I. B., &amp; </w:t>
      </w:r>
      <w:proofErr w:type="spellStart"/>
      <w:r w:rsidRPr="00770396">
        <w:rPr>
          <w:rFonts w:ascii="Times New Roman" w:hAnsi="Times New Roman" w:cs="Times New Roman"/>
          <w:sz w:val="24"/>
          <w:szCs w:val="24"/>
        </w:rPr>
        <w:t>Souiden</w:t>
      </w:r>
      <w:proofErr w:type="spellEnd"/>
      <w:r w:rsidRPr="00770396">
        <w:rPr>
          <w:rFonts w:ascii="Times New Roman" w:hAnsi="Times New Roman" w:cs="Times New Roman"/>
          <w:sz w:val="24"/>
          <w:szCs w:val="24"/>
        </w:rPr>
        <w:t xml:space="preserve">, N. (2017). The interplay of counter-conformity motivation, social influence, and trust in customers’ intention to adopt internet banking services. </w:t>
      </w:r>
      <w:r w:rsidRPr="00770396">
        <w:rPr>
          <w:rFonts w:ascii="Times New Roman" w:hAnsi="Times New Roman" w:cs="Times New Roman"/>
          <w:i/>
          <w:iCs/>
          <w:sz w:val="24"/>
          <w:szCs w:val="24"/>
        </w:rPr>
        <w:t>Journal of Retailing and Consumer Services, 38</w:t>
      </w:r>
      <w:r w:rsidRPr="00770396">
        <w:rPr>
          <w:rFonts w:ascii="Times New Roman" w:hAnsi="Times New Roman" w:cs="Times New Roman"/>
          <w:sz w:val="24"/>
          <w:szCs w:val="24"/>
        </w:rPr>
        <w:t xml:space="preserve">, 43–54. </w:t>
      </w:r>
    </w:p>
    <w:p w14:paraId="372EF002" w14:textId="77777777" w:rsidR="00D63D01" w:rsidRPr="00770396" w:rsidRDefault="00D63D01" w:rsidP="00FE3FE3">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Chawla, D., &amp; Joshi, H. (2020). The moderating role of gender and age in the adoption of mobile wallet. </w:t>
      </w:r>
      <w:r w:rsidRPr="00770396">
        <w:rPr>
          <w:rFonts w:ascii="Times New Roman" w:hAnsi="Times New Roman" w:cs="Times New Roman"/>
          <w:i/>
          <w:iCs/>
          <w:sz w:val="24"/>
          <w:szCs w:val="24"/>
        </w:rPr>
        <w:t>Foresight, 22</w:t>
      </w:r>
      <w:r w:rsidRPr="00770396">
        <w:rPr>
          <w:rFonts w:ascii="Times New Roman" w:hAnsi="Times New Roman" w:cs="Times New Roman"/>
          <w:sz w:val="24"/>
          <w:szCs w:val="24"/>
        </w:rPr>
        <w:t xml:space="preserve">(4), 483–504. </w:t>
      </w:r>
    </w:p>
    <w:p w14:paraId="1EBA3B98" w14:textId="77777777" w:rsidR="00D63D01" w:rsidRPr="00770396" w:rsidRDefault="00D63D01" w:rsidP="00FE3FE3">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Gupta, K. P., </w:t>
      </w:r>
      <w:proofErr w:type="spellStart"/>
      <w:r w:rsidRPr="00770396">
        <w:rPr>
          <w:rFonts w:ascii="Times New Roman" w:hAnsi="Times New Roman" w:cs="Times New Roman"/>
          <w:sz w:val="24"/>
          <w:szCs w:val="24"/>
        </w:rPr>
        <w:t>Manrai</w:t>
      </w:r>
      <w:proofErr w:type="spellEnd"/>
      <w:r w:rsidRPr="00770396">
        <w:rPr>
          <w:rFonts w:ascii="Times New Roman" w:hAnsi="Times New Roman" w:cs="Times New Roman"/>
          <w:sz w:val="24"/>
          <w:szCs w:val="24"/>
        </w:rPr>
        <w:t xml:space="preserve">, R., &amp; Goel, U. (2019). Factors influencing adoption of payments banks by Indian customers: Extending UTAUT with perceived credibility. </w:t>
      </w:r>
      <w:r w:rsidRPr="00770396">
        <w:rPr>
          <w:rFonts w:ascii="Times New Roman" w:hAnsi="Times New Roman" w:cs="Times New Roman"/>
          <w:i/>
          <w:iCs/>
          <w:sz w:val="24"/>
          <w:szCs w:val="24"/>
        </w:rPr>
        <w:t>Journal of Asia Business Studies, 13</w:t>
      </w:r>
      <w:r w:rsidRPr="00770396">
        <w:rPr>
          <w:rFonts w:ascii="Times New Roman" w:hAnsi="Times New Roman" w:cs="Times New Roman"/>
          <w:sz w:val="24"/>
          <w:szCs w:val="24"/>
        </w:rPr>
        <w:t xml:space="preserve">(2), 173–195. </w:t>
      </w:r>
    </w:p>
    <w:p w14:paraId="698CF8E7" w14:textId="77777777" w:rsidR="00D63D01" w:rsidRPr="00770396" w:rsidRDefault="00D63D01" w:rsidP="0035324C">
      <w:pPr>
        <w:spacing w:line="360" w:lineRule="auto"/>
        <w:jc w:val="both"/>
        <w:rPr>
          <w:rFonts w:ascii="Times New Roman" w:hAnsi="Times New Roman" w:cs="Times New Roman"/>
          <w:sz w:val="24"/>
          <w:szCs w:val="24"/>
        </w:rPr>
      </w:pPr>
      <w:r w:rsidRPr="009B0CFA">
        <w:rPr>
          <w:rFonts w:ascii="Times New Roman" w:hAnsi="Times New Roman" w:cs="Times New Roman"/>
          <w:sz w:val="24"/>
          <w:szCs w:val="24"/>
        </w:rPr>
        <w:t xml:space="preserve">Hair, J. F., Hult, G. T. M., Ringle, C. M., &amp; Sarstedt, M. (2022). </w:t>
      </w:r>
      <w:r w:rsidRPr="009B0CFA">
        <w:rPr>
          <w:rFonts w:ascii="Times New Roman" w:hAnsi="Times New Roman" w:cs="Times New Roman"/>
          <w:i/>
          <w:iCs/>
          <w:sz w:val="24"/>
          <w:szCs w:val="24"/>
        </w:rPr>
        <w:t xml:space="preserve">A primer on partial least squares structural equation </w:t>
      </w:r>
      <w:proofErr w:type="spellStart"/>
      <w:r w:rsidRPr="009B0CFA">
        <w:rPr>
          <w:rFonts w:ascii="Times New Roman" w:hAnsi="Times New Roman" w:cs="Times New Roman"/>
          <w:i/>
          <w:iCs/>
          <w:sz w:val="24"/>
          <w:szCs w:val="24"/>
        </w:rPr>
        <w:t>modeling</w:t>
      </w:r>
      <w:proofErr w:type="spellEnd"/>
      <w:r w:rsidRPr="009B0CFA">
        <w:rPr>
          <w:rFonts w:ascii="Times New Roman" w:hAnsi="Times New Roman" w:cs="Times New Roman"/>
          <w:i/>
          <w:iCs/>
          <w:sz w:val="24"/>
          <w:szCs w:val="24"/>
        </w:rPr>
        <w:t xml:space="preserve"> (PLS-SEM)</w:t>
      </w:r>
      <w:r w:rsidRPr="009B0CFA">
        <w:rPr>
          <w:rFonts w:ascii="Times New Roman" w:hAnsi="Times New Roman" w:cs="Times New Roman"/>
          <w:sz w:val="24"/>
          <w:szCs w:val="24"/>
        </w:rPr>
        <w:t xml:space="preserve"> (3rd ed.). Sage Publications.</w:t>
      </w:r>
    </w:p>
    <w:p w14:paraId="6035A915" w14:textId="77777777" w:rsidR="00D63D01" w:rsidRPr="00770396" w:rsidRDefault="00D63D01" w:rsidP="00FE3FE3">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lastRenderedPageBreak/>
        <w:t xml:space="preserve">Kesharwani, A., &amp; Singh Bisht, S. (2012). The impact of trust and perceived risk on internet banking adoption in India. </w:t>
      </w:r>
      <w:r w:rsidRPr="00770396">
        <w:rPr>
          <w:rFonts w:ascii="Times New Roman" w:hAnsi="Times New Roman" w:cs="Times New Roman"/>
          <w:i/>
          <w:iCs/>
          <w:sz w:val="24"/>
          <w:szCs w:val="24"/>
        </w:rPr>
        <w:t>International Journal of Bank Marketing, 30</w:t>
      </w:r>
      <w:r w:rsidRPr="00770396">
        <w:rPr>
          <w:rFonts w:ascii="Times New Roman" w:hAnsi="Times New Roman" w:cs="Times New Roman"/>
          <w:sz w:val="24"/>
          <w:szCs w:val="24"/>
        </w:rPr>
        <w:t xml:space="preserve">(4), 303–322. </w:t>
      </w:r>
    </w:p>
    <w:p w14:paraId="05A46B71"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Lusardi, A., &amp; Mitchell, O. S. (2014). The economic importance of financial literacy: Theory and evidence. </w:t>
      </w:r>
      <w:r w:rsidRPr="00770396">
        <w:rPr>
          <w:rFonts w:ascii="Times New Roman" w:hAnsi="Times New Roman" w:cs="Times New Roman"/>
          <w:i/>
          <w:iCs/>
          <w:sz w:val="24"/>
          <w:szCs w:val="24"/>
        </w:rPr>
        <w:t>Journal of Economic Literature, 52</w:t>
      </w:r>
      <w:r w:rsidRPr="00770396">
        <w:rPr>
          <w:rFonts w:ascii="Times New Roman" w:hAnsi="Times New Roman" w:cs="Times New Roman"/>
          <w:sz w:val="24"/>
          <w:szCs w:val="24"/>
        </w:rPr>
        <w:t xml:space="preserve">(1), 5–44. </w:t>
      </w:r>
    </w:p>
    <w:p w14:paraId="7F307EEC"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Malaquias, R. F., &amp; Hwang, Y. (2016). An empirical study on trust and mobile banking user </w:t>
      </w:r>
      <w:proofErr w:type="spellStart"/>
      <w:r w:rsidRPr="00770396">
        <w:rPr>
          <w:rFonts w:ascii="Times New Roman" w:hAnsi="Times New Roman" w:cs="Times New Roman"/>
          <w:sz w:val="24"/>
          <w:szCs w:val="24"/>
        </w:rPr>
        <w:t>behavior</w:t>
      </w:r>
      <w:proofErr w:type="spellEnd"/>
      <w:r w:rsidRPr="00770396">
        <w:rPr>
          <w:rFonts w:ascii="Times New Roman" w:hAnsi="Times New Roman" w:cs="Times New Roman"/>
          <w:sz w:val="24"/>
          <w:szCs w:val="24"/>
        </w:rPr>
        <w:t xml:space="preserve">. </w:t>
      </w:r>
      <w:r w:rsidRPr="00770396">
        <w:rPr>
          <w:rFonts w:ascii="Times New Roman" w:hAnsi="Times New Roman" w:cs="Times New Roman"/>
          <w:i/>
          <w:iCs/>
          <w:sz w:val="24"/>
          <w:szCs w:val="24"/>
        </w:rPr>
        <w:t>International Journal of Bank Marketing, 34</w:t>
      </w:r>
      <w:r w:rsidRPr="00770396">
        <w:rPr>
          <w:rFonts w:ascii="Times New Roman" w:hAnsi="Times New Roman" w:cs="Times New Roman"/>
          <w:sz w:val="24"/>
          <w:szCs w:val="24"/>
        </w:rPr>
        <w:t xml:space="preserve">(4), 541–561. </w:t>
      </w:r>
    </w:p>
    <w:p w14:paraId="028214CE"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Martins, C., Oliveira, T., &amp; </w:t>
      </w:r>
      <w:proofErr w:type="spellStart"/>
      <w:r w:rsidRPr="00770396">
        <w:rPr>
          <w:rFonts w:ascii="Times New Roman" w:hAnsi="Times New Roman" w:cs="Times New Roman"/>
          <w:sz w:val="24"/>
          <w:szCs w:val="24"/>
        </w:rPr>
        <w:t>Popovič</w:t>
      </w:r>
      <w:proofErr w:type="spellEnd"/>
      <w:r w:rsidRPr="00770396">
        <w:rPr>
          <w:rFonts w:ascii="Times New Roman" w:hAnsi="Times New Roman" w:cs="Times New Roman"/>
          <w:sz w:val="24"/>
          <w:szCs w:val="24"/>
        </w:rPr>
        <w:t xml:space="preserve">, A. (2014). Understanding the internet banking adoption: A unified theory of acceptance and use of technology and perceived risk application. </w:t>
      </w:r>
      <w:r w:rsidRPr="00770396">
        <w:rPr>
          <w:rFonts w:ascii="Times New Roman" w:hAnsi="Times New Roman" w:cs="Times New Roman"/>
          <w:i/>
          <w:iCs/>
          <w:sz w:val="24"/>
          <w:szCs w:val="24"/>
        </w:rPr>
        <w:t>International Journal of Information Management, 34</w:t>
      </w:r>
      <w:r w:rsidRPr="00770396">
        <w:rPr>
          <w:rFonts w:ascii="Times New Roman" w:hAnsi="Times New Roman" w:cs="Times New Roman"/>
          <w:sz w:val="24"/>
          <w:szCs w:val="24"/>
        </w:rPr>
        <w:t xml:space="preserve">(1), 1–13. </w:t>
      </w:r>
    </w:p>
    <w:p w14:paraId="5364DA0F"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Morgan, P. J., &amp; Trinh, L. Q. (2019). Determinants and impacts of financial literacy in Cambodia and Viet Nam. </w:t>
      </w:r>
      <w:r w:rsidRPr="00770396">
        <w:rPr>
          <w:rFonts w:ascii="Times New Roman" w:hAnsi="Times New Roman" w:cs="Times New Roman"/>
          <w:i/>
          <w:iCs/>
          <w:sz w:val="24"/>
          <w:szCs w:val="24"/>
        </w:rPr>
        <w:t>Journal of Risk and Financial Management, 12</w:t>
      </w:r>
      <w:r w:rsidRPr="00770396">
        <w:rPr>
          <w:rFonts w:ascii="Times New Roman" w:hAnsi="Times New Roman" w:cs="Times New Roman"/>
          <w:sz w:val="24"/>
          <w:szCs w:val="24"/>
        </w:rPr>
        <w:t xml:space="preserve">(1), 19. </w:t>
      </w:r>
    </w:p>
    <w:p w14:paraId="41AAA739"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Pandey, A. K., &amp; Gupta, S. (2026). Factors influencing payment bank service adoption and consumer </w:t>
      </w:r>
      <w:proofErr w:type="spellStart"/>
      <w:r w:rsidRPr="00770396">
        <w:rPr>
          <w:rFonts w:ascii="Times New Roman" w:hAnsi="Times New Roman" w:cs="Times New Roman"/>
          <w:sz w:val="24"/>
          <w:szCs w:val="24"/>
        </w:rPr>
        <w:t>behavior</w:t>
      </w:r>
      <w:proofErr w:type="spellEnd"/>
      <w:r w:rsidRPr="00770396">
        <w:rPr>
          <w:rFonts w:ascii="Times New Roman" w:hAnsi="Times New Roman" w:cs="Times New Roman"/>
          <w:sz w:val="24"/>
          <w:szCs w:val="24"/>
        </w:rPr>
        <w:t xml:space="preserve">: A study of </w:t>
      </w:r>
      <w:proofErr w:type="spellStart"/>
      <w:r w:rsidRPr="00770396">
        <w:rPr>
          <w:rFonts w:ascii="Times New Roman" w:hAnsi="Times New Roman" w:cs="Times New Roman"/>
          <w:sz w:val="24"/>
          <w:szCs w:val="24"/>
        </w:rPr>
        <w:t>Kolhan</w:t>
      </w:r>
      <w:proofErr w:type="spellEnd"/>
      <w:r w:rsidRPr="00770396">
        <w:rPr>
          <w:rFonts w:ascii="Times New Roman" w:hAnsi="Times New Roman" w:cs="Times New Roman"/>
          <w:sz w:val="24"/>
          <w:szCs w:val="24"/>
        </w:rPr>
        <w:t xml:space="preserve"> Division, Jharkhand. </w:t>
      </w:r>
      <w:r w:rsidRPr="00770396">
        <w:rPr>
          <w:rFonts w:ascii="Times New Roman" w:hAnsi="Times New Roman" w:cs="Times New Roman"/>
          <w:i/>
          <w:iCs/>
          <w:sz w:val="24"/>
          <w:szCs w:val="24"/>
        </w:rPr>
        <w:t>Journal of Asia Entrepreneurship and Sustainability, 22</w:t>
      </w:r>
      <w:r w:rsidRPr="00770396">
        <w:rPr>
          <w:rFonts w:ascii="Times New Roman" w:hAnsi="Times New Roman" w:cs="Times New Roman"/>
          <w:sz w:val="24"/>
          <w:szCs w:val="24"/>
        </w:rPr>
        <w:t xml:space="preserve">(3s), 105–114. https://doi.org/10.66635/6txmqc16 </w:t>
      </w:r>
    </w:p>
    <w:p w14:paraId="4ADE0D99"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Parasuraman, A., Zeithaml, V. A., &amp; Malhotra, A. (2005). E-S-QUAL: A multiple-item scale for assessing electronic service quality. </w:t>
      </w:r>
      <w:r w:rsidRPr="00770396">
        <w:rPr>
          <w:rFonts w:ascii="Times New Roman" w:hAnsi="Times New Roman" w:cs="Times New Roman"/>
          <w:i/>
          <w:iCs/>
          <w:sz w:val="24"/>
          <w:szCs w:val="24"/>
        </w:rPr>
        <w:t>Journal of Service Research, 7</w:t>
      </w:r>
      <w:r w:rsidRPr="00770396">
        <w:rPr>
          <w:rFonts w:ascii="Times New Roman" w:hAnsi="Times New Roman" w:cs="Times New Roman"/>
          <w:sz w:val="24"/>
          <w:szCs w:val="24"/>
        </w:rPr>
        <w:t xml:space="preserve">(3), 213–233. </w:t>
      </w:r>
    </w:p>
    <w:p w14:paraId="31F65CA4"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Riquelme, H. E., &amp; Rios, R. E. (2010). The moderating effect of gender in the adoption of mobile banking. </w:t>
      </w:r>
      <w:r w:rsidRPr="00770396">
        <w:rPr>
          <w:rFonts w:ascii="Times New Roman" w:hAnsi="Times New Roman" w:cs="Times New Roman"/>
          <w:i/>
          <w:iCs/>
          <w:sz w:val="24"/>
          <w:szCs w:val="24"/>
        </w:rPr>
        <w:t>International Journal of Bank Marketing, 28</w:t>
      </w:r>
      <w:r w:rsidRPr="00770396">
        <w:rPr>
          <w:rFonts w:ascii="Times New Roman" w:hAnsi="Times New Roman" w:cs="Times New Roman"/>
          <w:sz w:val="24"/>
          <w:szCs w:val="24"/>
        </w:rPr>
        <w:t xml:space="preserve">(5), 328–341. </w:t>
      </w:r>
    </w:p>
    <w:p w14:paraId="534CC410"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Safeena, R., Date, H., </w:t>
      </w:r>
      <w:proofErr w:type="spellStart"/>
      <w:r w:rsidRPr="00770396">
        <w:rPr>
          <w:rFonts w:ascii="Times New Roman" w:hAnsi="Times New Roman" w:cs="Times New Roman"/>
          <w:sz w:val="24"/>
          <w:szCs w:val="24"/>
        </w:rPr>
        <w:t>Kammani</w:t>
      </w:r>
      <w:proofErr w:type="spellEnd"/>
      <w:r w:rsidRPr="00770396">
        <w:rPr>
          <w:rFonts w:ascii="Times New Roman" w:hAnsi="Times New Roman" w:cs="Times New Roman"/>
          <w:sz w:val="24"/>
          <w:szCs w:val="24"/>
        </w:rPr>
        <w:t xml:space="preserve">, A., &amp; </w:t>
      </w:r>
      <w:proofErr w:type="spellStart"/>
      <w:r w:rsidRPr="00770396">
        <w:rPr>
          <w:rFonts w:ascii="Times New Roman" w:hAnsi="Times New Roman" w:cs="Times New Roman"/>
          <w:sz w:val="24"/>
          <w:szCs w:val="24"/>
        </w:rPr>
        <w:t>Hundewale</w:t>
      </w:r>
      <w:proofErr w:type="spellEnd"/>
      <w:r w:rsidRPr="00770396">
        <w:rPr>
          <w:rFonts w:ascii="Times New Roman" w:hAnsi="Times New Roman" w:cs="Times New Roman"/>
          <w:sz w:val="24"/>
          <w:szCs w:val="24"/>
        </w:rPr>
        <w:t xml:space="preserve">, N. (2011). Factors affecting internet banking adoption. </w:t>
      </w:r>
      <w:r w:rsidRPr="00770396">
        <w:rPr>
          <w:rFonts w:ascii="Times New Roman" w:hAnsi="Times New Roman" w:cs="Times New Roman"/>
          <w:i/>
          <w:iCs/>
          <w:sz w:val="24"/>
          <w:szCs w:val="24"/>
        </w:rPr>
        <w:t>International Journal of E-Services and Mobile Applications, 3</w:t>
      </w:r>
      <w:r w:rsidRPr="00770396">
        <w:rPr>
          <w:rFonts w:ascii="Times New Roman" w:hAnsi="Times New Roman" w:cs="Times New Roman"/>
          <w:sz w:val="24"/>
          <w:szCs w:val="24"/>
        </w:rPr>
        <w:t xml:space="preserve">(1), 1–10. </w:t>
      </w:r>
    </w:p>
    <w:p w14:paraId="430A7467"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Shaikh, A. A., &amp; </w:t>
      </w:r>
      <w:proofErr w:type="spellStart"/>
      <w:r w:rsidRPr="00770396">
        <w:rPr>
          <w:rFonts w:ascii="Times New Roman" w:hAnsi="Times New Roman" w:cs="Times New Roman"/>
          <w:sz w:val="24"/>
          <w:szCs w:val="24"/>
        </w:rPr>
        <w:t>Karjaluoto</w:t>
      </w:r>
      <w:proofErr w:type="spellEnd"/>
      <w:r w:rsidRPr="00770396">
        <w:rPr>
          <w:rFonts w:ascii="Times New Roman" w:hAnsi="Times New Roman" w:cs="Times New Roman"/>
          <w:sz w:val="24"/>
          <w:szCs w:val="24"/>
        </w:rPr>
        <w:t xml:space="preserve">, H. (2015). Mobile banking adoption: A literature review. </w:t>
      </w:r>
      <w:r w:rsidRPr="00770396">
        <w:rPr>
          <w:rFonts w:ascii="Times New Roman" w:hAnsi="Times New Roman" w:cs="Times New Roman"/>
          <w:i/>
          <w:iCs/>
          <w:sz w:val="24"/>
          <w:szCs w:val="24"/>
        </w:rPr>
        <w:t>Telematics and Informatics, 32</w:t>
      </w:r>
      <w:r w:rsidRPr="00770396">
        <w:rPr>
          <w:rFonts w:ascii="Times New Roman" w:hAnsi="Times New Roman" w:cs="Times New Roman"/>
          <w:sz w:val="24"/>
          <w:szCs w:val="24"/>
        </w:rPr>
        <w:t xml:space="preserve">(1), 129–142. </w:t>
      </w:r>
    </w:p>
    <w:p w14:paraId="03205E0D"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Sharma, S. K., &amp; Sharma, M. (2019). Examining the role of trust and quality dimensions in mobile banking adoption. </w:t>
      </w:r>
      <w:r w:rsidRPr="00770396">
        <w:rPr>
          <w:rFonts w:ascii="Times New Roman" w:hAnsi="Times New Roman" w:cs="Times New Roman"/>
          <w:i/>
          <w:iCs/>
          <w:sz w:val="24"/>
          <w:szCs w:val="24"/>
        </w:rPr>
        <w:t>International Journal of Bank Marketing, 37</w:t>
      </w:r>
      <w:r w:rsidRPr="00770396">
        <w:rPr>
          <w:rFonts w:ascii="Times New Roman" w:hAnsi="Times New Roman" w:cs="Times New Roman"/>
          <w:sz w:val="24"/>
          <w:szCs w:val="24"/>
        </w:rPr>
        <w:t xml:space="preserve">(1), 1–22. </w:t>
      </w:r>
    </w:p>
    <w:p w14:paraId="175C17E5"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Singh, S., &amp; Srivastava, R. K. (2018). Predicting the intention to use mobile banking in India. </w:t>
      </w:r>
      <w:r w:rsidRPr="00770396">
        <w:rPr>
          <w:rFonts w:ascii="Times New Roman" w:hAnsi="Times New Roman" w:cs="Times New Roman"/>
          <w:i/>
          <w:iCs/>
          <w:sz w:val="24"/>
          <w:szCs w:val="24"/>
        </w:rPr>
        <w:t>International Journal of Bank Marketing, 36</w:t>
      </w:r>
      <w:r w:rsidRPr="00770396">
        <w:rPr>
          <w:rFonts w:ascii="Times New Roman" w:hAnsi="Times New Roman" w:cs="Times New Roman"/>
          <w:sz w:val="24"/>
          <w:szCs w:val="24"/>
        </w:rPr>
        <w:t xml:space="preserve">(2), 357–378. </w:t>
      </w:r>
    </w:p>
    <w:p w14:paraId="430D6BB9"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Venkatesh, V., Morris, M. G., Davis, G. B., &amp; Davis, F. D. (2003). User acceptance of information technology: Toward a unified view. </w:t>
      </w:r>
      <w:r w:rsidRPr="00770396">
        <w:rPr>
          <w:rFonts w:ascii="Times New Roman" w:hAnsi="Times New Roman" w:cs="Times New Roman"/>
          <w:i/>
          <w:iCs/>
          <w:sz w:val="24"/>
          <w:szCs w:val="24"/>
        </w:rPr>
        <w:t>MIS Quarterly, 27</w:t>
      </w:r>
      <w:r w:rsidRPr="00770396">
        <w:rPr>
          <w:rFonts w:ascii="Times New Roman" w:hAnsi="Times New Roman" w:cs="Times New Roman"/>
          <w:sz w:val="24"/>
          <w:szCs w:val="24"/>
        </w:rPr>
        <w:t xml:space="preserve">(3), 425–478. </w:t>
      </w:r>
    </w:p>
    <w:p w14:paraId="74EA63FE" w14:textId="77777777" w:rsidR="00D63D01" w:rsidRPr="00770396" w:rsidRDefault="00D63D01" w:rsidP="00FE3FE3">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lastRenderedPageBreak/>
        <w:t xml:space="preserve">Venkatesh, V., Thong, J. Y. L., &amp; Xu, X. (2012). Consumer acceptance and use of information technology: Extending the unified theory of acceptance and use of technology. </w:t>
      </w:r>
      <w:r w:rsidRPr="00770396">
        <w:rPr>
          <w:rFonts w:ascii="Times New Roman" w:hAnsi="Times New Roman" w:cs="Times New Roman"/>
          <w:i/>
          <w:iCs/>
          <w:sz w:val="24"/>
          <w:szCs w:val="24"/>
        </w:rPr>
        <w:t>MIS Quarterly, 36</w:t>
      </w:r>
      <w:r w:rsidRPr="00770396">
        <w:rPr>
          <w:rFonts w:ascii="Times New Roman" w:hAnsi="Times New Roman" w:cs="Times New Roman"/>
          <w:sz w:val="24"/>
          <w:szCs w:val="24"/>
        </w:rPr>
        <w:t xml:space="preserve">(1), 157–178. </w:t>
      </w:r>
    </w:p>
    <w:p w14:paraId="5F0B103E"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Yadav, R., Chauhan, V., &amp; Pathak, G. S. (2015). Intention to adopt internet banking in an emerging economy: A perspective of Indian youth. </w:t>
      </w:r>
      <w:r w:rsidRPr="00770396">
        <w:rPr>
          <w:rFonts w:ascii="Times New Roman" w:hAnsi="Times New Roman" w:cs="Times New Roman"/>
          <w:i/>
          <w:iCs/>
          <w:sz w:val="24"/>
          <w:szCs w:val="24"/>
        </w:rPr>
        <w:t>International Journal of Bank Marketing, 33</w:t>
      </w:r>
      <w:r w:rsidRPr="00770396">
        <w:rPr>
          <w:rFonts w:ascii="Times New Roman" w:hAnsi="Times New Roman" w:cs="Times New Roman"/>
          <w:sz w:val="24"/>
          <w:szCs w:val="24"/>
        </w:rPr>
        <w:t xml:space="preserve">(4), 530–544. </w:t>
      </w:r>
    </w:p>
    <w:p w14:paraId="467AF5DC" w14:textId="77777777" w:rsidR="00D63D01" w:rsidRPr="00770396" w:rsidRDefault="00D63D01" w:rsidP="0035324C">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Yu, C. S. (2012). Factors affecting individuals to adopt mobile banking: Empirical evidence from the UTAUT model. </w:t>
      </w:r>
      <w:r w:rsidRPr="00770396">
        <w:rPr>
          <w:rFonts w:ascii="Times New Roman" w:hAnsi="Times New Roman" w:cs="Times New Roman"/>
          <w:i/>
          <w:iCs/>
          <w:sz w:val="24"/>
          <w:szCs w:val="24"/>
        </w:rPr>
        <w:t>Journal of Electronic Commerce Research, 13</w:t>
      </w:r>
      <w:r w:rsidRPr="00770396">
        <w:rPr>
          <w:rFonts w:ascii="Times New Roman" w:hAnsi="Times New Roman" w:cs="Times New Roman"/>
          <w:sz w:val="24"/>
          <w:szCs w:val="24"/>
        </w:rPr>
        <w:t>(2), 104–121.</w:t>
      </w:r>
    </w:p>
    <w:p w14:paraId="7636E2DE" w14:textId="77777777" w:rsidR="00D63D01" w:rsidRPr="00770396" w:rsidRDefault="00D63D01" w:rsidP="00495BD0">
      <w:pPr>
        <w:spacing w:line="360" w:lineRule="auto"/>
        <w:jc w:val="both"/>
        <w:rPr>
          <w:rFonts w:ascii="Times New Roman" w:hAnsi="Times New Roman" w:cs="Times New Roman"/>
          <w:sz w:val="24"/>
          <w:szCs w:val="24"/>
        </w:rPr>
      </w:pPr>
      <w:r w:rsidRPr="00770396">
        <w:rPr>
          <w:rFonts w:ascii="Times New Roman" w:hAnsi="Times New Roman" w:cs="Times New Roman"/>
          <w:sz w:val="24"/>
          <w:szCs w:val="24"/>
        </w:rPr>
        <w:t xml:space="preserve">Zhou, T. (2012). Understanding users’ initial trust in mobile banking: An elaboration likelihood perspective. </w:t>
      </w:r>
      <w:r w:rsidRPr="00770396">
        <w:rPr>
          <w:rFonts w:ascii="Times New Roman" w:hAnsi="Times New Roman" w:cs="Times New Roman"/>
          <w:i/>
          <w:iCs/>
          <w:sz w:val="24"/>
          <w:szCs w:val="24"/>
        </w:rPr>
        <w:t xml:space="preserve">Computers in Human </w:t>
      </w:r>
      <w:proofErr w:type="spellStart"/>
      <w:r w:rsidRPr="00770396">
        <w:rPr>
          <w:rFonts w:ascii="Times New Roman" w:hAnsi="Times New Roman" w:cs="Times New Roman"/>
          <w:i/>
          <w:iCs/>
          <w:sz w:val="24"/>
          <w:szCs w:val="24"/>
        </w:rPr>
        <w:t>Behavior</w:t>
      </w:r>
      <w:proofErr w:type="spellEnd"/>
      <w:r w:rsidRPr="00770396">
        <w:rPr>
          <w:rFonts w:ascii="Times New Roman" w:hAnsi="Times New Roman" w:cs="Times New Roman"/>
          <w:i/>
          <w:iCs/>
          <w:sz w:val="24"/>
          <w:szCs w:val="24"/>
        </w:rPr>
        <w:t>, 28</w:t>
      </w:r>
      <w:r w:rsidRPr="00770396">
        <w:rPr>
          <w:rFonts w:ascii="Times New Roman" w:hAnsi="Times New Roman" w:cs="Times New Roman"/>
          <w:sz w:val="24"/>
          <w:szCs w:val="24"/>
        </w:rPr>
        <w:t>(4), 1518–1525.</w:t>
      </w:r>
    </w:p>
    <w:sectPr w:rsidR="00D63D01" w:rsidRPr="00770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8AE"/>
    <w:multiLevelType w:val="hybridMultilevel"/>
    <w:tmpl w:val="6BFE637E"/>
    <w:lvl w:ilvl="0" w:tplc="05A4D8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34B0D"/>
    <w:multiLevelType w:val="hybridMultilevel"/>
    <w:tmpl w:val="5AA00164"/>
    <w:lvl w:ilvl="0" w:tplc="8F58B46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36EFA"/>
    <w:multiLevelType w:val="hybridMultilevel"/>
    <w:tmpl w:val="1C6E2CB6"/>
    <w:lvl w:ilvl="0" w:tplc="9FEA56D2">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5624F"/>
    <w:multiLevelType w:val="hybridMultilevel"/>
    <w:tmpl w:val="C254CC8E"/>
    <w:lvl w:ilvl="0" w:tplc="1B1689B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04151B"/>
    <w:multiLevelType w:val="multilevel"/>
    <w:tmpl w:val="C29E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70197"/>
    <w:multiLevelType w:val="multilevel"/>
    <w:tmpl w:val="69149E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15AF0"/>
    <w:multiLevelType w:val="hybridMultilevel"/>
    <w:tmpl w:val="E1922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907EC8"/>
    <w:multiLevelType w:val="multilevel"/>
    <w:tmpl w:val="319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95A13"/>
    <w:multiLevelType w:val="multilevel"/>
    <w:tmpl w:val="90DE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1B3AFE"/>
    <w:multiLevelType w:val="hybridMultilevel"/>
    <w:tmpl w:val="3E64D896"/>
    <w:lvl w:ilvl="0" w:tplc="5E72AD1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973E80"/>
    <w:multiLevelType w:val="multilevel"/>
    <w:tmpl w:val="E4DC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FF2754"/>
    <w:multiLevelType w:val="multilevel"/>
    <w:tmpl w:val="06D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86F0B"/>
    <w:multiLevelType w:val="multilevel"/>
    <w:tmpl w:val="B66E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B44DD"/>
    <w:multiLevelType w:val="hybridMultilevel"/>
    <w:tmpl w:val="11182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7531463">
    <w:abstractNumId w:val="7"/>
  </w:num>
  <w:num w:numId="2" w16cid:durableId="222445412">
    <w:abstractNumId w:val="11"/>
  </w:num>
  <w:num w:numId="3" w16cid:durableId="1210993533">
    <w:abstractNumId w:val="12"/>
  </w:num>
  <w:num w:numId="4" w16cid:durableId="731542326">
    <w:abstractNumId w:val="10"/>
  </w:num>
  <w:num w:numId="5" w16cid:durableId="1047026423">
    <w:abstractNumId w:val="3"/>
  </w:num>
  <w:num w:numId="6" w16cid:durableId="467090817">
    <w:abstractNumId w:val="1"/>
  </w:num>
  <w:num w:numId="7" w16cid:durableId="1508982024">
    <w:abstractNumId w:val="2"/>
  </w:num>
  <w:num w:numId="8" w16cid:durableId="912857576">
    <w:abstractNumId w:val="0"/>
  </w:num>
  <w:num w:numId="9" w16cid:durableId="678118893">
    <w:abstractNumId w:val="8"/>
  </w:num>
  <w:num w:numId="10" w16cid:durableId="1235894896">
    <w:abstractNumId w:val="5"/>
  </w:num>
  <w:num w:numId="11" w16cid:durableId="967008508">
    <w:abstractNumId w:val="13"/>
  </w:num>
  <w:num w:numId="12" w16cid:durableId="1826818035">
    <w:abstractNumId w:val="9"/>
  </w:num>
  <w:num w:numId="13" w16cid:durableId="1788966860">
    <w:abstractNumId w:val="6"/>
  </w:num>
  <w:num w:numId="14" w16cid:durableId="1373266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C7"/>
    <w:rsid w:val="000008FB"/>
    <w:rsid w:val="00000E4F"/>
    <w:rsid w:val="00001F50"/>
    <w:rsid w:val="00002858"/>
    <w:rsid w:val="00002CA5"/>
    <w:rsid w:val="00002F9E"/>
    <w:rsid w:val="00004560"/>
    <w:rsid w:val="000055A4"/>
    <w:rsid w:val="0000770D"/>
    <w:rsid w:val="000118A0"/>
    <w:rsid w:val="00011DF8"/>
    <w:rsid w:val="000146B3"/>
    <w:rsid w:val="00015450"/>
    <w:rsid w:val="00017B20"/>
    <w:rsid w:val="000206C2"/>
    <w:rsid w:val="00021E8A"/>
    <w:rsid w:val="000226EC"/>
    <w:rsid w:val="0002573A"/>
    <w:rsid w:val="0002574E"/>
    <w:rsid w:val="00027202"/>
    <w:rsid w:val="00027D39"/>
    <w:rsid w:val="0003023C"/>
    <w:rsid w:val="00030ACE"/>
    <w:rsid w:val="00031344"/>
    <w:rsid w:val="000314C2"/>
    <w:rsid w:val="00032464"/>
    <w:rsid w:val="000326B1"/>
    <w:rsid w:val="00032E18"/>
    <w:rsid w:val="0003692C"/>
    <w:rsid w:val="00036F0D"/>
    <w:rsid w:val="00037265"/>
    <w:rsid w:val="0004297C"/>
    <w:rsid w:val="00044219"/>
    <w:rsid w:val="00045147"/>
    <w:rsid w:val="00051FF9"/>
    <w:rsid w:val="00053057"/>
    <w:rsid w:val="00053687"/>
    <w:rsid w:val="00056081"/>
    <w:rsid w:val="0005762B"/>
    <w:rsid w:val="0006532A"/>
    <w:rsid w:val="00065765"/>
    <w:rsid w:val="00067886"/>
    <w:rsid w:val="000705B3"/>
    <w:rsid w:val="0007091B"/>
    <w:rsid w:val="0007181C"/>
    <w:rsid w:val="00071DB4"/>
    <w:rsid w:val="00072023"/>
    <w:rsid w:val="000721EC"/>
    <w:rsid w:val="00073BEF"/>
    <w:rsid w:val="00074DA1"/>
    <w:rsid w:val="00075204"/>
    <w:rsid w:val="00076F43"/>
    <w:rsid w:val="000804ED"/>
    <w:rsid w:val="00080B3E"/>
    <w:rsid w:val="0008132B"/>
    <w:rsid w:val="00084926"/>
    <w:rsid w:val="0009050B"/>
    <w:rsid w:val="0009262F"/>
    <w:rsid w:val="00093FC7"/>
    <w:rsid w:val="000942ED"/>
    <w:rsid w:val="00094D68"/>
    <w:rsid w:val="00095ED2"/>
    <w:rsid w:val="0009610A"/>
    <w:rsid w:val="00096486"/>
    <w:rsid w:val="000974CE"/>
    <w:rsid w:val="000A1250"/>
    <w:rsid w:val="000A1918"/>
    <w:rsid w:val="000A354F"/>
    <w:rsid w:val="000A45B0"/>
    <w:rsid w:val="000B2DA9"/>
    <w:rsid w:val="000B3A28"/>
    <w:rsid w:val="000B3AE8"/>
    <w:rsid w:val="000B3B34"/>
    <w:rsid w:val="000B5675"/>
    <w:rsid w:val="000C0990"/>
    <w:rsid w:val="000C0DB1"/>
    <w:rsid w:val="000C2D73"/>
    <w:rsid w:val="000C5339"/>
    <w:rsid w:val="000C6028"/>
    <w:rsid w:val="000C66EA"/>
    <w:rsid w:val="000C74A2"/>
    <w:rsid w:val="000D0004"/>
    <w:rsid w:val="000D3D75"/>
    <w:rsid w:val="000D480D"/>
    <w:rsid w:val="000D4D7A"/>
    <w:rsid w:val="000D5557"/>
    <w:rsid w:val="000D6C52"/>
    <w:rsid w:val="000D6ECE"/>
    <w:rsid w:val="000D7561"/>
    <w:rsid w:val="000E4AC9"/>
    <w:rsid w:val="000E6229"/>
    <w:rsid w:val="000F0074"/>
    <w:rsid w:val="000F0BBC"/>
    <w:rsid w:val="000F2356"/>
    <w:rsid w:val="000F6B52"/>
    <w:rsid w:val="000F710F"/>
    <w:rsid w:val="001001D3"/>
    <w:rsid w:val="00100594"/>
    <w:rsid w:val="001011C6"/>
    <w:rsid w:val="00103334"/>
    <w:rsid w:val="001036C3"/>
    <w:rsid w:val="00105974"/>
    <w:rsid w:val="001068C2"/>
    <w:rsid w:val="00106CC0"/>
    <w:rsid w:val="00107402"/>
    <w:rsid w:val="0011168F"/>
    <w:rsid w:val="0011288D"/>
    <w:rsid w:val="001166A5"/>
    <w:rsid w:val="00116978"/>
    <w:rsid w:val="001173B1"/>
    <w:rsid w:val="00120F1B"/>
    <w:rsid w:val="00121814"/>
    <w:rsid w:val="00122BDF"/>
    <w:rsid w:val="00122D94"/>
    <w:rsid w:val="001237B0"/>
    <w:rsid w:val="00125474"/>
    <w:rsid w:val="00125CEF"/>
    <w:rsid w:val="00125DAF"/>
    <w:rsid w:val="00126DC6"/>
    <w:rsid w:val="001301D0"/>
    <w:rsid w:val="00132321"/>
    <w:rsid w:val="001329F9"/>
    <w:rsid w:val="001335B5"/>
    <w:rsid w:val="00137C91"/>
    <w:rsid w:val="00137CCA"/>
    <w:rsid w:val="001412B2"/>
    <w:rsid w:val="00142F36"/>
    <w:rsid w:val="00144195"/>
    <w:rsid w:val="001502B3"/>
    <w:rsid w:val="00150AE8"/>
    <w:rsid w:val="00151DFA"/>
    <w:rsid w:val="00152041"/>
    <w:rsid w:val="00152DFF"/>
    <w:rsid w:val="00152F71"/>
    <w:rsid w:val="0015371A"/>
    <w:rsid w:val="00154AF7"/>
    <w:rsid w:val="00154CCB"/>
    <w:rsid w:val="0015663E"/>
    <w:rsid w:val="00157B49"/>
    <w:rsid w:val="00160A46"/>
    <w:rsid w:val="00160BFD"/>
    <w:rsid w:val="0016355A"/>
    <w:rsid w:val="00163AD2"/>
    <w:rsid w:val="00163B2F"/>
    <w:rsid w:val="0016411E"/>
    <w:rsid w:val="00165779"/>
    <w:rsid w:val="00165C93"/>
    <w:rsid w:val="00166C40"/>
    <w:rsid w:val="00170939"/>
    <w:rsid w:val="00170DFD"/>
    <w:rsid w:val="00171738"/>
    <w:rsid w:val="00171CA5"/>
    <w:rsid w:val="001738F9"/>
    <w:rsid w:val="001741E8"/>
    <w:rsid w:val="00176399"/>
    <w:rsid w:val="001779A6"/>
    <w:rsid w:val="00180B25"/>
    <w:rsid w:val="001822B6"/>
    <w:rsid w:val="00182E9A"/>
    <w:rsid w:val="0019223F"/>
    <w:rsid w:val="001932A7"/>
    <w:rsid w:val="0019349A"/>
    <w:rsid w:val="0019474D"/>
    <w:rsid w:val="00196E58"/>
    <w:rsid w:val="00197057"/>
    <w:rsid w:val="00197782"/>
    <w:rsid w:val="001A0D17"/>
    <w:rsid w:val="001A1A7B"/>
    <w:rsid w:val="001A1B98"/>
    <w:rsid w:val="001A564C"/>
    <w:rsid w:val="001A67ED"/>
    <w:rsid w:val="001A7208"/>
    <w:rsid w:val="001A7D5B"/>
    <w:rsid w:val="001B091F"/>
    <w:rsid w:val="001B5893"/>
    <w:rsid w:val="001C02B0"/>
    <w:rsid w:val="001C3544"/>
    <w:rsid w:val="001C414B"/>
    <w:rsid w:val="001C5348"/>
    <w:rsid w:val="001C5CEA"/>
    <w:rsid w:val="001C6DBB"/>
    <w:rsid w:val="001C7417"/>
    <w:rsid w:val="001D0359"/>
    <w:rsid w:val="001E0F7B"/>
    <w:rsid w:val="001E19CE"/>
    <w:rsid w:val="001E1E1E"/>
    <w:rsid w:val="001E3DEE"/>
    <w:rsid w:val="001E4093"/>
    <w:rsid w:val="001E719C"/>
    <w:rsid w:val="001E75D4"/>
    <w:rsid w:val="001E7C1C"/>
    <w:rsid w:val="001F03D6"/>
    <w:rsid w:val="001F1C6F"/>
    <w:rsid w:val="001F258F"/>
    <w:rsid w:val="001F3021"/>
    <w:rsid w:val="001F4554"/>
    <w:rsid w:val="001F5B9D"/>
    <w:rsid w:val="001F6546"/>
    <w:rsid w:val="00200B82"/>
    <w:rsid w:val="00200DAD"/>
    <w:rsid w:val="00202323"/>
    <w:rsid w:val="00203A50"/>
    <w:rsid w:val="00205EC6"/>
    <w:rsid w:val="002064C7"/>
    <w:rsid w:val="0020680E"/>
    <w:rsid w:val="00213108"/>
    <w:rsid w:val="0021313C"/>
    <w:rsid w:val="00213E12"/>
    <w:rsid w:val="00213EB9"/>
    <w:rsid w:val="00214EEB"/>
    <w:rsid w:val="002156CD"/>
    <w:rsid w:val="00216351"/>
    <w:rsid w:val="00216703"/>
    <w:rsid w:val="00216F30"/>
    <w:rsid w:val="002175D3"/>
    <w:rsid w:val="00220C77"/>
    <w:rsid w:val="002219E1"/>
    <w:rsid w:val="00221B2E"/>
    <w:rsid w:val="0022241C"/>
    <w:rsid w:val="002239FD"/>
    <w:rsid w:val="002243F6"/>
    <w:rsid w:val="00227625"/>
    <w:rsid w:val="00230976"/>
    <w:rsid w:val="00231619"/>
    <w:rsid w:val="00232DCE"/>
    <w:rsid w:val="002367C4"/>
    <w:rsid w:val="00237629"/>
    <w:rsid w:val="00237DF9"/>
    <w:rsid w:val="00243D2E"/>
    <w:rsid w:val="00245B4E"/>
    <w:rsid w:val="00246143"/>
    <w:rsid w:val="00250CD4"/>
    <w:rsid w:val="00251D6D"/>
    <w:rsid w:val="00252D8B"/>
    <w:rsid w:val="00253C1C"/>
    <w:rsid w:val="00255080"/>
    <w:rsid w:val="0025532B"/>
    <w:rsid w:val="00256E73"/>
    <w:rsid w:val="00257C25"/>
    <w:rsid w:val="00260722"/>
    <w:rsid w:val="00262D0D"/>
    <w:rsid w:val="00266299"/>
    <w:rsid w:val="00272373"/>
    <w:rsid w:val="0027337B"/>
    <w:rsid w:val="00273634"/>
    <w:rsid w:val="0027678C"/>
    <w:rsid w:val="002772AC"/>
    <w:rsid w:val="00282736"/>
    <w:rsid w:val="00283574"/>
    <w:rsid w:val="00283D93"/>
    <w:rsid w:val="00284142"/>
    <w:rsid w:val="002850EB"/>
    <w:rsid w:val="00287A19"/>
    <w:rsid w:val="002900BF"/>
    <w:rsid w:val="00290194"/>
    <w:rsid w:val="0029021E"/>
    <w:rsid w:val="002902BE"/>
    <w:rsid w:val="0029077D"/>
    <w:rsid w:val="00293DD2"/>
    <w:rsid w:val="00294401"/>
    <w:rsid w:val="00295B27"/>
    <w:rsid w:val="0029664E"/>
    <w:rsid w:val="00297DEF"/>
    <w:rsid w:val="002A3557"/>
    <w:rsid w:val="002A4813"/>
    <w:rsid w:val="002A4C79"/>
    <w:rsid w:val="002A4EFE"/>
    <w:rsid w:val="002A54D1"/>
    <w:rsid w:val="002A5AAD"/>
    <w:rsid w:val="002B07C1"/>
    <w:rsid w:val="002B219C"/>
    <w:rsid w:val="002B2872"/>
    <w:rsid w:val="002B2AB0"/>
    <w:rsid w:val="002B549E"/>
    <w:rsid w:val="002B68D5"/>
    <w:rsid w:val="002B6DE9"/>
    <w:rsid w:val="002C08B6"/>
    <w:rsid w:val="002C1F85"/>
    <w:rsid w:val="002C3B4B"/>
    <w:rsid w:val="002C508F"/>
    <w:rsid w:val="002C5744"/>
    <w:rsid w:val="002D248A"/>
    <w:rsid w:val="002D2FE9"/>
    <w:rsid w:val="002D3B99"/>
    <w:rsid w:val="002D5046"/>
    <w:rsid w:val="002D63E6"/>
    <w:rsid w:val="002D7D78"/>
    <w:rsid w:val="002E28E0"/>
    <w:rsid w:val="002E28E5"/>
    <w:rsid w:val="002E2D37"/>
    <w:rsid w:val="002E4BA4"/>
    <w:rsid w:val="002E5FA0"/>
    <w:rsid w:val="002E678C"/>
    <w:rsid w:val="002E792D"/>
    <w:rsid w:val="002F00A7"/>
    <w:rsid w:val="002F063E"/>
    <w:rsid w:val="002F20A2"/>
    <w:rsid w:val="002F3307"/>
    <w:rsid w:val="002F3BC3"/>
    <w:rsid w:val="002F3D73"/>
    <w:rsid w:val="002F3DD3"/>
    <w:rsid w:val="002F40BB"/>
    <w:rsid w:val="002F45B7"/>
    <w:rsid w:val="0030008F"/>
    <w:rsid w:val="003008F5"/>
    <w:rsid w:val="00301798"/>
    <w:rsid w:val="00301DAB"/>
    <w:rsid w:val="00301F48"/>
    <w:rsid w:val="00303AA1"/>
    <w:rsid w:val="00304E8F"/>
    <w:rsid w:val="003054E9"/>
    <w:rsid w:val="0030618B"/>
    <w:rsid w:val="00307EA4"/>
    <w:rsid w:val="0031048A"/>
    <w:rsid w:val="00310A46"/>
    <w:rsid w:val="00311D0B"/>
    <w:rsid w:val="00311EE7"/>
    <w:rsid w:val="0031230E"/>
    <w:rsid w:val="00312367"/>
    <w:rsid w:val="00312DA5"/>
    <w:rsid w:val="003145BC"/>
    <w:rsid w:val="00314665"/>
    <w:rsid w:val="0031793D"/>
    <w:rsid w:val="00323187"/>
    <w:rsid w:val="00323EAD"/>
    <w:rsid w:val="0032466C"/>
    <w:rsid w:val="003249EC"/>
    <w:rsid w:val="00324B59"/>
    <w:rsid w:val="00324D78"/>
    <w:rsid w:val="00324E9C"/>
    <w:rsid w:val="0032754F"/>
    <w:rsid w:val="003303FF"/>
    <w:rsid w:val="00330633"/>
    <w:rsid w:val="00331652"/>
    <w:rsid w:val="00333738"/>
    <w:rsid w:val="003347CB"/>
    <w:rsid w:val="00335472"/>
    <w:rsid w:val="00336BFC"/>
    <w:rsid w:val="0034127B"/>
    <w:rsid w:val="0034354A"/>
    <w:rsid w:val="00344E8D"/>
    <w:rsid w:val="00345A66"/>
    <w:rsid w:val="003502AB"/>
    <w:rsid w:val="0035324C"/>
    <w:rsid w:val="00354FD1"/>
    <w:rsid w:val="00361F87"/>
    <w:rsid w:val="0036321A"/>
    <w:rsid w:val="0036391B"/>
    <w:rsid w:val="0036427F"/>
    <w:rsid w:val="00364B2D"/>
    <w:rsid w:val="003732B3"/>
    <w:rsid w:val="00373F34"/>
    <w:rsid w:val="003746A4"/>
    <w:rsid w:val="00375B2F"/>
    <w:rsid w:val="00377D69"/>
    <w:rsid w:val="00381538"/>
    <w:rsid w:val="0038218F"/>
    <w:rsid w:val="003843CE"/>
    <w:rsid w:val="00385960"/>
    <w:rsid w:val="0038631E"/>
    <w:rsid w:val="0039121B"/>
    <w:rsid w:val="0039245C"/>
    <w:rsid w:val="0039262B"/>
    <w:rsid w:val="00392A0D"/>
    <w:rsid w:val="00393DDD"/>
    <w:rsid w:val="00395695"/>
    <w:rsid w:val="00395C7D"/>
    <w:rsid w:val="00396707"/>
    <w:rsid w:val="003971E2"/>
    <w:rsid w:val="0039763F"/>
    <w:rsid w:val="00397F5D"/>
    <w:rsid w:val="003A29EB"/>
    <w:rsid w:val="003A4DB5"/>
    <w:rsid w:val="003A5765"/>
    <w:rsid w:val="003A6699"/>
    <w:rsid w:val="003A6B3E"/>
    <w:rsid w:val="003A6EBA"/>
    <w:rsid w:val="003A7A67"/>
    <w:rsid w:val="003B010C"/>
    <w:rsid w:val="003B1DC3"/>
    <w:rsid w:val="003B25C1"/>
    <w:rsid w:val="003B33E7"/>
    <w:rsid w:val="003B3EA2"/>
    <w:rsid w:val="003B47D8"/>
    <w:rsid w:val="003B48E8"/>
    <w:rsid w:val="003B4A13"/>
    <w:rsid w:val="003B4EE6"/>
    <w:rsid w:val="003B5A63"/>
    <w:rsid w:val="003B6E9A"/>
    <w:rsid w:val="003B7908"/>
    <w:rsid w:val="003C0905"/>
    <w:rsid w:val="003C178B"/>
    <w:rsid w:val="003C1873"/>
    <w:rsid w:val="003C1E3B"/>
    <w:rsid w:val="003C2889"/>
    <w:rsid w:val="003C28AF"/>
    <w:rsid w:val="003C3356"/>
    <w:rsid w:val="003C366B"/>
    <w:rsid w:val="003C379F"/>
    <w:rsid w:val="003C531D"/>
    <w:rsid w:val="003C6FB6"/>
    <w:rsid w:val="003D03FF"/>
    <w:rsid w:val="003D2539"/>
    <w:rsid w:val="003D27B6"/>
    <w:rsid w:val="003D33A9"/>
    <w:rsid w:val="003D4104"/>
    <w:rsid w:val="003D4AA4"/>
    <w:rsid w:val="003E0324"/>
    <w:rsid w:val="003E0F95"/>
    <w:rsid w:val="003E14E1"/>
    <w:rsid w:val="003E1D3D"/>
    <w:rsid w:val="003E4052"/>
    <w:rsid w:val="003E4986"/>
    <w:rsid w:val="003E5CF1"/>
    <w:rsid w:val="003E7D57"/>
    <w:rsid w:val="003F01C4"/>
    <w:rsid w:val="003F5327"/>
    <w:rsid w:val="003F535A"/>
    <w:rsid w:val="003F624C"/>
    <w:rsid w:val="003F75FF"/>
    <w:rsid w:val="00400042"/>
    <w:rsid w:val="004000D8"/>
    <w:rsid w:val="00400195"/>
    <w:rsid w:val="004050A4"/>
    <w:rsid w:val="004055AB"/>
    <w:rsid w:val="00407D6B"/>
    <w:rsid w:val="00410648"/>
    <w:rsid w:val="00411262"/>
    <w:rsid w:val="004145DF"/>
    <w:rsid w:val="00416485"/>
    <w:rsid w:val="0041654D"/>
    <w:rsid w:val="004206A6"/>
    <w:rsid w:val="004214A2"/>
    <w:rsid w:val="004214B4"/>
    <w:rsid w:val="00421AAC"/>
    <w:rsid w:val="00421AF5"/>
    <w:rsid w:val="004222E1"/>
    <w:rsid w:val="00422D79"/>
    <w:rsid w:val="00423C72"/>
    <w:rsid w:val="00427B20"/>
    <w:rsid w:val="004328FD"/>
    <w:rsid w:val="00432D45"/>
    <w:rsid w:val="004336C9"/>
    <w:rsid w:val="004373EA"/>
    <w:rsid w:val="00440455"/>
    <w:rsid w:val="0044067E"/>
    <w:rsid w:val="00443066"/>
    <w:rsid w:val="00443A6F"/>
    <w:rsid w:val="00444068"/>
    <w:rsid w:val="004442F6"/>
    <w:rsid w:val="00446D86"/>
    <w:rsid w:val="004501B1"/>
    <w:rsid w:val="00451B4E"/>
    <w:rsid w:val="00451BEC"/>
    <w:rsid w:val="00451D00"/>
    <w:rsid w:val="00455642"/>
    <w:rsid w:val="00456361"/>
    <w:rsid w:val="004603C5"/>
    <w:rsid w:val="00460602"/>
    <w:rsid w:val="00463049"/>
    <w:rsid w:val="004633E2"/>
    <w:rsid w:val="0046435A"/>
    <w:rsid w:val="00464914"/>
    <w:rsid w:val="004655E3"/>
    <w:rsid w:val="004662C6"/>
    <w:rsid w:val="00466D0C"/>
    <w:rsid w:val="00471CE0"/>
    <w:rsid w:val="0047380A"/>
    <w:rsid w:val="00474D2F"/>
    <w:rsid w:val="00485161"/>
    <w:rsid w:val="004863CA"/>
    <w:rsid w:val="00492132"/>
    <w:rsid w:val="00492D9D"/>
    <w:rsid w:val="00492FCD"/>
    <w:rsid w:val="00494BB2"/>
    <w:rsid w:val="00494C89"/>
    <w:rsid w:val="00495480"/>
    <w:rsid w:val="004955A8"/>
    <w:rsid w:val="00495BD0"/>
    <w:rsid w:val="00495FD4"/>
    <w:rsid w:val="0049731B"/>
    <w:rsid w:val="004974BB"/>
    <w:rsid w:val="004A30C4"/>
    <w:rsid w:val="004A3896"/>
    <w:rsid w:val="004A3E3F"/>
    <w:rsid w:val="004A3F42"/>
    <w:rsid w:val="004A539A"/>
    <w:rsid w:val="004A7209"/>
    <w:rsid w:val="004B0E0C"/>
    <w:rsid w:val="004B398A"/>
    <w:rsid w:val="004B399B"/>
    <w:rsid w:val="004B40CE"/>
    <w:rsid w:val="004B558A"/>
    <w:rsid w:val="004B5CED"/>
    <w:rsid w:val="004C04E2"/>
    <w:rsid w:val="004C0E48"/>
    <w:rsid w:val="004C0EA8"/>
    <w:rsid w:val="004C2E41"/>
    <w:rsid w:val="004C3188"/>
    <w:rsid w:val="004C5B75"/>
    <w:rsid w:val="004C63EA"/>
    <w:rsid w:val="004D0737"/>
    <w:rsid w:val="004D0AD7"/>
    <w:rsid w:val="004D3708"/>
    <w:rsid w:val="004D606F"/>
    <w:rsid w:val="004D6354"/>
    <w:rsid w:val="004D6A1C"/>
    <w:rsid w:val="004E0E53"/>
    <w:rsid w:val="004E1425"/>
    <w:rsid w:val="004E1C9E"/>
    <w:rsid w:val="004E28C1"/>
    <w:rsid w:val="004E5845"/>
    <w:rsid w:val="004E7923"/>
    <w:rsid w:val="004E7AAA"/>
    <w:rsid w:val="004E7B7F"/>
    <w:rsid w:val="004F0890"/>
    <w:rsid w:val="004F0A1C"/>
    <w:rsid w:val="004F155B"/>
    <w:rsid w:val="004F1A78"/>
    <w:rsid w:val="004F25AA"/>
    <w:rsid w:val="004F296D"/>
    <w:rsid w:val="004F3574"/>
    <w:rsid w:val="004F3580"/>
    <w:rsid w:val="004F4B00"/>
    <w:rsid w:val="004F61A1"/>
    <w:rsid w:val="004F685F"/>
    <w:rsid w:val="004F7234"/>
    <w:rsid w:val="004F7673"/>
    <w:rsid w:val="004F7A54"/>
    <w:rsid w:val="00500D6E"/>
    <w:rsid w:val="00501AE0"/>
    <w:rsid w:val="005043A0"/>
    <w:rsid w:val="005044B6"/>
    <w:rsid w:val="00507951"/>
    <w:rsid w:val="00512436"/>
    <w:rsid w:val="00512442"/>
    <w:rsid w:val="00512B2A"/>
    <w:rsid w:val="005132F5"/>
    <w:rsid w:val="00513944"/>
    <w:rsid w:val="00514620"/>
    <w:rsid w:val="0051468F"/>
    <w:rsid w:val="00516C10"/>
    <w:rsid w:val="0051705D"/>
    <w:rsid w:val="005173DC"/>
    <w:rsid w:val="0052114B"/>
    <w:rsid w:val="005223B7"/>
    <w:rsid w:val="0052566C"/>
    <w:rsid w:val="00526C17"/>
    <w:rsid w:val="00532C84"/>
    <w:rsid w:val="00533471"/>
    <w:rsid w:val="00533589"/>
    <w:rsid w:val="00533E2B"/>
    <w:rsid w:val="00536258"/>
    <w:rsid w:val="00542B72"/>
    <w:rsid w:val="005449FD"/>
    <w:rsid w:val="00544D3C"/>
    <w:rsid w:val="005456D1"/>
    <w:rsid w:val="00545B35"/>
    <w:rsid w:val="00546FE5"/>
    <w:rsid w:val="00547377"/>
    <w:rsid w:val="00547441"/>
    <w:rsid w:val="0055398D"/>
    <w:rsid w:val="00553C68"/>
    <w:rsid w:val="00554943"/>
    <w:rsid w:val="00555204"/>
    <w:rsid w:val="005561F3"/>
    <w:rsid w:val="00560203"/>
    <w:rsid w:val="00560AED"/>
    <w:rsid w:val="0056163B"/>
    <w:rsid w:val="00561E37"/>
    <w:rsid w:val="00562AFD"/>
    <w:rsid w:val="0056696B"/>
    <w:rsid w:val="00573BB9"/>
    <w:rsid w:val="00574122"/>
    <w:rsid w:val="005744EC"/>
    <w:rsid w:val="00574AAC"/>
    <w:rsid w:val="00575D91"/>
    <w:rsid w:val="00577FF2"/>
    <w:rsid w:val="005811DE"/>
    <w:rsid w:val="0058200B"/>
    <w:rsid w:val="005852D7"/>
    <w:rsid w:val="0058767F"/>
    <w:rsid w:val="005900F7"/>
    <w:rsid w:val="00591A8C"/>
    <w:rsid w:val="005933BF"/>
    <w:rsid w:val="00593926"/>
    <w:rsid w:val="00593C92"/>
    <w:rsid w:val="005942F9"/>
    <w:rsid w:val="005946C6"/>
    <w:rsid w:val="00595A2F"/>
    <w:rsid w:val="00595A3E"/>
    <w:rsid w:val="005965C9"/>
    <w:rsid w:val="00596C87"/>
    <w:rsid w:val="00597065"/>
    <w:rsid w:val="005972CA"/>
    <w:rsid w:val="00597A63"/>
    <w:rsid w:val="005A0135"/>
    <w:rsid w:val="005A015B"/>
    <w:rsid w:val="005A06B6"/>
    <w:rsid w:val="005A09B3"/>
    <w:rsid w:val="005A2254"/>
    <w:rsid w:val="005A3126"/>
    <w:rsid w:val="005A413B"/>
    <w:rsid w:val="005A6462"/>
    <w:rsid w:val="005B0BDA"/>
    <w:rsid w:val="005B2408"/>
    <w:rsid w:val="005B35AD"/>
    <w:rsid w:val="005B37C4"/>
    <w:rsid w:val="005B5594"/>
    <w:rsid w:val="005B5726"/>
    <w:rsid w:val="005B6819"/>
    <w:rsid w:val="005B7168"/>
    <w:rsid w:val="005B7202"/>
    <w:rsid w:val="005B7A77"/>
    <w:rsid w:val="005C4932"/>
    <w:rsid w:val="005C4B60"/>
    <w:rsid w:val="005C56D3"/>
    <w:rsid w:val="005C56E3"/>
    <w:rsid w:val="005C5E09"/>
    <w:rsid w:val="005C5EA9"/>
    <w:rsid w:val="005C6328"/>
    <w:rsid w:val="005C6373"/>
    <w:rsid w:val="005C6A14"/>
    <w:rsid w:val="005C7C9C"/>
    <w:rsid w:val="005E2C72"/>
    <w:rsid w:val="005E3BCD"/>
    <w:rsid w:val="005E417A"/>
    <w:rsid w:val="005E4AFB"/>
    <w:rsid w:val="005E56B3"/>
    <w:rsid w:val="005E60F1"/>
    <w:rsid w:val="005E77C6"/>
    <w:rsid w:val="005E7F7F"/>
    <w:rsid w:val="005F0332"/>
    <w:rsid w:val="005F161E"/>
    <w:rsid w:val="005F1A2F"/>
    <w:rsid w:val="005F2168"/>
    <w:rsid w:val="005F2857"/>
    <w:rsid w:val="005F327E"/>
    <w:rsid w:val="005F3C7F"/>
    <w:rsid w:val="005F4724"/>
    <w:rsid w:val="005F4FF2"/>
    <w:rsid w:val="005F5689"/>
    <w:rsid w:val="005F6076"/>
    <w:rsid w:val="005F79CC"/>
    <w:rsid w:val="0060177A"/>
    <w:rsid w:val="006017DE"/>
    <w:rsid w:val="00603316"/>
    <w:rsid w:val="006040AF"/>
    <w:rsid w:val="00605108"/>
    <w:rsid w:val="0060572F"/>
    <w:rsid w:val="006061FB"/>
    <w:rsid w:val="0060679A"/>
    <w:rsid w:val="006077CB"/>
    <w:rsid w:val="00607804"/>
    <w:rsid w:val="00610474"/>
    <w:rsid w:val="006124E9"/>
    <w:rsid w:val="00612D38"/>
    <w:rsid w:val="00614CE5"/>
    <w:rsid w:val="00615211"/>
    <w:rsid w:val="00616D92"/>
    <w:rsid w:val="00617487"/>
    <w:rsid w:val="00620FA4"/>
    <w:rsid w:val="00622738"/>
    <w:rsid w:val="00622AE2"/>
    <w:rsid w:val="0062380D"/>
    <w:rsid w:val="00624A2F"/>
    <w:rsid w:val="00624C85"/>
    <w:rsid w:val="00625C88"/>
    <w:rsid w:val="00627CBF"/>
    <w:rsid w:val="00632185"/>
    <w:rsid w:val="00632389"/>
    <w:rsid w:val="00632BA8"/>
    <w:rsid w:val="00636CF9"/>
    <w:rsid w:val="00637424"/>
    <w:rsid w:val="006416C4"/>
    <w:rsid w:val="006419CD"/>
    <w:rsid w:val="00641A8B"/>
    <w:rsid w:val="0064226A"/>
    <w:rsid w:val="00642CE3"/>
    <w:rsid w:val="006449C7"/>
    <w:rsid w:val="00645072"/>
    <w:rsid w:val="00645CD4"/>
    <w:rsid w:val="00646E97"/>
    <w:rsid w:val="00647BE7"/>
    <w:rsid w:val="006520AE"/>
    <w:rsid w:val="0065268F"/>
    <w:rsid w:val="0065544E"/>
    <w:rsid w:val="00655545"/>
    <w:rsid w:val="006571EC"/>
    <w:rsid w:val="006574E4"/>
    <w:rsid w:val="00657DF4"/>
    <w:rsid w:val="00657DF9"/>
    <w:rsid w:val="00660CB8"/>
    <w:rsid w:val="006616C7"/>
    <w:rsid w:val="00662AF3"/>
    <w:rsid w:val="00662C07"/>
    <w:rsid w:val="00663219"/>
    <w:rsid w:val="006638A6"/>
    <w:rsid w:val="00666452"/>
    <w:rsid w:val="00670F89"/>
    <w:rsid w:val="00672D77"/>
    <w:rsid w:val="00673DDE"/>
    <w:rsid w:val="0067491F"/>
    <w:rsid w:val="00674C2B"/>
    <w:rsid w:val="006769C8"/>
    <w:rsid w:val="006779A5"/>
    <w:rsid w:val="00680397"/>
    <w:rsid w:val="006846F9"/>
    <w:rsid w:val="00685A02"/>
    <w:rsid w:val="00685EFC"/>
    <w:rsid w:val="00686AD2"/>
    <w:rsid w:val="00690AAA"/>
    <w:rsid w:val="006920C3"/>
    <w:rsid w:val="006923E0"/>
    <w:rsid w:val="00693437"/>
    <w:rsid w:val="00693D46"/>
    <w:rsid w:val="00696635"/>
    <w:rsid w:val="00697199"/>
    <w:rsid w:val="006979F7"/>
    <w:rsid w:val="006A0224"/>
    <w:rsid w:val="006A038B"/>
    <w:rsid w:val="006A10A5"/>
    <w:rsid w:val="006A5566"/>
    <w:rsid w:val="006A5BDC"/>
    <w:rsid w:val="006A6859"/>
    <w:rsid w:val="006A6E98"/>
    <w:rsid w:val="006B03EF"/>
    <w:rsid w:val="006B170C"/>
    <w:rsid w:val="006B3D3B"/>
    <w:rsid w:val="006B3E23"/>
    <w:rsid w:val="006C0EF7"/>
    <w:rsid w:val="006C11BA"/>
    <w:rsid w:val="006C3764"/>
    <w:rsid w:val="006C4C74"/>
    <w:rsid w:val="006C5CEB"/>
    <w:rsid w:val="006D06DA"/>
    <w:rsid w:val="006D218D"/>
    <w:rsid w:val="006D30AD"/>
    <w:rsid w:val="006D449D"/>
    <w:rsid w:val="006D4BC5"/>
    <w:rsid w:val="006D5333"/>
    <w:rsid w:val="006D6DDA"/>
    <w:rsid w:val="006D7BC5"/>
    <w:rsid w:val="006E12A8"/>
    <w:rsid w:val="006E3F00"/>
    <w:rsid w:val="006E662D"/>
    <w:rsid w:val="006E7F55"/>
    <w:rsid w:val="006F04D3"/>
    <w:rsid w:val="006F06AF"/>
    <w:rsid w:val="006F17E4"/>
    <w:rsid w:val="006F5EC1"/>
    <w:rsid w:val="006F66B5"/>
    <w:rsid w:val="006F7408"/>
    <w:rsid w:val="0070064F"/>
    <w:rsid w:val="00700A26"/>
    <w:rsid w:val="00702BA0"/>
    <w:rsid w:val="00705554"/>
    <w:rsid w:val="00706771"/>
    <w:rsid w:val="00706A16"/>
    <w:rsid w:val="00706A8B"/>
    <w:rsid w:val="007075EF"/>
    <w:rsid w:val="00707B80"/>
    <w:rsid w:val="00710F5A"/>
    <w:rsid w:val="007132CB"/>
    <w:rsid w:val="007159BB"/>
    <w:rsid w:val="00715F2A"/>
    <w:rsid w:val="00717711"/>
    <w:rsid w:val="007200FD"/>
    <w:rsid w:val="007226B9"/>
    <w:rsid w:val="0072282F"/>
    <w:rsid w:val="007249C1"/>
    <w:rsid w:val="007255BC"/>
    <w:rsid w:val="007276DF"/>
    <w:rsid w:val="0073330D"/>
    <w:rsid w:val="00733E23"/>
    <w:rsid w:val="0073447B"/>
    <w:rsid w:val="00735242"/>
    <w:rsid w:val="0073526F"/>
    <w:rsid w:val="007359BB"/>
    <w:rsid w:val="007360B7"/>
    <w:rsid w:val="00737948"/>
    <w:rsid w:val="00740A80"/>
    <w:rsid w:val="0074101A"/>
    <w:rsid w:val="00745442"/>
    <w:rsid w:val="0074547B"/>
    <w:rsid w:val="00745E07"/>
    <w:rsid w:val="00745ED8"/>
    <w:rsid w:val="0074617D"/>
    <w:rsid w:val="007466F5"/>
    <w:rsid w:val="00746ABD"/>
    <w:rsid w:val="00747F57"/>
    <w:rsid w:val="00750F33"/>
    <w:rsid w:val="00751A19"/>
    <w:rsid w:val="00754651"/>
    <w:rsid w:val="007546B6"/>
    <w:rsid w:val="00754A3B"/>
    <w:rsid w:val="00756383"/>
    <w:rsid w:val="00756C3A"/>
    <w:rsid w:val="00757C20"/>
    <w:rsid w:val="007620E5"/>
    <w:rsid w:val="0076532D"/>
    <w:rsid w:val="00765473"/>
    <w:rsid w:val="00765A68"/>
    <w:rsid w:val="007663AC"/>
    <w:rsid w:val="00766A45"/>
    <w:rsid w:val="00766B4C"/>
    <w:rsid w:val="007674ED"/>
    <w:rsid w:val="00767CF8"/>
    <w:rsid w:val="00770396"/>
    <w:rsid w:val="0077041B"/>
    <w:rsid w:val="00770AF8"/>
    <w:rsid w:val="0077140B"/>
    <w:rsid w:val="007766E6"/>
    <w:rsid w:val="00781BB9"/>
    <w:rsid w:val="00781D98"/>
    <w:rsid w:val="007866E2"/>
    <w:rsid w:val="00787B31"/>
    <w:rsid w:val="0079008A"/>
    <w:rsid w:val="0079016D"/>
    <w:rsid w:val="0079271A"/>
    <w:rsid w:val="00794C64"/>
    <w:rsid w:val="00795E24"/>
    <w:rsid w:val="00795EBD"/>
    <w:rsid w:val="007979D3"/>
    <w:rsid w:val="007A1321"/>
    <w:rsid w:val="007A15F3"/>
    <w:rsid w:val="007A252B"/>
    <w:rsid w:val="007A4573"/>
    <w:rsid w:val="007B17E2"/>
    <w:rsid w:val="007B2124"/>
    <w:rsid w:val="007B21B6"/>
    <w:rsid w:val="007B2B04"/>
    <w:rsid w:val="007B2B3A"/>
    <w:rsid w:val="007B3136"/>
    <w:rsid w:val="007B43D5"/>
    <w:rsid w:val="007B6A66"/>
    <w:rsid w:val="007B730C"/>
    <w:rsid w:val="007B7F87"/>
    <w:rsid w:val="007C2613"/>
    <w:rsid w:val="007C2FCC"/>
    <w:rsid w:val="007C3377"/>
    <w:rsid w:val="007C4128"/>
    <w:rsid w:val="007C4A8C"/>
    <w:rsid w:val="007C4EC2"/>
    <w:rsid w:val="007C5CCF"/>
    <w:rsid w:val="007C7538"/>
    <w:rsid w:val="007D3997"/>
    <w:rsid w:val="007D4C27"/>
    <w:rsid w:val="007D4C34"/>
    <w:rsid w:val="007D6B4B"/>
    <w:rsid w:val="007D6E31"/>
    <w:rsid w:val="007D7152"/>
    <w:rsid w:val="007D7168"/>
    <w:rsid w:val="007E0D9C"/>
    <w:rsid w:val="007E4F0E"/>
    <w:rsid w:val="007F0AEF"/>
    <w:rsid w:val="007F19FE"/>
    <w:rsid w:val="007F2076"/>
    <w:rsid w:val="007F2EA4"/>
    <w:rsid w:val="007F3268"/>
    <w:rsid w:val="007F34B4"/>
    <w:rsid w:val="007F4BCF"/>
    <w:rsid w:val="007F517C"/>
    <w:rsid w:val="007F57BD"/>
    <w:rsid w:val="007F5DF5"/>
    <w:rsid w:val="007F731B"/>
    <w:rsid w:val="00800403"/>
    <w:rsid w:val="00802F6E"/>
    <w:rsid w:val="00803E25"/>
    <w:rsid w:val="008041B2"/>
    <w:rsid w:val="008049F6"/>
    <w:rsid w:val="00805914"/>
    <w:rsid w:val="008066B9"/>
    <w:rsid w:val="00807123"/>
    <w:rsid w:val="00807AF4"/>
    <w:rsid w:val="0081061F"/>
    <w:rsid w:val="00811371"/>
    <w:rsid w:val="0081211B"/>
    <w:rsid w:val="00813613"/>
    <w:rsid w:val="008138BA"/>
    <w:rsid w:val="00813952"/>
    <w:rsid w:val="00820065"/>
    <w:rsid w:val="0082102F"/>
    <w:rsid w:val="0082335B"/>
    <w:rsid w:val="00824506"/>
    <w:rsid w:val="00824A4B"/>
    <w:rsid w:val="00825551"/>
    <w:rsid w:val="00825CA5"/>
    <w:rsid w:val="0083021B"/>
    <w:rsid w:val="008302B0"/>
    <w:rsid w:val="00832009"/>
    <w:rsid w:val="0083374F"/>
    <w:rsid w:val="00833EF1"/>
    <w:rsid w:val="008341CB"/>
    <w:rsid w:val="0083423A"/>
    <w:rsid w:val="00834D0F"/>
    <w:rsid w:val="00835854"/>
    <w:rsid w:val="00837971"/>
    <w:rsid w:val="008428AE"/>
    <w:rsid w:val="0084336D"/>
    <w:rsid w:val="0084364C"/>
    <w:rsid w:val="00843D55"/>
    <w:rsid w:val="00843EB6"/>
    <w:rsid w:val="008452BB"/>
    <w:rsid w:val="00845431"/>
    <w:rsid w:val="00847995"/>
    <w:rsid w:val="00847CD4"/>
    <w:rsid w:val="00853890"/>
    <w:rsid w:val="00854A53"/>
    <w:rsid w:val="00854E41"/>
    <w:rsid w:val="00854E99"/>
    <w:rsid w:val="00856119"/>
    <w:rsid w:val="0085634E"/>
    <w:rsid w:val="00861298"/>
    <w:rsid w:val="0086215F"/>
    <w:rsid w:val="008628B4"/>
    <w:rsid w:val="008637EF"/>
    <w:rsid w:val="008639F0"/>
    <w:rsid w:val="008643BE"/>
    <w:rsid w:val="00865B62"/>
    <w:rsid w:val="008701EE"/>
    <w:rsid w:val="00873139"/>
    <w:rsid w:val="00875DF4"/>
    <w:rsid w:val="0087605B"/>
    <w:rsid w:val="00876B9D"/>
    <w:rsid w:val="008804CC"/>
    <w:rsid w:val="00881066"/>
    <w:rsid w:val="0088249F"/>
    <w:rsid w:val="008851B5"/>
    <w:rsid w:val="00885500"/>
    <w:rsid w:val="008862CC"/>
    <w:rsid w:val="00890847"/>
    <w:rsid w:val="00891DDC"/>
    <w:rsid w:val="008929FD"/>
    <w:rsid w:val="00893B9E"/>
    <w:rsid w:val="00894FF3"/>
    <w:rsid w:val="008954B0"/>
    <w:rsid w:val="00895C2A"/>
    <w:rsid w:val="00897A4F"/>
    <w:rsid w:val="008A0D95"/>
    <w:rsid w:val="008A1564"/>
    <w:rsid w:val="008A5195"/>
    <w:rsid w:val="008A71D7"/>
    <w:rsid w:val="008B1203"/>
    <w:rsid w:val="008B1653"/>
    <w:rsid w:val="008B2ADA"/>
    <w:rsid w:val="008B3A27"/>
    <w:rsid w:val="008B4147"/>
    <w:rsid w:val="008B7321"/>
    <w:rsid w:val="008B7546"/>
    <w:rsid w:val="008B7753"/>
    <w:rsid w:val="008C0280"/>
    <w:rsid w:val="008C048B"/>
    <w:rsid w:val="008C0B3E"/>
    <w:rsid w:val="008C487F"/>
    <w:rsid w:val="008C50AA"/>
    <w:rsid w:val="008C5B50"/>
    <w:rsid w:val="008C61E1"/>
    <w:rsid w:val="008C68C8"/>
    <w:rsid w:val="008D1A4C"/>
    <w:rsid w:val="008D3D4B"/>
    <w:rsid w:val="008D418A"/>
    <w:rsid w:val="008D4BE3"/>
    <w:rsid w:val="008D518A"/>
    <w:rsid w:val="008D5751"/>
    <w:rsid w:val="008D5D4D"/>
    <w:rsid w:val="008D61DF"/>
    <w:rsid w:val="008D68B4"/>
    <w:rsid w:val="008D776A"/>
    <w:rsid w:val="008E0BC9"/>
    <w:rsid w:val="008E0D42"/>
    <w:rsid w:val="008E0DB0"/>
    <w:rsid w:val="008E0E9F"/>
    <w:rsid w:val="008E1227"/>
    <w:rsid w:val="008E29AC"/>
    <w:rsid w:val="008E5C6B"/>
    <w:rsid w:val="008E658F"/>
    <w:rsid w:val="008E6CF7"/>
    <w:rsid w:val="008E75A9"/>
    <w:rsid w:val="008E7A31"/>
    <w:rsid w:val="008F0FFF"/>
    <w:rsid w:val="008F1BBF"/>
    <w:rsid w:val="008F6474"/>
    <w:rsid w:val="008F65A6"/>
    <w:rsid w:val="009011AB"/>
    <w:rsid w:val="00902511"/>
    <w:rsid w:val="00903237"/>
    <w:rsid w:val="00903995"/>
    <w:rsid w:val="00903BC9"/>
    <w:rsid w:val="0090499F"/>
    <w:rsid w:val="00906B89"/>
    <w:rsid w:val="00907488"/>
    <w:rsid w:val="00907E1D"/>
    <w:rsid w:val="00907E7A"/>
    <w:rsid w:val="009116E2"/>
    <w:rsid w:val="00911F31"/>
    <w:rsid w:val="00912F93"/>
    <w:rsid w:val="009136ED"/>
    <w:rsid w:val="00913EE4"/>
    <w:rsid w:val="0091760E"/>
    <w:rsid w:val="00917B97"/>
    <w:rsid w:val="00922A2E"/>
    <w:rsid w:val="009231C2"/>
    <w:rsid w:val="009234D1"/>
    <w:rsid w:val="009235D3"/>
    <w:rsid w:val="00925136"/>
    <w:rsid w:val="00925DC6"/>
    <w:rsid w:val="00927042"/>
    <w:rsid w:val="00927EB0"/>
    <w:rsid w:val="00931B2F"/>
    <w:rsid w:val="00932726"/>
    <w:rsid w:val="00932FEE"/>
    <w:rsid w:val="00934F5D"/>
    <w:rsid w:val="00936171"/>
    <w:rsid w:val="00941CBF"/>
    <w:rsid w:val="00941E0D"/>
    <w:rsid w:val="0094258E"/>
    <w:rsid w:val="009427CF"/>
    <w:rsid w:val="009438EA"/>
    <w:rsid w:val="00944952"/>
    <w:rsid w:val="009457E7"/>
    <w:rsid w:val="00945F48"/>
    <w:rsid w:val="0094622A"/>
    <w:rsid w:val="009462FA"/>
    <w:rsid w:val="0094694C"/>
    <w:rsid w:val="009508AB"/>
    <w:rsid w:val="009523C1"/>
    <w:rsid w:val="009536A8"/>
    <w:rsid w:val="00954ECB"/>
    <w:rsid w:val="00955084"/>
    <w:rsid w:val="009550BA"/>
    <w:rsid w:val="00956211"/>
    <w:rsid w:val="00956C1C"/>
    <w:rsid w:val="00960C24"/>
    <w:rsid w:val="00960C99"/>
    <w:rsid w:val="00960CAA"/>
    <w:rsid w:val="00961707"/>
    <w:rsid w:val="009641CD"/>
    <w:rsid w:val="00964CE1"/>
    <w:rsid w:val="0097657A"/>
    <w:rsid w:val="0097674B"/>
    <w:rsid w:val="00977398"/>
    <w:rsid w:val="00980851"/>
    <w:rsid w:val="0098150B"/>
    <w:rsid w:val="00981EAE"/>
    <w:rsid w:val="0098310E"/>
    <w:rsid w:val="0098387E"/>
    <w:rsid w:val="009843AB"/>
    <w:rsid w:val="00984678"/>
    <w:rsid w:val="00985928"/>
    <w:rsid w:val="00986634"/>
    <w:rsid w:val="0098687E"/>
    <w:rsid w:val="00990883"/>
    <w:rsid w:val="0099295C"/>
    <w:rsid w:val="00993A69"/>
    <w:rsid w:val="009943C2"/>
    <w:rsid w:val="00996DE4"/>
    <w:rsid w:val="009A0AEB"/>
    <w:rsid w:val="009A1AFF"/>
    <w:rsid w:val="009A2A14"/>
    <w:rsid w:val="009A2B3A"/>
    <w:rsid w:val="009A2C3C"/>
    <w:rsid w:val="009A319D"/>
    <w:rsid w:val="009A642A"/>
    <w:rsid w:val="009A6D10"/>
    <w:rsid w:val="009B047E"/>
    <w:rsid w:val="009B0CC6"/>
    <w:rsid w:val="009B0CFA"/>
    <w:rsid w:val="009B1418"/>
    <w:rsid w:val="009B1794"/>
    <w:rsid w:val="009B55AA"/>
    <w:rsid w:val="009B588C"/>
    <w:rsid w:val="009B71E2"/>
    <w:rsid w:val="009B72E8"/>
    <w:rsid w:val="009B7E99"/>
    <w:rsid w:val="009C0D9C"/>
    <w:rsid w:val="009C4634"/>
    <w:rsid w:val="009C49F4"/>
    <w:rsid w:val="009C5CD8"/>
    <w:rsid w:val="009C633A"/>
    <w:rsid w:val="009D0739"/>
    <w:rsid w:val="009D3359"/>
    <w:rsid w:val="009D5C98"/>
    <w:rsid w:val="009D66E2"/>
    <w:rsid w:val="009E1173"/>
    <w:rsid w:val="009E27D2"/>
    <w:rsid w:val="009E3741"/>
    <w:rsid w:val="009E69FA"/>
    <w:rsid w:val="009E6FD1"/>
    <w:rsid w:val="009F078C"/>
    <w:rsid w:val="009F1353"/>
    <w:rsid w:val="009F3C1B"/>
    <w:rsid w:val="009F3C94"/>
    <w:rsid w:val="009F3DC6"/>
    <w:rsid w:val="009F4ADD"/>
    <w:rsid w:val="009F68AA"/>
    <w:rsid w:val="009F728C"/>
    <w:rsid w:val="00A01111"/>
    <w:rsid w:val="00A01130"/>
    <w:rsid w:val="00A014BF"/>
    <w:rsid w:val="00A02051"/>
    <w:rsid w:val="00A0447C"/>
    <w:rsid w:val="00A05565"/>
    <w:rsid w:val="00A060CB"/>
    <w:rsid w:val="00A0646B"/>
    <w:rsid w:val="00A07E36"/>
    <w:rsid w:val="00A07F37"/>
    <w:rsid w:val="00A107BB"/>
    <w:rsid w:val="00A11DA8"/>
    <w:rsid w:val="00A12045"/>
    <w:rsid w:val="00A129D4"/>
    <w:rsid w:val="00A12BAB"/>
    <w:rsid w:val="00A12DF4"/>
    <w:rsid w:val="00A14954"/>
    <w:rsid w:val="00A15C08"/>
    <w:rsid w:val="00A22F36"/>
    <w:rsid w:val="00A25297"/>
    <w:rsid w:val="00A25826"/>
    <w:rsid w:val="00A27CD1"/>
    <w:rsid w:val="00A305C3"/>
    <w:rsid w:val="00A3063C"/>
    <w:rsid w:val="00A3147B"/>
    <w:rsid w:val="00A31BCC"/>
    <w:rsid w:val="00A31F0B"/>
    <w:rsid w:val="00A327C2"/>
    <w:rsid w:val="00A33054"/>
    <w:rsid w:val="00A341B2"/>
    <w:rsid w:val="00A347C7"/>
    <w:rsid w:val="00A34A30"/>
    <w:rsid w:val="00A36011"/>
    <w:rsid w:val="00A36AC0"/>
    <w:rsid w:val="00A4107B"/>
    <w:rsid w:val="00A4158A"/>
    <w:rsid w:val="00A42768"/>
    <w:rsid w:val="00A42EC7"/>
    <w:rsid w:val="00A44CD2"/>
    <w:rsid w:val="00A46D7F"/>
    <w:rsid w:val="00A50C91"/>
    <w:rsid w:val="00A52D9E"/>
    <w:rsid w:val="00A532CF"/>
    <w:rsid w:val="00A5360F"/>
    <w:rsid w:val="00A554F4"/>
    <w:rsid w:val="00A55585"/>
    <w:rsid w:val="00A5703B"/>
    <w:rsid w:val="00A61D03"/>
    <w:rsid w:val="00A6293E"/>
    <w:rsid w:val="00A63A88"/>
    <w:rsid w:val="00A6407F"/>
    <w:rsid w:val="00A64A6E"/>
    <w:rsid w:val="00A64CAD"/>
    <w:rsid w:val="00A6521E"/>
    <w:rsid w:val="00A65455"/>
    <w:rsid w:val="00A65822"/>
    <w:rsid w:val="00A660B3"/>
    <w:rsid w:val="00A667D8"/>
    <w:rsid w:val="00A671DF"/>
    <w:rsid w:val="00A707B5"/>
    <w:rsid w:val="00A70BEC"/>
    <w:rsid w:val="00A70F1D"/>
    <w:rsid w:val="00A72130"/>
    <w:rsid w:val="00A74717"/>
    <w:rsid w:val="00A74CCF"/>
    <w:rsid w:val="00A75761"/>
    <w:rsid w:val="00A83B1D"/>
    <w:rsid w:val="00A849F5"/>
    <w:rsid w:val="00A851DD"/>
    <w:rsid w:val="00A8673F"/>
    <w:rsid w:val="00A90A0E"/>
    <w:rsid w:val="00A91F7A"/>
    <w:rsid w:val="00A93FC3"/>
    <w:rsid w:val="00A95D13"/>
    <w:rsid w:val="00A95D92"/>
    <w:rsid w:val="00A96811"/>
    <w:rsid w:val="00AA4CEA"/>
    <w:rsid w:val="00AB17A4"/>
    <w:rsid w:val="00AB3F1D"/>
    <w:rsid w:val="00AB3FC2"/>
    <w:rsid w:val="00AB5734"/>
    <w:rsid w:val="00AB6270"/>
    <w:rsid w:val="00AB64E3"/>
    <w:rsid w:val="00AB64EF"/>
    <w:rsid w:val="00AB69D5"/>
    <w:rsid w:val="00AB70DD"/>
    <w:rsid w:val="00AC0A40"/>
    <w:rsid w:val="00AC1C9F"/>
    <w:rsid w:val="00AC206F"/>
    <w:rsid w:val="00AC2126"/>
    <w:rsid w:val="00AC2F5D"/>
    <w:rsid w:val="00AC33AC"/>
    <w:rsid w:val="00AC38C5"/>
    <w:rsid w:val="00AC427A"/>
    <w:rsid w:val="00AC4AEA"/>
    <w:rsid w:val="00AC6A77"/>
    <w:rsid w:val="00AD1579"/>
    <w:rsid w:val="00AD2161"/>
    <w:rsid w:val="00AD2C2D"/>
    <w:rsid w:val="00AD4A78"/>
    <w:rsid w:val="00AD65E5"/>
    <w:rsid w:val="00AE2154"/>
    <w:rsid w:val="00AE3DC9"/>
    <w:rsid w:val="00AE4B18"/>
    <w:rsid w:val="00AE6AFD"/>
    <w:rsid w:val="00AE78A1"/>
    <w:rsid w:val="00AE7ACF"/>
    <w:rsid w:val="00AF0545"/>
    <w:rsid w:val="00AF0CC0"/>
    <w:rsid w:val="00AF1EB6"/>
    <w:rsid w:val="00AF23A9"/>
    <w:rsid w:val="00AF3F2A"/>
    <w:rsid w:val="00AF4DB1"/>
    <w:rsid w:val="00AF55EC"/>
    <w:rsid w:val="00AF622E"/>
    <w:rsid w:val="00AF7DCE"/>
    <w:rsid w:val="00B0008E"/>
    <w:rsid w:val="00B01328"/>
    <w:rsid w:val="00B015F8"/>
    <w:rsid w:val="00B01D73"/>
    <w:rsid w:val="00B0549E"/>
    <w:rsid w:val="00B055D3"/>
    <w:rsid w:val="00B05B13"/>
    <w:rsid w:val="00B0632C"/>
    <w:rsid w:val="00B06A49"/>
    <w:rsid w:val="00B06FB6"/>
    <w:rsid w:val="00B104B7"/>
    <w:rsid w:val="00B11FB8"/>
    <w:rsid w:val="00B13955"/>
    <w:rsid w:val="00B14218"/>
    <w:rsid w:val="00B14730"/>
    <w:rsid w:val="00B14F25"/>
    <w:rsid w:val="00B153BF"/>
    <w:rsid w:val="00B15A6C"/>
    <w:rsid w:val="00B16AB2"/>
    <w:rsid w:val="00B1718E"/>
    <w:rsid w:val="00B17282"/>
    <w:rsid w:val="00B17425"/>
    <w:rsid w:val="00B17579"/>
    <w:rsid w:val="00B17952"/>
    <w:rsid w:val="00B206E8"/>
    <w:rsid w:val="00B20821"/>
    <w:rsid w:val="00B20931"/>
    <w:rsid w:val="00B22431"/>
    <w:rsid w:val="00B23522"/>
    <w:rsid w:val="00B23F1C"/>
    <w:rsid w:val="00B249EB"/>
    <w:rsid w:val="00B259A5"/>
    <w:rsid w:val="00B25A67"/>
    <w:rsid w:val="00B26FC0"/>
    <w:rsid w:val="00B27B8E"/>
    <w:rsid w:val="00B3097C"/>
    <w:rsid w:val="00B336C7"/>
    <w:rsid w:val="00B339EE"/>
    <w:rsid w:val="00B34061"/>
    <w:rsid w:val="00B348D0"/>
    <w:rsid w:val="00B34927"/>
    <w:rsid w:val="00B34D50"/>
    <w:rsid w:val="00B407F4"/>
    <w:rsid w:val="00B40F5D"/>
    <w:rsid w:val="00B5424E"/>
    <w:rsid w:val="00B56D7F"/>
    <w:rsid w:val="00B56FC1"/>
    <w:rsid w:val="00B610B8"/>
    <w:rsid w:val="00B62498"/>
    <w:rsid w:val="00B64E17"/>
    <w:rsid w:val="00B656BE"/>
    <w:rsid w:val="00B66A97"/>
    <w:rsid w:val="00B671D8"/>
    <w:rsid w:val="00B67719"/>
    <w:rsid w:val="00B703BE"/>
    <w:rsid w:val="00B7113E"/>
    <w:rsid w:val="00B72C1D"/>
    <w:rsid w:val="00B76897"/>
    <w:rsid w:val="00B7752F"/>
    <w:rsid w:val="00B81D96"/>
    <w:rsid w:val="00B82B3C"/>
    <w:rsid w:val="00B82FE4"/>
    <w:rsid w:val="00B87972"/>
    <w:rsid w:val="00B90757"/>
    <w:rsid w:val="00B9099A"/>
    <w:rsid w:val="00B916D0"/>
    <w:rsid w:val="00B918ED"/>
    <w:rsid w:val="00B92860"/>
    <w:rsid w:val="00B93EE2"/>
    <w:rsid w:val="00B95F23"/>
    <w:rsid w:val="00B96361"/>
    <w:rsid w:val="00B96AE2"/>
    <w:rsid w:val="00BA3F14"/>
    <w:rsid w:val="00BA4513"/>
    <w:rsid w:val="00BA4F9B"/>
    <w:rsid w:val="00BA5890"/>
    <w:rsid w:val="00BB054B"/>
    <w:rsid w:val="00BB1EB0"/>
    <w:rsid w:val="00BB6ADD"/>
    <w:rsid w:val="00BB72A9"/>
    <w:rsid w:val="00BC0B22"/>
    <w:rsid w:val="00BC0E01"/>
    <w:rsid w:val="00BC7D7F"/>
    <w:rsid w:val="00BD67F6"/>
    <w:rsid w:val="00BD7AD4"/>
    <w:rsid w:val="00BE1343"/>
    <w:rsid w:val="00BE5C87"/>
    <w:rsid w:val="00BE6F6C"/>
    <w:rsid w:val="00BF06D8"/>
    <w:rsid w:val="00BF0BDF"/>
    <w:rsid w:val="00BF1B82"/>
    <w:rsid w:val="00BF254B"/>
    <w:rsid w:val="00BF5DBE"/>
    <w:rsid w:val="00BF7F89"/>
    <w:rsid w:val="00C00626"/>
    <w:rsid w:val="00C021DB"/>
    <w:rsid w:val="00C02299"/>
    <w:rsid w:val="00C03B66"/>
    <w:rsid w:val="00C042D6"/>
    <w:rsid w:val="00C0495F"/>
    <w:rsid w:val="00C051DC"/>
    <w:rsid w:val="00C0584C"/>
    <w:rsid w:val="00C0644E"/>
    <w:rsid w:val="00C11076"/>
    <w:rsid w:val="00C11312"/>
    <w:rsid w:val="00C13246"/>
    <w:rsid w:val="00C145EC"/>
    <w:rsid w:val="00C1496B"/>
    <w:rsid w:val="00C14BCB"/>
    <w:rsid w:val="00C22D2A"/>
    <w:rsid w:val="00C2491A"/>
    <w:rsid w:val="00C24C0D"/>
    <w:rsid w:val="00C25BA4"/>
    <w:rsid w:val="00C3051D"/>
    <w:rsid w:val="00C3192E"/>
    <w:rsid w:val="00C32227"/>
    <w:rsid w:val="00C32476"/>
    <w:rsid w:val="00C32477"/>
    <w:rsid w:val="00C32C93"/>
    <w:rsid w:val="00C33794"/>
    <w:rsid w:val="00C3614B"/>
    <w:rsid w:val="00C3740B"/>
    <w:rsid w:val="00C400C8"/>
    <w:rsid w:val="00C4337F"/>
    <w:rsid w:val="00C43CA2"/>
    <w:rsid w:val="00C43F2B"/>
    <w:rsid w:val="00C453D0"/>
    <w:rsid w:val="00C50CD6"/>
    <w:rsid w:val="00C513A8"/>
    <w:rsid w:val="00C524FF"/>
    <w:rsid w:val="00C52A2D"/>
    <w:rsid w:val="00C53BC5"/>
    <w:rsid w:val="00C5613C"/>
    <w:rsid w:val="00C56C84"/>
    <w:rsid w:val="00C574EA"/>
    <w:rsid w:val="00C61D36"/>
    <w:rsid w:val="00C641E2"/>
    <w:rsid w:val="00C64741"/>
    <w:rsid w:val="00C660BE"/>
    <w:rsid w:val="00C661AF"/>
    <w:rsid w:val="00C667F0"/>
    <w:rsid w:val="00C67460"/>
    <w:rsid w:val="00C67940"/>
    <w:rsid w:val="00C67AA7"/>
    <w:rsid w:val="00C705CA"/>
    <w:rsid w:val="00C72325"/>
    <w:rsid w:val="00C72BC4"/>
    <w:rsid w:val="00C745C1"/>
    <w:rsid w:val="00C753EE"/>
    <w:rsid w:val="00C75F41"/>
    <w:rsid w:val="00C7658C"/>
    <w:rsid w:val="00C80B61"/>
    <w:rsid w:val="00C82586"/>
    <w:rsid w:val="00C8276A"/>
    <w:rsid w:val="00C82F5D"/>
    <w:rsid w:val="00C83B05"/>
    <w:rsid w:val="00C844A7"/>
    <w:rsid w:val="00C86436"/>
    <w:rsid w:val="00C879B0"/>
    <w:rsid w:val="00C90CC7"/>
    <w:rsid w:val="00C90E1E"/>
    <w:rsid w:val="00C91287"/>
    <w:rsid w:val="00C91EAE"/>
    <w:rsid w:val="00C9291C"/>
    <w:rsid w:val="00C93BC7"/>
    <w:rsid w:val="00C940D7"/>
    <w:rsid w:val="00C9449C"/>
    <w:rsid w:val="00C94D91"/>
    <w:rsid w:val="00C9767F"/>
    <w:rsid w:val="00C97840"/>
    <w:rsid w:val="00CA00C6"/>
    <w:rsid w:val="00CA18FD"/>
    <w:rsid w:val="00CA226C"/>
    <w:rsid w:val="00CA297D"/>
    <w:rsid w:val="00CA46E3"/>
    <w:rsid w:val="00CA4EB8"/>
    <w:rsid w:val="00CA5B86"/>
    <w:rsid w:val="00CA64A1"/>
    <w:rsid w:val="00CB2B68"/>
    <w:rsid w:val="00CB694C"/>
    <w:rsid w:val="00CB6A27"/>
    <w:rsid w:val="00CB7875"/>
    <w:rsid w:val="00CB79C9"/>
    <w:rsid w:val="00CC38E9"/>
    <w:rsid w:val="00CC54E5"/>
    <w:rsid w:val="00CC6523"/>
    <w:rsid w:val="00CC69FE"/>
    <w:rsid w:val="00CC6FCF"/>
    <w:rsid w:val="00CC7894"/>
    <w:rsid w:val="00CC7F05"/>
    <w:rsid w:val="00CD0274"/>
    <w:rsid w:val="00CD0474"/>
    <w:rsid w:val="00CD1A1E"/>
    <w:rsid w:val="00CD2924"/>
    <w:rsid w:val="00CD318D"/>
    <w:rsid w:val="00CD381B"/>
    <w:rsid w:val="00CD4BA8"/>
    <w:rsid w:val="00CD7403"/>
    <w:rsid w:val="00CD7F7C"/>
    <w:rsid w:val="00CE15EA"/>
    <w:rsid w:val="00CE1F54"/>
    <w:rsid w:val="00CE2965"/>
    <w:rsid w:val="00CE2EFF"/>
    <w:rsid w:val="00CE3821"/>
    <w:rsid w:val="00CE42F9"/>
    <w:rsid w:val="00CE4E1A"/>
    <w:rsid w:val="00CE620C"/>
    <w:rsid w:val="00CE6345"/>
    <w:rsid w:val="00CE739A"/>
    <w:rsid w:val="00CF1770"/>
    <w:rsid w:val="00CF4469"/>
    <w:rsid w:val="00CF519A"/>
    <w:rsid w:val="00CF7381"/>
    <w:rsid w:val="00CF74EF"/>
    <w:rsid w:val="00CF778C"/>
    <w:rsid w:val="00D00E99"/>
    <w:rsid w:val="00D01AF0"/>
    <w:rsid w:val="00D01F4D"/>
    <w:rsid w:val="00D02043"/>
    <w:rsid w:val="00D02092"/>
    <w:rsid w:val="00D02A3B"/>
    <w:rsid w:val="00D03C76"/>
    <w:rsid w:val="00D11A29"/>
    <w:rsid w:val="00D11AB8"/>
    <w:rsid w:val="00D122D4"/>
    <w:rsid w:val="00D135B5"/>
    <w:rsid w:val="00D14399"/>
    <w:rsid w:val="00D16800"/>
    <w:rsid w:val="00D17042"/>
    <w:rsid w:val="00D21012"/>
    <w:rsid w:val="00D2513E"/>
    <w:rsid w:val="00D255B6"/>
    <w:rsid w:val="00D25F04"/>
    <w:rsid w:val="00D30884"/>
    <w:rsid w:val="00D3139C"/>
    <w:rsid w:val="00D33405"/>
    <w:rsid w:val="00D342FD"/>
    <w:rsid w:val="00D35E0C"/>
    <w:rsid w:val="00D3731A"/>
    <w:rsid w:val="00D3744C"/>
    <w:rsid w:val="00D37670"/>
    <w:rsid w:val="00D37BE2"/>
    <w:rsid w:val="00D41EAD"/>
    <w:rsid w:val="00D4265E"/>
    <w:rsid w:val="00D429EE"/>
    <w:rsid w:val="00D442B0"/>
    <w:rsid w:val="00D457D3"/>
    <w:rsid w:val="00D47410"/>
    <w:rsid w:val="00D51679"/>
    <w:rsid w:val="00D51A93"/>
    <w:rsid w:val="00D5427C"/>
    <w:rsid w:val="00D55579"/>
    <w:rsid w:val="00D56181"/>
    <w:rsid w:val="00D56AF1"/>
    <w:rsid w:val="00D60AA7"/>
    <w:rsid w:val="00D60AF0"/>
    <w:rsid w:val="00D63D01"/>
    <w:rsid w:val="00D657A0"/>
    <w:rsid w:val="00D6649F"/>
    <w:rsid w:val="00D67251"/>
    <w:rsid w:val="00D7006B"/>
    <w:rsid w:val="00D70092"/>
    <w:rsid w:val="00D70363"/>
    <w:rsid w:val="00D7134B"/>
    <w:rsid w:val="00D726AF"/>
    <w:rsid w:val="00D752EF"/>
    <w:rsid w:val="00D7672A"/>
    <w:rsid w:val="00D77563"/>
    <w:rsid w:val="00D77C34"/>
    <w:rsid w:val="00D80231"/>
    <w:rsid w:val="00D80DC5"/>
    <w:rsid w:val="00D8113A"/>
    <w:rsid w:val="00D822E9"/>
    <w:rsid w:val="00D83553"/>
    <w:rsid w:val="00D86CE5"/>
    <w:rsid w:val="00D8763A"/>
    <w:rsid w:val="00D87942"/>
    <w:rsid w:val="00D933F6"/>
    <w:rsid w:val="00D94FCA"/>
    <w:rsid w:val="00D951A7"/>
    <w:rsid w:val="00D957C6"/>
    <w:rsid w:val="00D96B47"/>
    <w:rsid w:val="00D97CC6"/>
    <w:rsid w:val="00D97D33"/>
    <w:rsid w:val="00DA13D3"/>
    <w:rsid w:val="00DA2442"/>
    <w:rsid w:val="00DA3EDE"/>
    <w:rsid w:val="00DA4E6A"/>
    <w:rsid w:val="00DA505E"/>
    <w:rsid w:val="00DA572F"/>
    <w:rsid w:val="00DA7EC9"/>
    <w:rsid w:val="00DB045F"/>
    <w:rsid w:val="00DB239E"/>
    <w:rsid w:val="00DB680F"/>
    <w:rsid w:val="00DB6B5D"/>
    <w:rsid w:val="00DB78F4"/>
    <w:rsid w:val="00DC2A60"/>
    <w:rsid w:val="00DC5895"/>
    <w:rsid w:val="00DC5FE4"/>
    <w:rsid w:val="00DD1FF9"/>
    <w:rsid w:val="00DD235F"/>
    <w:rsid w:val="00DD46E4"/>
    <w:rsid w:val="00DD4AD1"/>
    <w:rsid w:val="00DD625F"/>
    <w:rsid w:val="00DD6734"/>
    <w:rsid w:val="00DD72E5"/>
    <w:rsid w:val="00DD74A9"/>
    <w:rsid w:val="00DD7CD4"/>
    <w:rsid w:val="00DE0169"/>
    <w:rsid w:val="00DE3019"/>
    <w:rsid w:val="00DE3C3A"/>
    <w:rsid w:val="00DF0732"/>
    <w:rsid w:val="00DF0FC0"/>
    <w:rsid w:val="00DF2296"/>
    <w:rsid w:val="00DF2603"/>
    <w:rsid w:val="00DF41DE"/>
    <w:rsid w:val="00DF4DBF"/>
    <w:rsid w:val="00DF5BBB"/>
    <w:rsid w:val="00DF5E50"/>
    <w:rsid w:val="00DF69BC"/>
    <w:rsid w:val="00DF7458"/>
    <w:rsid w:val="00E03033"/>
    <w:rsid w:val="00E032C3"/>
    <w:rsid w:val="00E03C1C"/>
    <w:rsid w:val="00E057A2"/>
    <w:rsid w:val="00E05B4F"/>
    <w:rsid w:val="00E06911"/>
    <w:rsid w:val="00E1018B"/>
    <w:rsid w:val="00E110B9"/>
    <w:rsid w:val="00E11212"/>
    <w:rsid w:val="00E11C6B"/>
    <w:rsid w:val="00E11E84"/>
    <w:rsid w:val="00E12830"/>
    <w:rsid w:val="00E12CCB"/>
    <w:rsid w:val="00E16AF7"/>
    <w:rsid w:val="00E16DEB"/>
    <w:rsid w:val="00E1757C"/>
    <w:rsid w:val="00E2129F"/>
    <w:rsid w:val="00E259D7"/>
    <w:rsid w:val="00E303D7"/>
    <w:rsid w:val="00E30F46"/>
    <w:rsid w:val="00E31785"/>
    <w:rsid w:val="00E31890"/>
    <w:rsid w:val="00E318BA"/>
    <w:rsid w:val="00E33A39"/>
    <w:rsid w:val="00E33B59"/>
    <w:rsid w:val="00E33CA5"/>
    <w:rsid w:val="00E341E6"/>
    <w:rsid w:val="00E354D0"/>
    <w:rsid w:val="00E37699"/>
    <w:rsid w:val="00E4191F"/>
    <w:rsid w:val="00E42E53"/>
    <w:rsid w:val="00E43B5D"/>
    <w:rsid w:val="00E45A91"/>
    <w:rsid w:val="00E46C10"/>
    <w:rsid w:val="00E46DB6"/>
    <w:rsid w:val="00E47480"/>
    <w:rsid w:val="00E5312B"/>
    <w:rsid w:val="00E53BF5"/>
    <w:rsid w:val="00E54367"/>
    <w:rsid w:val="00E55668"/>
    <w:rsid w:val="00E56507"/>
    <w:rsid w:val="00E57E3B"/>
    <w:rsid w:val="00E60C12"/>
    <w:rsid w:val="00E60C92"/>
    <w:rsid w:val="00E61596"/>
    <w:rsid w:val="00E61748"/>
    <w:rsid w:val="00E6269C"/>
    <w:rsid w:val="00E62914"/>
    <w:rsid w:val="00E63142"/>
    <w:rsid w:val="00E63651"/>
    <w:rsid w:val="00E64636"/>
    <w:rsid w:val="00E653CA"/>
    <w:rsid w:val="00E66970"/>
    <w:rsid w:val="00E6698C"/>
    <w:rsid w:val="00E66AF5"/>
    <w:rsid w:val="00E6756C"/>
    <w:rsid w:val="00E71819"/>
    <w:rsid w:val="00E718A2"/>
    <w:rsid w:val="00E72C97"/>
    <w:rsid w:val="00E74A2D"/>
    <w:rsid w:val="00E74B86"/>
    <w:rsid w:val="00E74C50"/>
    <w:rsid w:val="00E7562D"/>
    <w:rsid w:val="00E766EE"/>
    <w:rsid w:val="00E770A3"/>
    <w:rsid w:val="00E8226D"/>
    <w:rsid w:val="00E83498"/>
    <w:rsid w:val="00E845DF"/>
    <w:rsid w:val="00E85C05"/>
    <w:rsid w:val="00E868D2"/>
    <w:rsid w:val="00E9078B"/>
    <w:rsid w:val="00E914FB"/>
    <w:rsid w:val="00E92977"/>
    <w:rsid w:val="00E92C77"/>
    <w:rsid w:val="00E93932"/>
    <w:rsid w:val="00E939E0"/>
    <w:rsid w:val="00E93F56"/>
    <w:rsid w:val="00E96EE6"/>
    <w:rsid w:val="00EA0D33"/>
    <w:rsid w:val="00EA1FFE"/>
    <w:rsid w:val="00EA2AD5"/>
    <w:rsid w:val="00EA30C7"/>
    <w:rsid w:val="00EA36B8"/>
    <w:rsid w:val="00EA3DE6"/>
    <w:rsid w:val="00EA620D"/>
    <w:rsid w:val="00EA685A"/>
    <w:rsid w:val="00EA6EDE"/>
    <w:rsid w:val="00EA7777"/>
    <w:rsid w:val="00EA780A"/>
    <w:rsid w:val="00EA7AAF"/>
    <w:rsid w:val="00EB193A"/>
    <w:rsid w:val="00EB1D1B"/>
    <w:rsid w:val="00EB2B6E"/>
    <w:rsid w:val="00EB4A94"/>
    <w:rsid w:val="00EB4F02"/>
    <w:rsid w:val="00EB69FE"/>
    <w:rsid w:val="00EC239A"/>
    <w:rsid w:val="00EC3C03"/>
    <w:rsid w:val="00EC52B2"/>
    <w:rsid w:val="00EC64D6"/>
    <w:rsid w:val="00EC666E"/>
    <w:rsid w:val="00EC6D8C"/>
    <w:rsid w:val="00EC6E64"/>
    <w:rsid w:val="00ED1080"/>
    <w:rsid w:val="00ED12A1"/>
    <w:rsid w:val="00ED5788"/>
    <w:rsid w:val="00ED6EC2"/>
    <w:rsid w:val="00ED7C7A"/>
    <w:rsid w:val="00EE0CCB"/>
    <w:rsid w:val="00EE0E33"/>
    <w:rsid w:val="00EE0F2F"/>
    <w:rsid w:val="00EE0F78"/>
    <w:rsid w:val="00EE245A"/>
    <w:rsid w:val="00EE38C6"/>
    <w:rsid w:val="00EE63DB"/>
    <w:rsid w:val="00EE6DAD"/>
    <w:rsid w:val="00EE707B"/>
    <w:rsid w:val="00EF06BB"/>
    <w:rsid w:val="00EF23DE"/>
    <w:rsid w:val="00EF2A2F"/>
    <w:rsid w:val="00EF3FC5"/>
    <w:rsid w:val="00EF5C82"/>
    <w:rsid w:val="00EF6CD0"/>
    <w:rsid w:val="00F01026"/>
    <w:rsid w:val="00F01780"/>
    <w:rsid w:val="00F01DBA"/>
    <w:rsid w:val="00F031C4"/>
    <w:rsid w:val="00F039CF"/>
    <w:rsid w:val="00F03BBC"/>
    <w:rsid w:val="00F043BA"/>
    <w:rsid w:val="00F0466A"/>
    <w:rsid w:val="00F04ACF"/>
    <w:rsid w:val="00F04F05"/>
    <w:rsid w:val="00F07447"/>
    <w:rsid w:val="00F103FA"/>
    <w:rsid w:val="00F109BB"/>
    <w:rsid w:val="00F12065"/>
    <w:rsid w:val="00F120FC"/>
    <w:rsid w:val="00F13826"/>
    <w:rsid w:val="00F15131"/>
    <w:rsid w:val="00F15C28"/>
    <w:rsid w:val="00F15CBE"/>
    <w:rsid w:val="00F17BC3"/>
    <w:rsid w:val="00F208BA"/>
    <w:rsid w:val="00F21D7E"/>
    <w:rsid w:val="00F25BC1"/>
    <w:rsid w:val="00F25F10"/>
    <w:rsid w:val="00F268C0"/>
    <w:rsid w:val="00F30516"/>
    <w:rsid w:val="00F30640"/>
    <w:rsid w:val="00F3243E"/>
    <w:rsid w:val="00F34A9E"/>
    <w:rsid w:val="00F350F1"/>
    <w:rsid w:val="00F352DA"/>
    <w:rsid w:val="00F43892"/>
    <w:rsid w:val="00F443E6"/>
    <w:rsid w:val="00F45642"/>
    <w:rsid w:val="00F45D40"/>
    <w:rsid w:val="00F45E3E"/>
    <w:rsid w:val="00F469A7"/>
    <w:rsid w:val="00F50C97"/>
    <w:rsid w:val="00F55FDA"/>
    <w:rsid w:val="00F56FAD"/>
    <w:rsid w:val="00F5784B"/>
    <w:rsid w:val="00F609D9"/>
    <w:rsid w:val="00F641B1"/>
    <w:rsid w:val="00F6713A"/>
    <w:rsid w:val="00F678C3"/>
    <w:rsid w:val="00F70143"/>
    <w:rsid w:val="00F7212A"/>
    <w:rsid w:val="00F72682"/>
    <w:rsid w:val="00F73B00"/>
    <w:rsid w:val="00F747F5"/>
    <w:rsid w:val="00F757A2"/>
    <w:rsid w:val="00F75A76"/>
    <w:rsid w:val="00F76233"/>
    <w:rsid w:val="00F77A17"/>
    <w:rsid w:val="00F81FCD"/>
    <w:rsid w:val="00F833D3"/>
    <w:rsid w:val="00F83E2D"/>
    <w:rsid w:val="00F8687B"/>
    <w:rsid w:val="00F86A69"/>
    <w:rsid w:val="00F87747"/>
    <w:rsid w:val="00F90AAA"/>
    <w:rsid w:val="00F91C5C"/>
    <w:rsid w:val="00F9210A"/>
    <w:rsid w:val="00F92C27"/>
    <w:rsid w:val="00F933FA"/>
    <w:rsid w:val="00F9421A"/>
    <w:rsid w:val="00F94C75"/>
    <w:rsid w:val="00F96C13"/>
    <w:rsid w:val="00F978A3"/>
    <w:rsid w:val="00FA0029"/>
    <w:rsid w:val="00FA16EF"/>
    <w:rsid w:val="00FA3C6E"/>
    <w:rsid w:val="00FA4F03"/>
    <w:rsid w:val="00FA5B9F"/>
    <w:rsid w:val="00FB160D"/>
    <w:rsid w:val="00FB4E26"/>
    <w:rsid w:val="00FB5DD9"/>
    <w:rsid w:val="00FB5E7A"/>
    <w:rsid w:val="00FB670C"/>
    <w:rsid w:val="00FC02D4"/>
    <w:rsid w:val="00FC0677"/>
    <w:rsid w:val="00FC1019"/>
    <w:rsid w:val="00FC1C63"/>
    <w:rsid w:val="00FC2924"/>
    <w:rsid w:val="00FC2BF0"/>
    <w:rsid w:val="00FC2FF6"/>
    <w:rsid w:val="00FC495C"/>
    <w:rsid w:val="00FC4FF9"/>
    <w:rsid w:val="00FC7066"/>
    <w:rsid w:val="00FD3B52"/>
    <w:rsid w:val="00FD4A64"/>
    <w:rsid w:val="00FD51EC"/>
    <w:rsid w:val="00FD6746"/>
    <w:rsid w:val="00FD6FD8"/>
    <w:rsid w:val="00FD705B"/>
    <w:rsid w:val="00FE2290"/>
    <w:rsid w:val="00FE2438"/>
    <w:rsid w:val="00FE3C14"/>
    <w:rsid w:val="00FE3D13"/>
    <w:rsid w:val="00FE3FE3"/>
    <w:rsid w:val="00FE5270"/>
    <w:rsid w:val="00FF0527"/>
    <w:rsid w:val="00FF1AFB"/>
    <w:rsid w:val="00FF2319"/>
    <w:rsid w:val="00FF2944"/>
    <w:rsid w:val="00FF708A"/>
    <w:rsid w:val="00FF790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DFAF"/>
  <w15:chartTrackingRefBased/>
  <w15:docId w15:val="{D609789D-38BD-4583-99AA-005433A2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4C7"/>
    <w:pPr>
      <w:spacing w:after="160" w:line="259" w:lineRule="auto"/>
    </w:pPr>
    <w:rPr>
      <w:kern w:val="0"/>
      <w:szCs w:val="22"/>
      <w:lang w:bidi="ar-SA"/>
      <w14:ligatures w14:val="none"/>
    </w:rPr>
  </w:style>
  <w:style w:type="paragraph" w:styleId="Heading1">
    <w:name w:val="heading 1"/>
    <w:basedOn w:val="Normal"/>
    <w:next w:val="Normal"/>
    <w:link w:val="Heading1Char"/>
    <w:uiPriority w:val="9"/>
    <w:qFormat/>
    <w:rsid w:val="002064C7"/>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rsid w:val="002064C7"/>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rsid w:val="002064C7"/>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rsid w:val="002064C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64C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4C7"/>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rsid w:val="002064C7"/>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rsid w:val="002064C7"/>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rsid w:val="002064C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64C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4C7"/>
    <w:rPr>
      <w:rFonts w:eastAsiaTheme="majorEastAsia" w:cstheme="majorBidi"/>
      <w:color w:val="272727" w:themeColor="text1" w:themeTint="D8"/>
    </w:rPr>
  </w:style>
  <w:style w:type="paragraph" w:styleId="Title">
    <w:name w:val="Title"/>
    <w:basedOn w:val="Normal"/>
    <w:next w:val="Normal"/>
    <w:link w:val="TitleChar"/>
    <w:uiPriority w:val="10"/>
    <w:qFormat/>
    <w:rsid w:val="002064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64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64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64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64C7"/>
    <w:pPr>
      <w:spacing w:before="160"/>
      <w:jc w:val="center"/>
    </w:pPr>
    <w:rPr>
      <w:i/>
      <w:iCs/>
      <w:color w:val="404040" w:themeColor="text1" w:themeTint="BF"/>
    </w:rPr>
  </w:style>
  <w:style w:type="character" w:customStyle="1" w:styleId="QuoteChar">
    <w:name w:val="Quote Char"/>
    <w:basedOn w:val="DefaultParagraphFont"/>
    <w:link w:val="Quote"/>
    <w:uiPriority w:val="29"/>
    <w:rsid w:val="002064C7"/>
    <w:rPr>
      <w:i/>
      <w:iCs/>
      <w:color w:val="404040" w:themeColor="text1" w:themeTint="BF"/>
    </w:rPr>
  </w:style>
  <w:style w:type="paragraph" w:styleId="ListParagraph">
    <w:name w:val="List Paragraph"/>
    <w:basedOn w:val="Normal"/>
    <w:uiPriority w:val="34"/>
    <w:qFormat/>
    <w:rsid w:val="002064C7"/>
    <w:pPr>
      <w:ind w:left="720"/>
      <w:contextualSpacing/>
    </w:pPr>
  </w:style>
  <w:style w:type="character" w:styleId="IntenseEmphasis">
    <w:name w:val="Intense Emphasis"/>
    <w:basedOn w:val="DefaultParagraphFont"/>
    <w:uiPriority w:val="21"/>
    <w:qFormat/>
    <w:rsid w:val="002064C7"/>
    <w:rPr>
      <w:i/>
      <w:iCs/>
      <w:color w:val="365F91" w:themeColor="accent1" w:themeShade="BF"/>
    </w:rPr>
  </w:style>
  <w:style w:type="paragraph" w:styleId="IntenseQuote">
    <w:name w:val="Intense Quote"/>
    <w:basedOn w:val="Normal"/>
    <w:next w:val="Normal"/>
    <w:link w:val="IntenseQuoteChar"/>
    <w:uiPriority w:val="30"/>
    <w:qFormat/>
    <w:rsid w:val="002064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64C7"/>
    <w:rPr>
      <w:i/>
      <w:iCs/>
      <w:color w:val="365F91" w:themeColor="accent1" w:themeShade="BF"/>
    </w:rPr>
  </w:style>
  <w:style w:type="character" w:styleId="IntenseReference">
    <w:name w:val="Intense Reference"/>
    <w:basedOn w:val="DefaultParagraphFont"/>
    <w:uiPriority w:val="32"/>
    <w:qFormat/>
    <w:rsid w:val="002064C7"/>
    <w:rPr>
      <w:b/>
      <w:bCs/>
      <w:smallCaps/>
      <w:color w:val="365F91" w:themeColor="accent1" w:themeShade="BF"/>
      <w:spacing w:val="5"/>
    </w:rPr>
  </w:style>
  <w:style w:type="character" w:customStyle="1" w:styleId="fontstyle01">
    <w:name w:val="fontstyle01"/>
    <w:basedOn w:val="DefaultParagraphFont"/>
    <w:qFormat/>
    <w:rsid w:val="002064C7"/>
    <w:rPr>
      <w:rFonts w:ascii="TimesNewRomanPSMT" w:hAnsi="TimesNewRomanPSMT" w:hint="default"/>
      <w:color w:val="000000"/>
      <w:sz w:val="24"/>
      <w:szCs w:val="24"/>
    </w:rPr>
  </w:style>
  <w:style w:type="table" w:styleId="TableGrid">
    <w:name w:val="Table Grid"/>
    <w:basedOn w:val="TableNormal"/>
    <w:uiPriority w:val="39"/>
    <w:rsid w:val="00A05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0206C2"/>
    <w:rPr>
      <w:color w:val="0000FF" w:themeColor="hyperlink"/>
      <w:u w:val="single"/>
    </w:rPr>
  </w:style>
  <w:style w:type="table" w:styleId="ListTable3-Accent3">
    <w:name w:val="List Table 3 Accent 3"/>
    <w:basedOn w:val="TableNormal"/>
    <w:uiPriority w:val="48"/>
    <w:rsid w:val="000206C2"/>
    <w:pPr>
      <w:spacing w:after="0" w:line="240" w:lineRule="auto"/>
    </w:pPr>
    <w:rPr>
      <w14:ligatures w14:val="none"/>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GridTable4-Accent3">
    <w:name w:val="Grid Table 4 Accent 3"/>
    <w:basedOn w:val="TableNormal"/>
    <w:uiPriority w:val="49"/>
    <w:rsid w:val="000206C2"/>
    <w:pPr>
      <w:spacing w:after="0" w:line="240" w:lineRule="auto"/>
    </w:pPr>
    <w:rPr>
      <w14:ligatures w14:val="non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5">
    <w:name w:val="Plain Table 5"/>
    <w:basedOn w:val="TableNormal"/>
    <w:uiPriority w:val="45"/>
    <w:rsid w:val="000206C2"/>
    <w:pPr>
      <w:spacing w:after="0" w:line="240" w:lineRule="auto"/>
    </w:pPr>
    <w:rPr>
      <w:rFonts w:ascii="Calibri" w:eastAsia="Calibri" w:hAnsi="Calibri" w:cs="Calibri"/>
      <w:kern w:val="0"/>
      <w:sz w:val="20"/>
      <w:szCs w:val="20"/>
      <w:lang w:eastAsia="en-IN"/>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206C2"/>
    <w:pPr>
      <w:spacing w:after="0" w:line="240" w:lineRule="auto"/>
    </w:pPr>
    <w:rPr>
      <w:rFonts w:ascii="Calibri" w:eastAsia="Calibri" w:hAnsi="Calibri" w:cs="Calibri"/>
      <w:kern w:val="0"/>
      <w:sz w:val="20"/>
      <w:szCs w:val="20"/>
      <w:lang w:eastAsia="en-I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0206C2"/>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character" w:styleId="UnresolvedMention">
    <w:name w:val="Unresolved Mention"/>
    <w:basedOn w:val="DefaultParagraphFont"/>
    <w:uiPriority w:val="99"/>
    <w:semiHidden/>
    <w:unhideWhenUsed/>
    <w:rsid w:val="000206C2"/>
    <w:rPr>
      <w:color w:val="605E5C"/>
      <w:shd w:val="clear" w:color="auto" w:fill="E1DFDD"/>
    </w:rPr>
  </w:style>
  <w:style w:type="table" w:styleId="PlainTable1">
    <w:name w:val="Plain Table 1"/>
    <w:basedOn w:val="TableNormal"/>
    <w:uiPriority w:val="41"/>
    <w:rsid w:val="000206C2"/>
    <w:pPr>
      <w:spacing w:after="0" w:line="240" w:lineRule="auto"/>
    </w:pPr>
    <w:rPr>
      <w:rFonts w:ascii="Calibri" w:eastAsia="Calibri" w:hAnsi="Calibri" w:cs="Calibri"/>
      <w:kern w:val="0"/>
      <w:sz w:val="20"/>
      <w:szCs w:val="20"/>
      <w:lang w:eastAsia="en-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30618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25F1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4">
    <w:name w:val="Grid Table 4 Accent 4"/>
    <w:basedOn w:val="TableNormal"/>
    <w:uiPriority w:val="49"/>
    <w:rsid w:val="00542B7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1304</TotalTime>
  <Pages>17</Pages>
  <Words>4416</Words>
  <Characters>25177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2688</cp:revision>
  <dcterms:created xsi:type="dcterms:W3CDTF">2026-01-29T02:37:00Z</dcterms:created>
  <dcterms:modified xsi:type="dcterms:W3CDTF">2026-05-29T07:22:00Z</dcterms:modified>
</cp:coreProperties>
</file>