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E60" w:rsidRPr="00CF6E60" w:rsidRDefault="00CF6E60" w:rsidP="00CF6E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6E60" w:rsidRPr="00CF6E60" w:rsidRDefault="00CF6E60" w:rsidP="00C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Title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Cannabis Use and Risk of Psychosis: An Umbrella Review and Meta-Analysis Integrating Observational and Genetic Evidence</w:t>
      </w:r>
    </w:p>
    <w:p w:rsidR="00CF6E60" w:rsidRPr="00CF6E60" w:rsidRDefault="00CF6E60" w:rsidP="00CF6E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6E60" w:rsidRPr="00CF6E60" w:rsidRDefault="00CF6E60" w:rsidP="00C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Question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What is the global evidence on the association between cannabis use and the risk of psychosis, and how is this relationship influenced by genetic confounding, cannabis </w:t>
      </w:r>
      <w:proofErr w:type="gramStart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potency,</w:t>
      </w:r>
      <w:proofErr w:type="gramEnd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methodological differences across studies?</w:t>
      </w:r>
    </w:p>
    <w:p w:rsidR="00CF6E60" w:rsidRPr="00CF6E60" w:rsidRDefault="00CF6E60" w:rsidP="00CF6E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6E60" w:rsidRPr="00CF6E60" w:rsidRDefault="00CF6E60" w:rsidP="00C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Methods</w:t>
      </w:r>
    </w:p>
    <w:p w:rsidR="00CF6E60" w:rsidRPr="00CF6E60" w:rsidRDefault="00CF6E60" w:rsidP="00C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Study Design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umbrella review protocol will be preregistered in the </w:t>
      </w: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PROSPERO database</w:t>
      </w: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review will be conducted in accordance with established methodological and reporting standards, including:</w:t>
      </w:r>
    </w:p>
    <w:p w:rsidR="00CF6E60" w:rsidRPr="00CF6E60" w:rsidRDefault="00CF6E60" w:rsidP="00C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PRISMA 2020 (Preferred Reporting Items for Systematic Reviews and Meta-Analyses)</w:t>
      </w: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F6E60" w:rsidRPr="00CF6E60" w:rsidRDefault="00CF6E60" w:rsidP="00C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PRIOR (Preferred Reporting Items for Overviews of Reviews)</w:t>
      </w: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F6E60" w:rsidRPr="00CF6E60" w:rsidRDefault="00CF6E60" w:rsidP="00C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Cochrane recommendations for umbrella reviews</w:t>
      </w: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No patient or public involvement was included in the design of this study.</w:t>
      </w:r>
    </w:p>
    <w:p w:rsidR="00CF6E60" w:rsidRPr="00CF6E60" w:rsidRDefault="00CF6E60" w:rsidP="00CF6E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6E60" w:rsidRPr="00CF6E60" w:rsidRDefault="00CF6E60" w:rsidP="00C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Search Strategy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A comprehensive literature search will be conducted in the following electronic databases:</w:t>
      </w:r>
    </w:p>
    <w:p w:rsidR="00CF6E60" w:rsidRPr="00CF6E60" w:rsidRDefault="00CF6E60" w:rsidP="00C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PubMed</w:t>
      </w:r>
      <w:proofErr w:type="spellEnd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/MEDLINE </w:t>
      </w:r>
    </w:p>
    <w:p w:rsidR="00CF6E60" w:rsidRPr="00CF6E60" w:rsidRDefault="00CF6E60" w:rsidP="00C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PsycINFO</w:t>
      </w:r>
      <w:proofErr w:type="spellEnd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CF6E60" w:rsidRPr="00CF6E60" w:rsidRDefault="00CF6E60" w:rsidP="00C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Web of Science </w:t>
      </w:r>
    </w:p>
    <w:p w:rsidR="00CF6E60" w:rsidRPr="00CF6E60" w:rsidRDefault="00CF6E60" w:rsidP="00C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Cochrane Database of Systematic Reviews 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search will cover studies from </w:t>
      </w:r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inception to March 2026</w:t>
      </w: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The search strategy will include combinations of keywords and Medical Subject Headings (</w:t>
      </w:r>
      <w:proofErr w:type="spellStart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MeSH</w:t>
      </w:r>
      <w:proofErr w:type="spellEnd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) related to:</w:t>
      </w:r>
    </w:p>
    <w:p w:rsidR="00CF6E60" w:rsidRPr="00CF6E60" w:rsidRDefault="00CF6E60" w:rsidP="00C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“cannabis” OR “marijuana” OR “THC” </w:t>
      </w:r>
    </w:p>
    <w:p w:rsidR="00CF6E60" w:rsidRPr="00CF6E60" w:rsidRDefault="00CF6E60" w:rsidP="00C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AND “psychosis” OR “schizophrenia” OR “psychotic disorders” </w:t>
      </w:r>
    </w:p>
    <w:p w:rsidR="00CF6E60" w:rsidRPr="00CF6E60" w:rsidRDefault="00CF6E60" w:rsidP="00C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AND “systematic review” OR “meta-analysis” 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detailed search strategy will be provided in an </w:t>
      </w:r>
      <w:proofErr w:type="spellStart"/>
      <w:r w:rsidRPr="00CF6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eAppendix</w:t>
      </w:r>
      <w:proofErr w:type="spellEnd"/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CF6E60" w:rsidRPr="00CF6E60" w:rsidRDefault="00CF6E60" w:rsidP="00C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Additional sources will include:</w:t>
      </w:r>
    </w:p>
    <w:p w:rsidR="00CF6E60" w:rsidRPr="00CF6E60" w:rsidRDefault="00CF6E60" w:rsidP="00C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Reference list screening of included studies </w:t>
      </w:r>
    </w:p>
    <w:p w:rsidR="00CF6E60" w:rsidRPr="00CF6E60" w:rsidRDefault="00CF6E60" w:rsidP="00C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6E60">
        <w:rPr>
          <w:rFonts w:ascii="Times New Roman" w:eastAsia="Times New Roman" w:hAnsi="Times New Roman" w:cs="Times New Roman"/>
          <w:sz w:val="28"/>
          <w:szCs w:val="28"/>
          <w:lang w:eastAsia="en-IN"/>
        </w:rPr>
        <w:t>Citation tracking of relevant reviews</w:t>
      </w:r>
    </w:p>
    <w:p w:rsidR="009E2A11" w:rsidRPr="00CF6E60" w:rsidRDefault="009E2A11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>**Outcomes and Interventions**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The primary outcomes of interest include clinically diagnosed psychotic disorders, defined according to standardized diagnostic criteria such as DSM-5 or ICD-10/11, including conditions such as schizophrenia and schizoaffective disorder. Only studies reporting diagnoses established through clinical assessment or registry-based data will be included, while studies relying solely on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unvalidated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self-reported diagnoses will be excluded. In addition, psychiatric symptom outcomes—specifically hallucinations, delusions, and paranoia—will be considered when assessed using validated psychometric instruments (e.g., PANSS, CAPE), whereas non-validated symptom reports will be excluded. Measures of positive mental health are not relevant to the primary research question and will therefore not be included.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The primary exposure of interest is cannabis use,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operationalized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across multiple dimensions including lifetime use, current use, heavy or frequent use, early age of initiation, and exposure to high-potency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tetrahydrocannabinol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(THC). Studies that provide stratified exposure categories or enable dose–response analyses will be prioritized. Synthetic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cannabinoids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will be excluded unless they are analyzed separately from natural cannabis.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Given the focus on causal inference, the review will also incorporate genetic context, including studies that assess genetic liability using methods such as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Mendelian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randomization and polygenic risk scores. Only meta-analyses and large-scale genetic epidemiological studies will be included, while studies using non-genetic proxies will be excluded.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>No therapeutic interventions will be considered, as this is an observational, exposure-based umbrella review examining the association between cannabis use and psychosis risk rather than the effects of clinical treatments.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rStyle w:val="Strong"/>
          <w:sz w:val="28"/>
          <w:szCs w:val="28"/>
        </w:rPr>
        <w:t>Justification</w:t>
      </w:r>
      <w:proofErr w:type="gramStart"/>
      <w:r w:rsidRPr="00CF6E60">
        <w:rPr>
          <w:rStyle w:val="Strong"/>
          <w:sz w:val="28"/>
          <w:szCs w:val="28"/>
        </w:rPr>
        <w:t>:</w:t>
      </w:r>
      <w:proofErr w:type="gramEnd"/>
      <w:r w:rsidRPr="00CF6E60">
        <w:rPr>
          <w:sz w:val="28"/>
          <w:szCs w:val="28"/>
        </w:rPr>
        <w:br/>
        <w:t xml:space="preserve">The inclusion of </w:t>
      </w:r>
      <w:r w:rsidRPr="00CF6E60">
        <w:rPr>
          <w:rStyle w:val="Strong"/>
          <w:sz w:val="28"/>
          <w:szCs w:val="28"/>
        </w:rPr>
        <w:t>genetic evidence (</w:t>
      </w:r>
      <w:proofErr w:type="spellStart"/>
      <w:r w:rsidRPr="00CF6E60">
        <w:rPr>
          <w:rStyle w:val="Strong"/>
          <w:sz w:val="28"/>
          <w:szCs w:val="28"/>
        </w:rPr>
        <w:t>Mendelian</w:t>
      </w:r>
      <w:proofErr w:type="spellEnd"/>
      <w:r w:rsidRPr="00CF6E60">
        <w:rPr>
          <w:rStyle w:val="Strong"/>
          <w:sz w:val="28"/>
          <w:szCs w:val="28"/>
        </w:rPr>
        <w:t xml:space="preserve"> randomization)</w:t>
      </w:r>
      <w:r w:rsidRPr="00CF6E60">
        <w:rPr>
          <w:sz w:val="28"/>
          <w:szCs w:val="28"/>
        </w:rPr>
        <w:t xml:space="preserve"> and </w:t>
      </w:r>
      <w:r w:rsidRPr="00CF6E60">
        <w:rPr>
          <w:rStyle w:val="Strong"/>
          <w:sz w:val="28"/>
          <w:szCs w:val="28"/>
        </w:rPr>
        <w:t>cannabis potency trends</w:t>
      </w:r>
      <w:r w:rsidRPr="00CF6E60">
        <w:rPr>
          <w:sz w:val="28"/>
          <w:szCs w:val="28"/>
        </w:rPr>
        <w:t xml:space="preserve"> is intended to enhance causal inference and address a key limitation of previous meta-analyses—residual confounding.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2"/>
        <w:rPr>
          <w:sz w:val="28"/>
          <w:szCs w:val="28"/>
        </w:rPr>
      </w:pPr>
      <w:r w:rsidRPr="00CF6E60">
        <w:rPr>
          <w:rStyle w:val="Strong"/>
          <w:b/>
          <w:bCs/>
          <w:sz w:val="28"/>
          <w:szCs w:val="28"/>
        </w:rPr>
        <w:t>Eligibility Criteria</w: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Inclusion Criteria (PICOS Framework)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Study Design:</w:t>
      </w:r>
      <w:r w:rsidRPr="00CF6E60">
        <w:rPr>
          <w:rFonts w:ascii="Times New Roman" w:hAnsi="Times New Roman" w:cs="Times New Roman"/>
          <w:sz w:val="28"/>
          <w:szCs w:val="28"/>
        </w:rPr>
        <w:br/>
        <w:t xml:space="preserve">Systematic reviews with meta-analyses (SRMAs) 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Participants:</w:t>
      </w:r>
      <w:r w:rsidRPr="00CF6E60">
        <w:rPr>
          <w:rFonts w:ascii="Times New Roman" w:hAnsi="Times New Roman" w:cs="Times New Roman"/>
          <w:sz w:val="28"/>
          <w:szCs w:val="28"/>
        </w:rPr>
        <w:br/>
        <w:t xml:space="preserve">General population (adolescents and adults), including high-risk populations 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Exposure:</w:t>
      </w:r>
      <w:r w:rsidRPr="00CF6E60">
        <w:rPr>
          <w:rFonts w:ascii="Times New Roman" w:hAnsi="Times New Roman" w:cs="Times New Roman"/>
          <w:sz w:val="28"/>
          <w:szCs w:val="28"/>
        </w:rPr>
        <w:br/>
        <w:t xml:space="preserve">Cannabis use (any frequency, duration, or potency) 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Comparators:</w:t>
      </w:r>
      <w:r w:rsidRPr="00CF6E60">
        <w:rPr>
          <w:rFonts w:ascii="Times New Roman" w:hAnsi="Times New Roman" w:cs="Times New Roman"/>
          <w:sz w:val="28"/>
          <w:szCs w:val="28"/>
        </w:rPr>
        <w:br/>
        <w:t xml:space="preserve">Non-users or lower exposure groups 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Outcomes:</w:t>
      </w:r>
      <w:r w:rsidRPr="00CF6E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6E60" w:rsidRPr="00CF6E60" w:rsidRDefault="00CF6E60" w:rsidP="00CF6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Psychotic disorders </w:t>
      </w:r>
    </w:p>
    <w:p w:rsidR="00CF6E60" w:rsidRPr="00CF6E60" w:rsidRDefault="00CF6E60" w:rsidP="00CF6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Psychotic symptoms </w:t>
      </w:r>
    </w:p>
    <w:p w:rsidR="00CF6E60" w:rsidRPr="00CF6E60" w:rsidRDefault="00CF6E60" w:rsidP="00CF6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Transition to psychosis </w:t>
      </w:r>
    </w:p>
    <w:p w:rsidR="00CF6E60" w:rsidRPr="00CF6E60" w:rsidRDefault="00CF6E60" w:rsidP="00C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Minimum Criteria:</w:t>
      </w:r>
      <w:r w:rsidRPr="00CF6E60">
        <w:rPr>
          <w:rFonts w:ascii="Times New Roman" w:hAnsi="Times New Roman" w:cs="Times New Roman"/>
          <w:sz w:val="28"/>
          <w:szCs w:val="28"/>
        </w:rPr>
        <w:br/>
        <w:t xml:space="preserve">Each meta-analysis must include at least </w:t>
      </w:r>
      <w:r w:rsidRPr="00CF6E60">
        <w:rPr>
          <w:rStyle w:val="Strong"/>
          <w:rFonts w:ascii="Times New Roman" w:hAnsi="Times New Roman" w:cs="Times New Roman"/>
          <w:sz w:val="28"/>
          <w:szCs w:val="28"/>
        </w:rPr>
        <w:t>two primary studies</w:t>
      </w:r>
      <w:r w:rsidRPr="00CF6E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Exclusion Criteria</w:t>
      </w:r>
    </w:p>
    <w:p w:rsidR="00CF6E60" w:rsidRPr="00CF6E60" w:rsidRDefault="00CF6E60" w:rsidP="00C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Narrative or qualitative reviews </w:t>
      </w:r>
    </w:p>
    <w:p w:rsidR="00CF6E60" w:rsidRPr="00CF6E60" w:rsidRDefault="00CF6E60" w:rsidP="00C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Reviews without meta-analysis </w:t>
      </w:r>
    </w:p>
    <w:p w:rsidR="00CF6E60" w:rsidRPr="00CF6E60" w:rsidRDefault="00CF6E60" w:rsidP="00C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Non-English publications </w:t>
      </w:r>
    </w:p>
    <w:p w:rsidR="00CF6E60" w:rsidRPr="00CF6E60" w:rsidRDefault="00CF6E60" w:rsidP="00C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Animal or preclinical studies </w:t>
      </w:r>
    </w:p>
    <w:p w:rsidR="00CF6E60" w:rsidRPr="00CF6E60" w:rsidRDefault="00CF6E60" w:rsidP="00C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Reviews without extractable effect sizes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2"/>
        <w:rPr>
          <w:sz w:val="28"/>
          <w:szCs w:val="28"/>
        </w:rPr>
      </w:pPr>
      <w:r w:rsidRPr="00CF6E60">
        <w:rPr>
          <w:rStyle w:val="Strong"/>
          <w:b/>
          <w:bCs/>
          <w:sz w:val="28"/>
          <w:szCs w:val="28"/>
        </w:rPr>
        <w:t>Data Selection and Extraction and Quality of Evidence</w: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Study Selection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 xml:space="preserve">All identified records will be imported into reference management software for </w:t>
      </w:r>
      <w:proofErr w:type="spellStart"/>
      <w:r w:rsidRPr="00CF6E60">
        <w:rPr>
          <w:sz w:val="28"/>
          <w:szCs w:val="28"/>
        </w:rPr>
        <w:t>deduplication</w:t>
      </w:r>
      <w:proofErr w:type="spellEnd"/>
      <w:r w:rsidRPr="00CF6E60">
        <w:rPr>
          <w:sz w:val="28"/>
          <w:szCs w:val="28"/>
        </w:rPr>
        <w:t>.</w:t>
      </w:r>
    </w:p>
    <w:p w:rsidR="00CF6E60" w:rsidRPr="00CF6E60" w:rsidRDefault="00CF6E60" w:rsidP="00CF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Two independent reviewers will: </w:t>
      </w:r>
    </w:p>
    <w:p w:rsidR="00CF6E60" w:rsidRPr="00CF6E60" w:rsidRDefault="00CF6E60" w:rsidP="00CF6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Screen titles and abstracts </w:t>
      </w:r>
    </w:p>
    <w:p w:rsidR="00CF6E60" w:rsidRPr="00CF6E60" w:rsidRDefault="00CF6E60" w:rsidP="00CF6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Assess full-text eligibility 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Disagreements will be resolved through discussion or consultation with a third reviewer.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Data Extraction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Data will be extracted independently by two reviewers using a standardized form. Extracted data will include: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Study characteristics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Number of included studies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Effect sizes (OR, RR, HR)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Exposure definitions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Outcome definitions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Adjustment variables </w:t>
      </w:r>
    </w:p>
    <w:p w:rsidR="00CF6E60" w:rsidRPr="00CF6E60" w:rsidRDefault="00CF6E60" w:rsidP="00CF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Overlapping cohorts 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Disagreements will be resolved by consensus.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lastRenderedPageBreak/>
        <w:t>Quality Assessment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 xml:space="preserve">The methodological quality of included meta-analyses will be assessed using </w:t>
      </w:r>
      <w:r w:rsidRPr="00CF6E60">
        <w:rPr>
          <w:rStyle w:val="Strong"/>
          <w:sz w:val="28"/>
          <w:szCs w:val="28"/>
        </w:rPr>
        <w:t>AMSTAR-2</w:t>
      </w:r>
      <w:r w:rsidRPr="00CF6E60">
        <w:rPr>
          <w:sz w:val="28"/>
          <w:szCs w:val="28"/>
        </w:rPr>
        <w:t>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2"/>
        <w:rPr>
          <w:sz w:val="28"/>
          <w:szCs w:val="28"/>
        </w:rPr>
      </w:pPr>
      <w:r w:rsidRPr="00CF6E60">
        <w:rPr>
          <w:rStyle w:val="Strong"/>
          <w:b/>
          <w:bCs/>
          <w:sz w:val="28"/>
          <w:szCs w:val="28"/>
        </w:rPr>
        <w:t>Statistical Analyses</w: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Effect Size Calculation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Effect sizes (e.g., OR, RR, HR) will be extracted and converted to a common metric where necessary.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 xml:space="preserve">For continuous outcomes (if applicable), </w:t>
      </w:r>
      <w:r w:rsidRPr="00CF6E60">
        <w:rPr>
          <w:rStyle w:val="Strong"/>
          <w:sz w:val="28"/>
          <w:szCs w:val="28"/>
        </w:rPr>
        <w:t>standardized mean differences (SMDs)</w:t>
      </w:r>
      <w:r w:rsidRPr="00CF6E60">
        <w:rPr>
          <w:sz w:val="28"/>
          <w:szCs w:val="28"/>
        </w:rPr>
        <w:t xml:space="preserve"> will be calculated.</w: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Credibility of Evidence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The credibility of evidence will be assessed using an umbrella review framework based on:</w:t>
      </w:r>
    </w:p>
    <w:p w:rsidR="00CF6E60" w:rsidRPr="00CF6E60" w:rsidRDefault="00CF6E60" w:rsidP="00CF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Statistical significance </w:t>
      </w:r>
    </w:p>
    <w:p w:rsidR="00CF6E60" w:rsidRPr="00CF6E60" w:rsidRDefault="00CF6E60" w:rsidP="00CF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Sample size </w:t>
      </w:r>
    </w:p>
    <w:p w:rsidR="00CF6E60" w:rsidRPr="00CF6E60" w:rsidRDefault="00CF6E60" w:rsidP="00CF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Heterogeneity (I²) </w:t>
      </w:r>
    </w:p>
    <w:p w:rsidR="00CF6E60" w:rsidRPr="00CF6E60" w:rsidRDefault="00CF6E60" w:rsidP="00CF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Small-study effects </w:t>
      </w:r>
    </w:p>
    <w:p w:rsidR="00CF6E60" w:rsidRPr="00CF6E60" w:rsidRDefault="00CF6E60" w:rsidP="00CF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Excess significance bias 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Associations will be classified as:</w:t>
      </w:r>
    </w:p>
    <w:p w:rsidR="00CF6E60" w:rsidRPr="00CF6E60" w:rsidRDefault="00CF6E60" w:rsidP="00CF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Convincing </w:t>
      </w:r>
    </w:p>
    <w:p w:rsidR="00CF6E60" w:rsidRPr="00CF6E60" w:rsidRDefault="00CF6E60" w:rsidP="00CF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Highly suggestive </w:t>
      </w:r>
    </w:p>
    <w:p w:rsidR="00CF6E60" w:rsidRPr="00CF6E60" w:rsidRDefault="00CF6E60" w:rsidP="00CF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Suggestive </w:t>
      </w:r>
    </w:p>
    <w:p w:rsidR="00CF6E60" w:rsidRPr="00CF6E60" w:rsidRDefault="00CF6E60" w:rsidP="00CF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Weak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Sensitivity Analyses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Sensitivity analyses will include:</w:t>
      </w:r>
    </w:p>
    <w:p w:rsidR="00CF6E60" w:rsidRPr="00CF6E60" w:rsidRDefault="00CF6E60" w:rsidP="00CF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Restricting to high-quality meta-analyses (AMSTAR-2 high/moderate) </w:t>
      </w:r>
    </w:p>
    <w:p w:rsidR="00CF6E60" w:rsidRPr="00CF6E60" w:rsidRDefault="00CF6E60" w:rsidP="00CF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lastRenderedPageBreak/>
        <w:t xml:space="preserve">Including only longitudinal studies </w:t>
      </w:r>
    </w:p>
    <w:p w:rsidR="00CF6E60" w:rsidRPr="00CF6E60" w:rsidRDefault="00CF6E60" w:rsidP="00CF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Excluding meta-analyses with high overlap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Meta-Regression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Meta-regression analyses will be conducted for associations with at least moderate credibility to explore heterogeneity.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Variables examined will include: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Age of onset of cannabis use 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Frequency of use 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THC potency 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Study design (cross-sectional </w:t>
      </w:r>
      <w:proofErr w:type="spellStart"/>
      <w:r w:rsidRPr="00CF6E6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longitudinal) 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Adjustment for confounders (e.g., other substance use) </w:t>
      </w:r>
    </w:p>
    <w:p w:rsidR="00CF6E60" w:rsidRPr="00CF6E60" w:rsidRDefault="00CF6E60" w:rsidP="00CF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Genetic liability (presence of MR evidence)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Overlap Assessment (Key Methodological Component)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To address duplication bias:</w:t>
      </w:r>
    </w:p>
    <w:p w:rsidR="00CF6E60" w:rsidRPr="00CF6E60" w:rsidRDefault="00CF6E60" w:rsidP="00CF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sz w:val="28"/>
          <w:szCs w:val="28"/>
        </w:rPr>
        <w:t>Corrected Covered Area (CCA)</w:t>
      </w:r>
      <w:r w:rsidRPr="00CF6E60">
        <w:rPr>
          <w:rFonts w:ascii="Times New Roman" w:hAnsi="Times New Roman" w:cs="Times New Roman"/>
          <w:sz w:val="28"/>
          <w:szCs w:val="28"/>
        </w:rPr>
        <w:t xml:space="preserve"> will be calculated </w:t>
      </w:r>
    </w:p>
    <w:p w:rsidR="00CF6E60" w:rsidRPr="00CF6E60" w:rsidRDefault="00CF6E60" w:rsidP="00CF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Sensitivity analyses excluding overlapping datasets will be conducted </w:t>
      </w:r>
    </w:p>
    <w:p w:rsidR="00CF6E60" w:rsidRPr="00CF6E60" w:rsidRDefault="00CF6E60" w:rsidP="00CF6E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F6E60" w:rsidRPr="00CF6E60" w:rsidRDefault="00CF6E60" w:rsidP="00CF6E6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F6E60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Software</w:t>
      </w:r>
    </w:p>
    <w:p w:rsidR="00CF6E60" w:rsidRPr="00CF6E60" w:rsidRDefault="00CF6E60" w:rsidP="00CF6E60">
      <w:pPr>
        <w:pStyle w:val="NormalWeb"/>
        <w:rPr>
          <w:sz w:val="28"/>
          <w:szCs w:val="28"/>
        </w:rPr>
      </w:pPr>
      <w:r w:rsidRPr="00CF6E60">
        <w:rPr>
          <w:sz w:val="28"/>
          <w:szCs w:val="28"/>
        </w:rPr>
        <w:t>All analyses will be conducted using:</w:t>
      </w:r>
    </w:p>
    <w:p w:rsidR="00CF6E60" w:rsidRPr="00CF6E60" w:rsidRDefault="00CF6E60" w:rsidP="00CF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R software </w:t>
      </w:r>
    </w:p>
    <w:p w:rsidR="00CF6E60" w:rsidRPr="00CF6E60" w:rsidRDefault="00CF6E60" w:rsidP="00CF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6E60">
        <w:rPr>
          <w:rFonts w:ascii="Times New Roman" w:hAnsi="Times New Roman" w:cs="Times New Roman"/>
          <w:sz w:val="28"/>
          <w:szCs w:val="28"/>
        </w:rPr>
        <w:t xml:space="preserve">Packages: </w:t>
      </w:r>
      <w:proofErr w:type="spellStart"/>
      <w:r w:rsidRPr="00CF6E60">
        <w:rPr>
          <w:rStyle w:val="Strong"/>
          <w:rFonts w:ascii="Times New Roman" w:hAnsi="Times New Roman" w:cs="Times New Roman"/>
          <w:sz w:val="28"/>
          <w:szCs w:val="28"/>
        </w:rPr>
        <w:t>metaumbrella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6E60">
        <w:rPr>
          <w:rStyle w:val="Strong"/>
          <w:rFonts w:ascii="Times New Roman" w:hAnsi="Times New Roman" w:cs="Times New Roman"/>
          <w:sz w:val="28"/>
          <w:szCs w:val="28"/>
        </w:rPr>
        <w:t>metafor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CF6E60">
        <w:rPr>
          <w:rStyle w:val="Strong"/>
          <w:rFonts w:ascii="Times New Roman" w:hAnsi="Times New Roman" w:cs="Times New Roman"/>
          <w:sz w:val="28"/>
          <w:szCs w:val="28"/>
        </w:rPr>
        <w:t>dmetar</w:t>
      </w:r>
      <w:proofErr w:type="spellEnd"/>
      <w:r w:rsidRPr="00CF6E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6E60" w:rsidRDefault="00CF6E60" w:rsidP="00CF6E60">
      <w:pPr>
        <w:spacing w:after="0"/>
      </w:pPr>
      <w:r w:rsidRPr="00CF6E60">
        <w:rPr>
          <w:rFonts w:ascii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F6E60" w:rsidRPr="00CF6E60" w:rsidRDefault="00CF6E60" w:rsidP="00CF6E60">
      <w:pPr>
        <w:rPr>
          <w:rFonts w:ascii="Times New Roman" w:hAnsi="Times New Roman" w:cs="Times New Roman"/>
          <w:sz w:val="28"/>
          <w:szCs w:val="28"/>
        </w:rPr>
      </w:pPr>
    </w:p>
    <w:p w:rsidR="00CF6E60" w:rsidRDefault="00CF6E60" w:rsidP="00CF6E60"/>
    <w:sectPr w:rsidR="00CF6E60" w:rsidSect="009E2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4140A"/>
    <w:multiLevelType w:val="multilevel"/>
    <w:tmpl w:val="13F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31A74"/>
    <w:multiLevelType w:val="multilevel"/>
    <w:tmpl w:val="FE94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D52CCB"/>
    <w:multiLevelType w:val="multilevel"/>
    <w:tmpl w:val="43D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C47EDA"/>
    <w:multiLevelType w:val="multilevel"/>
    <w:tmpl w:val="A0F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E523C"/>
    <w:multiLevelType w:val="multilevel"/>
    <w:tmpl w:val="1DE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BA0B0D"/>
    <w:multiLevelType w:val="multilevel"/>
    <w:tmpl w:val="649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287A44"/>
    <w:multiLevelType w:val="multilevel"/>
    <w:tmpl w:val="8A9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4D35E4"/>
    <w:multiLevelType w:val="multilevel"/>
    <w:tmpl w:val="40D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82316B"/>
    <w:multiLevelType w:val="multilevel"/>
    <w:tmpl w:val="3F2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F40B82"/>
    <w:multiLevelType w:val="multilevel"/>
    <w:tmpl w:val="6C4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DE1FAF"/>
    <w:multiLevelType w:val="multilevel"/>
    <w:tmpl w:val="697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E64B94"/>
    <w:multiLevelType w:val="multilevel"/>
    <w:tmpl w:val="55A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446DDC"/>
    <w:multiLevelType w:val="multilevel"/>
    <w:tmpl w:val="B868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413993"/>
    <w:multiLevelType w:val="multilevel"/>
    <w:tmpl w:val="F91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"/>
  </w:num>
  <w:num w:numId="10">
    <w:abstractNumId w:val="10"/>
  </w:num>
  <w:num w:numId="11">
    <w:abstractNumId w:val="9"/>
  </w:num>
  <w:num w:numId="12">
    <w:abstractNumId w:val="0"/>
  </w:num>
  <w:num w:numId="13">
    <w:abstractNumId w:val="4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6E60"/>
    <w:rsid w:val="009E2A11"/>
    <w:rsid w:val="00CF6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A11"/>
  </w:style>
  <w:style w:type="paragraph" w:styleId="Heading1">
    <w:name w:val="heading 1"/>
    <w:basedOn w:val="Normal"/>
    <w:link w:val="Heading1Char"/>
    <w:uiPriority w:val="9"/>
    <w:qFormat/>
    <w:rsid w:val="00CF6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6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6E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F6E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6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2026-03-27T15:37:00Z</dcterms:created>
  <dcterms:modified xsi:type="dcterms:W3CDTF">2026-03-27T15:44:00Z</dcterms:modified>
</cp:coreProperties>
</file>