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889D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1.1 Introduction / Background</w:t>
      </w:r>
    </w:p>
    <w:p w14:paraId="619CCC2B" w14:textId="77777777" w:rsidR="00BE27A3" w:rsidRPr="00BE27A3" w:rsidRDefault="00BE27A3" w:rsidP="00BE27A3">
      <w:pPr>
        <w:numPr>
          <w:ilvl w:val="0"/>
          <w:numId w:val="1"/>
        </w:numPr>
      </w:pPr>
      <w:r w:rsidRPr="00BE27A3">
        <w:t>Post-Cold War transformation of Indian foreign policy: shift from inward-looking non-alignment to outward economic and strategic engagement.</w:t>
      </w:r>
    </w:p>
    <w:p w14:paraId="5751855B" w14:textId="77777777" w:rsidR="00BE27A3" w:rsidRPr="00BE27A3" w:rsidRDefault="00BE27A3" w:rsidP="00BE27A3">
      <w:pPr>
        <w:numPr>
          <w:ilvl w:val="0"/>
          <w:numId w:val="1"/>
        </w:numPr>
      </w:pPr>
      <w:r w:rsidRPr="00BE27A3">
        <w:t>Launch of Look East Policy (LEP, 1991–2014): economic liberalisation, ASEAN-centric outreach, trade and diplomatic revival.</w:t>
      </w:r>
    </w:p>
    <w:p w14:paraId="6D75D7F0" w14:textId="77777777" w:rsidR="00BE27A3" w:rsidRPr="00BE27A3" w:rsidRDefault="00BE27A3" w:rsidP="00BE27A3">
      <w:pPr>
        <w:numPr>
          <w:ilvl w:val="0"/>
          <w:numId w:val="1"/>
        </w:numPr>
      </w:pPr>
      <w:r w:rsidRPr="00BE27A3">
        <w:t>Transition to Act East Policy (AEP, 2014–present): qualitative leap under PM Modi — proactive diplomacy, strategic depth, defence and security partnerships, Indo-Pacific framing.</w:t>
      </w:r>
    </w:p>
    <w:p w14:paraId="5CE9F0E5" w14:textId="77777777" w:rsidR="00BE27A3" w:rsidRPr="00BE27A3" w:rsidRDefault="00BE27A3" w:rsidP="00BE27A3">
      <w:pPr>
        <w:numPr>
          <w:ilvl w:val="0"/>
          <w:numId w:val="1"/>
        </w:numPr>
      </w:pPr>
      <w:r w:rsidRPr="00BE27A3">
        <w:t>Concurrent rise of the maritime domain in Indian strategic thought: geographic centrality in the Indian Ocean, dependence on Sea Lines of Communication (SLOCs &gt;90% of trade by volume), coastal security, blue economy, and naval power projection.</w:t>
      </w:r>
    </w:p>
    <w:p w14:paraId="15CB71D0" w14:textId="77777777" w:rsidR="00BE27A3" w:rsidRPr="00BE27A3" w:rsidRDefault="00BE27A3" w:rsidP="00BE27A3">
      <w:pPr>
        <w:numPr>
          <w:ilvl w:val="0"/>
          <w:numId w:val="1"/>
        </w:numPr>
      </w:pPr>
      <w:r w:rsidRPr="00BE27A3">
        <w:t xml:space="preserve">Evolution from peripheral maritime awareness (LEP phase) to core strategic instrument (AEP phase): </w:t>
      </w:r>
      <w:proofErr w:type="spellStart"/>
      <w:r w:rsidRPr="00BE27A3">
        <w:t>Sagarmala</w:t>
      </w:r>
      <w:proofErr w:type="spellEnd"/>
      <w:r w:rsidRPr="00BE27A3">
        <w:t>, SAGAR, IPOI, naval modernisation, multilateral frameworks (QUAD, IORA, IONS).</w:t>
      </w:r>
    </w:p>
    <w:p w14:paraId="38D9EC44" w14:textId="77777777" w:rsidR="00BE27A3" w:rsidRPr="00BE27A3" w:rsidRDefault="00BE27A3" w:rsidP="00BE27A3">
      <w:pPr>
        <w:numPr>
          <w:ilvl w:val="0"/>
          <w:numId w:val="1"/>
        </w:numPr>
      </w:pPr>
      <w:r w:rsidRPr="00BE27A3">
        <w:t>Statement of the research space: the intersection of foreign-policy reorientation and maritime strategy between 2014–2025.</w:t>
      </w:r>
    </w:p>
    <w:p w14:paraId="1B49ACEB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1.2 Rationale of the Study</w:t>
      </w:r>
    </w:p>
    <w:p w14:paraId="747B8065" w14:textId="77777777" w:rsidR="00BE27A3" w:rsidRPr="00BE27A3" w:rsidRDefault="00BE27A3" w:rsidP="00BE27A3">
      <w:pPr>
        <w:numPr>
          <w:ilvl w:val="0"/>
          <w:numId w:val="2"/>
        </w:numPr>
      </w:pPr>
      <w:r w:rsidRPr="00BE27A3">
        <w:t>Abundance of literature on continental security and sub-continental geopolitics versus the relative paucity of integrated analysis linking LEP → AEP maritime evolution.</w:t>
      </w:r>
    </w:p>
    <w:p w14:paraId="40F99867" w14:textId="77777777" w:rsidR="00BE27A3" w:rsidRPr="00BE27A3" w:rsidRDefault="00BE27A3" w:rsidP="00BE27A3">
      <w:pPr>
        <w:numPr>
          <w:ilvl w:val="0"/>
          <w:numId w:val="2"/>
        </w:numPr>
      </w:pPr>
      <w:r w:rsidRPr="00BE27A3">
        <w:t>Fragmented treatment of economic, infrastructural, institutional and military-maritime strands.</w:t>
      </w:r>
    </w:p>
    <w:p w14:paraId="42588F0B" w14:textId="77777777" w:rsidR="00BE27A3" w:rsidRPr="00BE27A3" w:rsidRDefault="00BE27A3" w:rsidP="00BE27A3">
      <w:pPr>
        <w:numPr>
          <w:ilvl w:val="0"/>
          <w:numId w:val="2"/>
        </w:numPr>
      </w:pPr>
      <w:r w:rsidRPr="00BE27A3">
        <w:t>Need to examine policy coherence, sustainability and consistency of India’s maritime turn in a rapidly evolving Indo-Pacific order.</w:t>
      </w:r>
    </w:p>
    <w:p w14:paraId="5A747ADA" w14:textId="77777777" w:rsidR="00BE27A3" w:rsidRPr="00BE27A3" w:rsidRDefault="00BE27A3" w:rsidP="00BE27A3">
      <w:pPr>
        <w:numPr>
          <w:ilvl w:val="0"/>
          <w:numId w:val="2"/>
        </w:numPr>
      </w:pPr>
      <w:r w:rsidRPr="00BE27A3">
        <w:t>Academic, policy and strategic significance of assessing whether instruments and institutions adequately support stated maritime ambitions.</w:t>
      </w:r>
    </w:p>
    <w:p w14:paraId="4199DF94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1.3 Context of the Study</w:t>
      </w:r>
    </w:p>
    <w:p w14:paraId="4722F733" w14:textId="77777777" w:rsidR="00BE27A3" w:rsidRPr="00BE27A3" w:rsidRDefault="00BE27A3" w:rsidP="00BE27A3">
      <w:pPr>
        <w:numPr>
          <w:ilvl w:val="0"/>
          <w:numId w:val="3"/>
        </w:numPr>
      </w:pPr>
      <w:r w:rsidRPr="00BE27A3">
        <w:t>2014–2025 as a critical decade of strategic repositioning.</w:t>
      </w:r>
    </w:p>
    <w:p w14:paraId="23722F7A" w14:textId="77777777" w:rsidR="00BE27A3" w:rsidRPr="00BE27A3" w:rsidRDefault="00BE27A3" w:rsidP="00BE27A3">
      <w:pPr>
        <w:numPr>
          <w:ilvl w:val="0"/>
          <w:numId w:val="3"/>
        </w:numPr>
      </w:pPr>
      <w:r w:rsidRPr="00BE27A3">
        <w:t>Rise of the Indo-Pacific construct and China’s expanding maritime footprint (BRI/MSR, dual-use ports, naval presence in IOR).</w:t>
      </w:r>
    </w:p>
    <w:p w14:paraId="6E942DE4" w14:textId="77777777" w:rsidR="00BE27A3" w:rsidRPr="00BE27A3" w:rsidRDefault="00BE27A3" w:rsidP="00BE27A3">
      <w:pPr>
        <w:numPr>
          <w:ilvl w:val="0"/>
          <w:numId w:val="3"/>
        </w:numPr>
      </w:pPr>
      <w:r w:rsidRPr="00BE27A3">
        <w:t>India’s responses: SAGAR doctrine, IPOI, QUAD revival, enhanced naval diplomacy, HADR operations, capacity-building with ASEAN and island states.</w:t>
      </w:r>
    </w:p>
    <w:p w14:paraId="45B1641C" w14:textId="77777777" w:rsidR="00BE27A3" w:rsidRPr="00BE27A3" w:rsidRDefault="00BE27A3" w:rsidP="00BE27A3">
      <w:pPr>
        <w:numPr>
          <w:ilvl w:val="0"/>
          <w:numId w:val="3"/>
        </w:numPr>
      </w:pPr>
      <w:r w:rsidRPr="00BE27A3">
        <w:lastRenderedPageBreak/>
        <w:t xml:space="preserve">Domestic drivers: post-26/11 coastal security reforms, </w:t>
      </w:r>
      <w:proofErr w:type="spellStart"/>
      <w:r w:rsidRPr="00BE27A3">
        <w:t>Sagarmala</w:t>
      </w:r>
      <w:proofErr w:type="spellEnd"/>
      <w:r w:rsidRPr="00BE27A3">
        <w:t xml:space="preserve"> and Maritime India Vision 2030, Maritime Domain Awareness architecture (NC3I, IMAC, IFC-IOR).</w:t>
      </w:r>
    </w:p>
    <w:p w14:paraId="415A6FBF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1.4 Research Problem</w:t>
      </w:r>
    </w:p>
    <w:p w14:paraId="457DC99A" w14:textId="77777777" w:rsidR="00BE27A3" w:rsidRPr="00BE27A3" w:rsidRDefault="00BE27A3" w:rsidP="00BE27A3">
      <w:pPr>
        <w:numPr>
          <w:ilvl w:val="0"/>
          <w:numId w:val="4"/>
        </w:numPr>
      </w:pPr>
      <w:r w:rsidRPr="00BE27A3">
        <w:t>Persistent analytical disconnect between studies of Act East Policy (diplomatic/economic focus) and studies of Indian maritime strategy/naval modernisation.</w:t>
      </w:r>
    </w:p>
    <w:p w14:paraId="05AC0346" w14:textId="77777777" w:rsidR="00BE27A3" w:rsidRPr="00BE27A3" w:rsidRDefault="00BE27A3" w:rsidP="00BE27A3">
      <w:pPr>
        <w:numPr>
          <w:ilvl w:val="0"/>
          <w:numId w:val="4"/>
        </w:numPr>
      </w:pPr>
      <w:r w:rsidRPr="00BE27A3">
        <w:t>Absence of systematic qualitative examination of policy intent–operational practice alignment over the long term.</w:t>
      </w:r>
    </w:p>
    <w:p w14:paraId="33063E3E" w14:textId="77777777" w:rsidR="00BE27A3" w:rsidRPr="00BE27A3" w:rsidRDefault="00BE27A3" w:rsidP="00BE27A3">
      <w:pPr>
        <w:numPr>
          <w:ilvl w:val="0"/>
          <w:numId w:val="4"/>
        </w:numPr>
      </w:pPr>
      <w:r w:rsidRPr="00BE27A3">
        <w:t>Incomplete understanding of how maritime instruments support, complement or constrain AEP objectives amid shifting Indo-Pacific geopolitics and domestic capability constraints.</w:t>
      </w:r>
    </w:p>
    <w:p w14:paraId="118E91A4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1.5 Research Objectives</w:t>
      </w:r>
    </w:p>
    <w:p w14:paraId="2575EE23" w14:textId="77777777" w:rsidR="00BE27A3" w:rsidRPr="00BE27A3" w:rsidRDefault="00BE27A3" w:rsidP="00BE27A3">
      <w:pPr>
        <w:numPr>
          <w:ilvl w:val="0"/>
          <w:numId w:val="5"/>
        </w:numPr>
      </w:pPr>
      <w:r w:rsidRPr="00BE27A3">
        <w:t>Analyse the evolution of India’s Act East Policy since 2014.</w:t>
      </w:r>
    </w:p>
    <w:p w14:paraId="383D78FA" w14:textId="77777777" w:rsidR="00BE27A3" w:rsidRPr="00BE27A3" w:rsidRDefault="00BE27A3" w:rsidP="00BE27A3">
      <w:pPr>
        <w:numPr>
          <w:ilvl w:val="0"/>
          <w:numId w:val="5"/>
        </w:numPr>
      </w:pPr>
      <w:r w:rsidRPr="00BE27A3">
        <w:t>Examine India’s maritime strategy within the Indo-Pacific framework.</w:t>
      </w:r>
    </w:p>
    <w:p w14:paraId="2956D481" w14:textId="77777777" w:rsidR="00BE27A3" w:rsidRPr="00BE27A3" w:rsidRDefault="00BE27A3" w:rsidP="00BE27A3">
      <w:pPr>
        <w:numPr>
          <w:ilvl w:val="0"/>
          <w:numId w:val="5"/>
        </w:numPr>
      </w:pPr>
      <w:r w:rsidRPr="00BE27A3">
        <w:t>Assess the degree of strategic alignment between AEP objectives and maritime practices.</w:t>
      </w:r>
    </w:p>
    <w:p w14:paraId="03232FDC" w14:textId="77777777" w:rsidR="00BE27A3" w:rsidRPr="00BE27A3" w:rsidRDefault="00BE27A3" w:rsidP="00BE27A3">
      <w:pPr>
        <w:numPr>
          <w:ilvl w:val="0"/>
          <w:numId w:val="5"/>
        </w:numPr>
      </w:pPr>
      <w:r w:rsidRPr="00BE27A3">
        <w:t>Identify strategic challenges, constraints and limitations shaping India’s maritime ambitions.</w:t>
      </w:r>
    </w:p>
    <w:p w14:paraId="77EFB9F9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1.6 Research Questions</w:t>
      </w:r>
    </w:p>
    <w:p w14:paraId="42BE885C" w14:textId="77777777" w:rsidR="00BE27A3" w:rsidRPr="00BE27A3" w:rsidRDefault="00BE27A3" w:rsidP="00BE27A3">
      <w:pPr>
        <w:numPr>
          <w:ilvl w:val="0"/>
          <w:numId w:val="6"/>
        </w:numPr>
      </w:pPr>
      <w:r w:rsidRPr="00BE27A3">
        <w:t>How has India’s Act East Policy evolved since its articulation, and what strategic shifts has it produced?</w:t>
      </w:r>
    </w:p>
    <w:p w14:paraId="2282086A" w14:textId="77777777" w:rsidR="00BE27A3" w:rsidRPr="00BE27A3" w:rsidRDefault="00BE27A3" w:rsidP="00BE27A3">
      <w:pPr>
        <w:numPr>
          <w:ilvl w:val="0"/>
          <w:numId w:val="6"/>
        </w:numPr>
      </w:pPr>
      <w:r w:rsidRPr="00BE27A3">
        <w:t>In what ways has AEP influenced India’s diplomatic, economic and defence engagement with major Indo-Pacific partners, particularly Southeast Asia?</w:t>
      </w:r>
    </w:p>
    <w:p w14:paraId="71899FEC" w14:textId="77777777" w:rsidR="00BE27A3" w:rsidRPr="00BE27A3" w:rsidRDefault="00BE27A3" w:rsidP="00BE27A3">
      <w:pPr>
        <w:numPr>
          <w:ilvl w:val="0"/>
          <w:numId w:val="6"/>
        </w:numPr>
      </w:pPr>
      <w:r w:rsidRPr="00BE27A3">
        <w:t>What is the relationship between Act East Policy and India’s maritime strategy in the Indo-Pacific?</w:t>
      </w:r>
    </w:p>
    <w:p w14:paraId="47C923A2" w14:textId="77777777" w:rsidR="00BE27A3" w:rsidRPr="00BE27A3" w:rsidRDefault="00BE27A3" w:rsidP="00BE27A3">
      <w:pPr>
        <w:numPr>
          <w:ilvl w:val="0"/>
          <w:numId w:val="6"/>
        </w:numPr>
      </w:pPr>
      <w:r w:rsidRPr="00BE27A3">
        <w:t>To what extent has AEP been effective in addressing China’s expanding presence in the Indo-Pacific?</w:t>
      </w:r>
    </w:p>
    <w:p w14:paraId="0A68E448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1.7 Hypotheses</w:t>
      </w:r>
    </w:p>
    <w:p w14:paraId="750A5D3E" w14:textId="77777777" w:rsidR="00BE27A3" w:rsidRPr="00BE27A3" w:rsidRDefault="00BE27A3" w:rsidP="00BE27A3">
      <w:pPr>
        <w:numPr>
          <w:ilvl w:val="0"/>
          <w:numId w:val="7"/>
        </w:numPr>
      </w:pPr>
      <w:r w:rsidRPr="00BE27A3">
        <w:t>Between 2014 and 2025, AEP produced a convergence of strategic maritime interests, economic connectivity imperatives and responses to a rising regional power, thereby transforming India’s Indo-Pacific engagement.</w:t>
      </w:r>
    </w:p>
    <w:p w14:paraId="29A8117B" w14:textId="77777777" w:rsidR="00BE27A3" w:rsidRPr="00BE27A3" w:rsidRDefault="00BE27A3" w:rsidP="00BE27A3">
      <w:pPr>
        <w:numPr>
          <w:ilvl w:val="0"/>
          <w:numId w:val="7"/>
        </w:numPr>
      </w:pPr>
      <w:r w:rsidRPr="00BE27A3">
        <w:lastRenderedPageBreak/>
        <w:t>India’s maritime strategy shifted from a predominantly reactive, continental-focused posture to a proactive, blue-water orientation anchored in multilateral institutional frameworks.</w:t>
      </w:r>
    </w:p>
    <w:p w14:paraId="2FB35C33" w14:textId="77777777" w:rsidR="00BE27A3" w:rsidRPr="00BE27A3" w:rsidRDefault="00BE27A3" w:rsidP="00BE27A3">
      <w:pPr>
        <w:numPr>
          <w:ilvl w:val="0"/>
          <w:numId w:val="7"/>
        </w:numPr>
      </w:pPr>
      <w:r w:rsidRPr="00BE27A3">
        <w:t>AEP did not fundamentally alter India’s maritime strategic posture; rhetorical escalation masked continuity of cautious, hedge-based policy constrained by domestic capability deficits and the enduring logic of strategic autonomy.</w:t>
      </w:r>
    </w:p>
    <w:p w14:paraId="0EE4D311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1.8 Theoretical and Analytical Framework</w:t>
      </w:r>
    </w:p>
    <w:p w14:paraId="7B81F20A" w14:textId="77777777" w:rsidR="00BE27A3" w:rsidRPr="00BE27A3" w:rsidRDefault="00BE27A3" w:rsidP="00BE27A3">
      <w:r w:rsidRPr="00BE27A3">
        <w:rPr>
          <w:b/>
          <w:bCs/>
        </w:rPr>
        <w:t>1.8.1 Neo-Realism and Geopolitical Drivers</w:t>
      </w:r>
    </w:p>
    <w:p w14:paraId="432F52AF" w14:textId="77777777" w:rsidR="00BE27A3" w:rsidRPr="00BE27A3" w:rsidRDefault="00BE27A3" w:rsidP="00BE27A3">
      <w:pPr>
        <w:numPr>
          <w:ilvl w:val="0"/>
          <w:numId w:val="8"/>
        </w:numPr>
      </w:pPr>
      <w:r w:rsidRPr="00BE27A3">
        <w:t>Anarchy, relative gains, self-help and power distribution after 1991.</w:t>
      </w:r>
    </w:p>
    <w:p w14:paraId="0983D087" w14:textId="77777777" w:rsidR="00BE27A3" w:rsidRPr="00BE27A3" w:rsidRDefault="00BE27A3" w:rsidP="00BE27A3">
      <w:pPr>
        <w:numPr>
          <w:ilvl w:val="0"/>
          <w:numId w:val="8"/>
        </w:numPr>
      </w:pPr>
      <w:r w:rsidRPr="00BE27A3">
        <w:t>China’s rise and the securitisation of the Indian Ocean as drivers of Indian balancing and hedging (QUAD, IPOI, Malabar, MDA, forward presence).</w:t>
      </w:r>
    </w:p>
    <w:p w14:paraId="20E3936D" w14:textId="77777777" w:rsidR="00BE27A3" w:rsidRPr="00BE27A3" w:rsidRDefault="00BE27A3" w:rsidP="00BE27A3">
      <w:pPr>
        <w:numPr>
          <w:ilvl w:val="0"/>
          <w:numId w:val="8"/>
        </w:numPr>
      </w:pPr>
      <w:r w:rsidRPr="00BE27A3">
        <w:t>Strategic autonomy as moderated multilateralism.</w:t>
      </w:r>
    </w:p>
    <w:p w14:paraId="559B81E8" w14:textId="77777777" w:rsidR="00BE27A3" w:rsidRPr="00BE27A3" w:rsidRDefault="00BE27A3" w:rsidP="00BE27A3">
      <w:r w:rsidRPr="00BE27A3">
        <w:rPr>
          <w:b/>
          <w:bCs/>
        </w:rPr>
        <w:t>1.8.2 Liberal Institutionalism and Regional Order</w:t>
      </w:r>
    </w:p>
    <w:p w14:paraId="49D37BCB" w14:textId="77777777" w:rsidR="00BE27A3" w:rsidRPr="00BE27A3" w:rsidRDefault="00BE27A3" w:rsidP="00BE27A3">
      <w:pPr>
        <w:numPr>
          <w:ilvl w:val="0"/>
          <w:numId w:val="9"/>
        </w:numPr>
      </w:pPr>
      <w:r w:rsidRPr="00BE27A3">
        <w:t>Institutions as mechanisms for reducing uncertainty, enhancing transparency and lowering transaction costs.</w:t>
      </w:r>
    </w:p>
    <w:p w14:paraId="514104C5" w14:textId="77777777" w:rsidR="00BE27A3" w:rsidRPr="00BE27A3" w:rsidRDefault="00BE27A3" w:rsidP="00BE27A3">
      <w:pPr>
        <w:numPr>
          <w:ilvl w:val="0"/>
          <w:numId w:val="9"/>
        </w:numPr>
      </w:pPr>
      <w:r w:rsidRPr="00BE27A3">
        <w:t>ASEAN-centred frameworks, IORA, IONS, IFC-IOR and rules-based order (UNCLOS, freedom of navigation).</w:t>
      </w:r>
    </w:p>
    <w:p w14:paraId="4660D43B" w14:textId="77777777" w:rsidR="00BE27A3" w:rsidRPr="00BE27A3" w:rsidRDefault="00BE27A3" w:rsidP="00BE27A3">
      <w:pPr>
        <w:numPr>
          <w:ilvl w:val="0"/>
          <w:numId w:val="9"/>
        </w:numPr>
      </w:pPr>
      <w:r w:rsidRPr="00BE27A3">
        <w:t>Dual track of deterrence + cooperative security.</w:t>
      </w:r>
    </w:p>
    <w:p w14:paraId="0BBAAD09" w14:textId="77777777" w:rsidR="00BE27A3" w:rsidRPr="00BE27A3" w:rsidRDefault="00BE27A3" w:rsidP="00BE27A3">
      <w:r w:rsidRPr="00BE27A3">
        <w:rPr>
          <w:b/>
          <w:bCs/>
        </w:rPr>
        <w:t>1.8.3 Grand-Strategic Synthesis: Sea Power, Geo-Economics and State Capacity</w:t>
      </w:r>
    </w:p>
    <w:p w14:paraId="138CDE55" w14:textId="77777777" w:rsidR="00BE27A3" w:rsidRPr="00BE27A3" w:rsidRDefault="00BE27A3" w:rsidP="00BE27A3">
      <w:pPr>
        <w:numPr>
          <w:ilvl w:val="0"/>
          <w:numId w:val="10"/>
        </w:numPr>
      </w:pPr>
      <w:r w:rsidRPr="00BE27A3">
        <w:t>Neo-Mahanian logic: control of SLOCs, port-led development (</w:t>
      </w:r>
      <w:proofErr w:type="spellStart"/>
      <w:r w:rsidRPr="00BE27A3">
        <w:t>Sagarmala</w:t>
      </w:r>
      <w:proofErr w:type="spellEnd"/>
      <w:r w:rsidRPr="00BE27A3">
        <w:t>), blue economy and industrial policy.</w:t>
      </w:r>
    </w:p>
    <w:p w14:paraId="1E3A0EDD" w14:textId="77777777" w:rsidR="00BE27A3" w:rsidRPr="00BE27A3" w:rsidRDefault="00BE27A3" w:rsidP="00BE27A3">
      <w:pPr>
        <w:numPr>
          <w:ilvl w:val="0"/>
          <w:numId w:val="10"/>
        </w:numPr>
      </w:pPr>
      <w:r w:rsidRPr="00BE27A3">
        <w:t>Linkage of hard-power (naval modernisation) and soft-power (HADR, capacity-building) instruments.</w:t>
      </w:r>
    </w:p>
    <w:p w14:paraId="3458FFAA" w14:textId="77777777" w:rsidR="00BE27A3" w:rsidRPr="00BE27A3" w:rsidRDefault="00BE27A3" w:rsidP="00BE27A3">
      <w:pPr>
        <w:numPr>
          <w:ilvl w:val="0"/>
          <w:numId w:val="10"/>
        </w:numPr>
      </w:pPr>
      <w:r w:rsidRPr="00BE27A3">
        <w:t>Domestic state capacity as the decisive intervening variable (bureaucratic fragmentation, shipbuilding constraints, technological dependence).</w:t>
      </w:r>
    </w:p>
    <w:p w14:paraId="5554EC41" w14:textId="77777777" w:rsidR="00BE27A3" w:rsidRPr="00BE27A3" w:rsidRDefault="00BE27A3" w:rsidP="00BE27A3">
      <w:r w:rsidRPr="00BE27A3">
        <w:rPr>
          <w:b/>
          <w:bCs/>
        </w:rPr>
        <w:t>1.8.4 Policy-Process Framework</w:t>
      </w:r>
    </w:p>
    <w:p w14:paraId="35F86F1A" w14:textId="77777777" w:rsidR="00BE27A3" w:rsidRPr="00BE27A3" w:rsidRDefault="00BE27A3" w:rsidP="00BE27A3">
      <w:pPr>
        <w:numPr>
          <w:ilvl w:val="0"/>
          <w:numId w:val="11"/>
        </w:numPr>
      </w:pPr>
      <w:r w:rsidRPr="00BE27A3">
        <w:t xml:space="preserve">Agenda-setting (26/11 as critical juncture), policy instruments (SAGAR, </w:t>
      </w:r>
      <w:proofErr w:type="spellStart"/>
      <w:r w:rsidRPr="00BE27A3">
        <w:t>Sagarmala</w:t>
      </w:r>
      <w:proofErr w:type="spellEnd"/>
      <w:r w:rsidRPr="00BE27A3">
        <w:t>, IPOI, coastal security architecture), multi-actor implementation and feedback loops.</w:t>
      </w:r>
    </w:p>
    <w:p w14:paraId="16CB0B18" w14:textId="77777777" w:rsidR="00BE27A3" w:rsidRPr="00BE27A3" w:rsidRDefault="00BE27A3" w:rsidP="00BE27A3">
      <w:pPr>
        <w:numPr>
          <w:ilvl w:val="0"/>
          <w:numId w:val="11"/>
        </w:numPr>
      </w:pPr>
      <w:r w:rsidRPr="00BE27A3">
        <w:t>Bridging systemic theories with operational policy analysis.</w:t>
      </w:r>
    </w:p>
    <w:p w14:paraId="0675589C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1.9 Research Methodology</w:t>
      </w:r>
    </w:p>
    <w:p w14:paraId="5ED517AF" w14:textId="77777777" w:rsidR="00BE27A3" w:rsidRPr="00BE27A3" w:rsidRDefault="00BE27A3" w:rsidP="00BE27A3">
      <w:r w:rsidRPr="00BE27A3">
        <w:rPr>
          <w:b/>
          <w:bCs/>
        </w:rPr>
        <w:t>1.9.1 Research Design</w:t>
      </w:r>
    </w:p>
    <w:p w14:paraId="2FFA8B90" w14:textId="77777777" w:rsidR="00BE27A3" w:rsidRPr="00BE27A3" w:rsidRDefault="00BE27A3" w:rsidP="00BE27A3">
      <w:pPr>
        <w:numPr>
          <w:ilvl w:val="0"/>
          <w:numId w:val="12"/>
        </w:numPr>
      </w:pPr>
      <w:r w:rsidRPr="00BE27A3">
        <w:lastRenderedPageBreak/>
        <w:t>Qualitative, descriptive and analytical.</w:t>
      </w:r>
    </w:p>
    <w:p w14:paraId="39C8D7DF" w14:textId="77777777" w:rsidR="00BE27A3" w:rsidRPr="00BE27A3" w:rsidRDefault="00BE27A3" w:rsidP="00BE27A3">
      <w:pPr>
        <w:numPr>
          <w:ilvl w:val="0"/>
          <w:numId w:val="12"/>
        </w:numPr>
      </w:pPr>
      <w:r w:rsidRPr="00BE27A3">
        <w:t>Secondary research design prioritised for macro-level policy and doctrinal analysis across 2014–2025, supplemented by primary data.</w:t>
      </w:r>
    </w:p>
    <w:p w14:paraId="690E6791" w14:textId="77777777" w:rsidR="00BE27A3" w:rsidRPr="00BE27A3" w:rsidRDefault="00BE27A3" w:rsidP="00BE27A3">
      <w:r w:rsidRPr="00BE27A3">
        <w:rPr>
          <w:b/>
          <w:bCs/>
        </w:rPr>
        <w:t>1.9.2 Data Collection</w:t>
      </w:r>
    </w:p>
    <w:p w14:paraId="68A8128B" w14:textId="77777777" w:rsidR="00BE27A3" w:rsidRPr="00BE27A3" w:rsidRDefault="00BE27A3" w:rsidP="00BE27A3">
      <w:pPr>
        <w:numPr>
          <w:ilvl w:val="0"/>
          <w:numId w:val="13"/>
        </w:numPr>
      </w:pPr>
      <w:r w:rsidRPr="00BE27A3">
        <w:rPr>
          <w:b/>
          <w:bCs/>
        </w:rPr>
        <w:t>Primary</w:t>
      </w:r>
      <w:r w:rsidRPr="00BE27A3">
        <w:t>: Structured questionnaires (Likert-scale) and semi-structured expert interviews (academia, strategic community, defence and maritime specialists); purposive sample of approximately 80–120 respondents.</w:t>
      </w:r>
    </w:p>
    <w:p w14:paraId="12DC5BC7" w14:textId="77777777" w:rsidR="00BE27A3" w:rsidRPr="00BE27A3" w:rsidRDefault="00BE27A3" w:rsidP="00BE27A3">
      <w:pPr>
        <w:numPr>
          <w:ilvl w:val="0"/>
          <w:numId w:val="13"/>
        </w:numPr>
      </w:pPr>
      <w:r w:rsidRPr="00BE27A3">
        <w:rPr>
          <w:b/>
          <w:bCs/>
        </w:rPr>
        <w:t>Secondary</w:t>
      </w:r>
      <w:r w:rsidRPr="00BE27A3">
        <w:t>: Government policy documents and white papers, naval doctrines, MEA annual reports, official speeches (2014–2025), peer-reviewed scholarship, think-tank reports (ORF, IDSA, NMF, IISS, Carnegie, etc.).</w:t>
      </w:r>
    </w:p>
    <w:p w14:paraId="2AB9AFBF" w14:textId="77777777" w:rsidR="00BE27A3" w:rsidRPr="00BE27A3" w:rsidRDefault="00BE27A3" w:rsidP="00BE27A3">
      <w:r w:rsidRPr="00BE27A3">
        <w:rPr>
          <w:b/>
          <w:bCs/>
        </w:rPr>
        <w:t>1.9.3 Data Analysis</w:t>
      </w:r>
    </w:p>
    <w:p w14:paraId="3097ECAF" w14:textId="77777777" w:rsidR="00BE27A3" w:rsidRPr="00BE27A3" w:rsidRDefault="00BE27A3" w:rsidP="00BE27A3">
      <w:pPr>
        <w:numPr>
          <w:ilvl w:val="0"/>
          <w:numId w:val="14"/>
        </w:numPr>
      </w:pPr>
      <w:r w:rsidRPr="00BE27A3">
        <w:t>Thematic analysis through close reading and systematic comparison.</w:t>
      </w:r>
    </w:p>
    <w:p w14:paraId="4F5FB530" w14:textId="77777777" w:rsidR="00BE27A3" w:rsidRPr="00BE27A3" w:rsidRDefault="00BE27A3" w:rsidP="00BE27A3">
      <w:pPr>
        <w:numPr>
          <w:ilvl w:val="0"/>
          <w:numId w:val="14"/>
        </w:numPr>
      </w:pPr>
      <w:r w:rsidRPr="00BE27A3">
        <w:t>Core themes: maritime security, diplomatic relations, power projection, regional alliances, strategic alignment, capability constraints.</w:t>
      </w:r>
    </w:p>
    <w:p w14:paraId="25B6D472" w14:textId="77777777" w:rsidR="00BE27A3" w:rsidRPr="00BE27A3" w:rsidRDefault="00BE27A3" w:rsidP="00BE27A3">
      <w:pPr>
        <w:numPr>
          <w:ilvl w:val="0"/>
          <w:numId w:val="14"/>
        </w:numPr>
      </w:pPr>
      <w:r w:rsidRPr="00BE27A3">
        <w:t>Manual categorisation and interpretive argumentation (no automated coding software).</w:t>
      </w:r>
    </w:p>
    <w:p w14:paraId="7200E35E" w14:textId="77777777" w:rsidR="00BE27A3" w:rsidRPr="00BE27A3" w:rsidRDefault="00BE27A3" w:rsidP="00BE27A3">
      <w:r w:rsidRPr="00BE27A3">
        <w:rPr>
          <w:b/>
          <w:bCs/>
        </w:rPr>
        <w:t>1.9.4 Justification of Secondary Qualitative Emphasis</w:t>
      </w:r>
    </w:p>
    <w:p w14:paraId="271F71B4" w14:textId="77777777" w:rsidR="00BE27A3" w:rsidRPr="00BE27A3" w:rsidRDefault="00BE27A3" w:rsidP="00BE27A3">
      <w:pPr>
        <w:numPr>
          <w:ilvl w:val="0"/>
          <w:numId w:val="15"/>
        </w:numPr>
      </w:pPr>
      <w:r w:rsidRPr="00BE27A3">
        <w:t>Feasibility, access to authoritative longitudinal sources, suitability for discourse, strategy and institutional analysis over an extended time-frame.</w:t>
      </w:r>
    </w:p>
    <w:p w14:paraId="7C59D73C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1.10 Scope and Limitations</w:t>
      </w:r>
    </w:p>
    <w:p w14:paraId="1DA318A1" w14:textId="77777777" w:rsidR="00BE27A3" w:rsidRPr="00BE27A3" w:rsidRDefault="00BE27A3" w:rsidP="00BE27A3">
      <w:pPr>
        <w:numPr>
          <w:ilvl w:val="0"/>
          <w:numId w:val="16"/>
        </w:numPr>
      </w:pPr>
      <w:r w:rsidRPr="00BE27A3">
        <w:t>Temporal focus: 2014–2025 (with necessary historical background from 1991).</w:t>
      </w:r>
    </w:p>
    <w:p w14:paraId="14F48779" w14:textId="77777777" w:rsidR="00BE27A3" w:rsidRPr="00BE27A3" w:rsidRDefault="00BE27A3" w:rsidP="00BE27A3">
      <w:pPr>
        <w:numPr>
          <w:ilvl w:val="0"/>
          <w:numId w:val="16"/>
        </w:numPr>
      </w:pPr>
      <w:r w:rsidRPr="00BE27A3">
        <w:t>Geographic focus: Indo-Pacific with primary emphasis on Bay of Bengal, ASEAN, IOR and Western Pacific partnerships.</w:t>
      </w:r>
    </w:p>
    <w:p w14:paraId="03FDDC2A" w14:textId="77777777" w:rsidR="00BE27A3" w:rsidRPr="00BE27A3" w:rsidRDefault="00BE27A3" w:rsidP="00BE27A3">
      <w:pPr>
        <w:numPr>
          <w:ilvl w:val="0"/>
          <w:numId w:val="16"/>
        </w:numPr>
      </w:pPr>
      <w:r w:rsidRPr="00BE27A3">
        <w:t>Limitations: reliance on publicly available sources; constraints of primary data access; rapidly evolving strategic environment; inability to capture classified operational details.</w:t>
      </w:r>
    </w:p>
    <w:p w14:paraId="3CF3FB5E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1.11 Significance of the Study</w:t>
      </w:r>
    </w:p>
    <w:p w14:paraId="76FF2341" w14:textId="77777777" w:rsidR="00BE27A3" w:rsidRPr="00BE27A3" w:rsidRDefault="00BE27A3" w:rsidP="00BE27A3">
      <w:pPr>
        <w:numPr>
          <w:ilvl w:val="0"/>
          <w:numId w:val="17"/>
        </w:numPr>
      </w:pPr>
      <w:r w:rsidRPr="00BE27A3">
        <w:t>Scholarly contribution: integrated empirical foundation linking economic, infrastructural and military-maritime strands.</w:t>
      </w:r>
    </w:p>
    <w:p w14:paraId="34F87A36" w14:textId="77777777" w:rsidR="00BE27A3" w:rsidRPr="00BE27A3" w:rsidRDefault="00BE27A3" w:rsidP="00BE27A3">
      <w:pPr>
        <w:numPr>
          <w:ilvl w:val="0"/>
          <w:numId w:val="17"/>
        </w:numPr>
      </w:pPr>
      <w:r w:rsidRPr="00BE27A3">
        <w:t>Policy relevance: insights for MEA, MoD, maritime and infrastructure agencies on coherence, reform priorities and sustainability.</w:t>
      </w:r>
    </w:p>
    <w:p w14:paraId="3B753E5D" w14:textId="77777777" w:rsidR="00BE27A3" w:rsidRPr="00BE27A3" w:rsidRDefault="00BE27A3" w:rsidP="00BE27A3">
      <w:pPr>
        <w:numPr>
          <w:ilvl w:val="0"/>
          <w:numId w:val="17"/>
        </w:numPr>
      </w:pPr>
      <w:r w:rsidRPr="00BE27A3">
        <w:lastRenderedPageBreak/>
        <w:t>Strategic relevance: assessment of the consistency of India’s maritime turn amid intensifying Indo-Pacific competition.</w:t>
      </w:r>
    </w:p>
    <w:p w14:paraId="1BE639F9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1.12 Organisation of the Thesis</w:t>
      </w:r>
    </w:p>
    <w:p w14:paraId="6A4AC42B" w14:textId="77777777" w:rsidR="00BE27A3" w:rsidRPr="00BE27A3" w:rsidRDefault="00BE27A3" w:rsidP="00BE27A3">
      <w:pPr>
        <w:numPr>
          <w:ilvl w:val="0"/>
          <w:numId w:val="18"/>
        </w:numPr>
      </w:pPr>
      <w:r w:rsidRPr="00BE27A3">
        <w:t>Brief roadmap of Chapters 2–6 (Evolution of AEP; Maritime Doctrine and Strategic Vision; Naval Modernisation and Capacity; Strategic Partnerships and Balancing; Conclusion and Policy Recommendations).</w:t>
      </w:r>
    </w:p>
    <w:p w14:paraId="5154A719" w14:textId="77777777" w:rsidR="00BE27A3" w:rsidRPr="00BE27A3" w:rsidRDefault="00BE27A3" w:rsidP="00BE27A3">
      <w:pPr>
        <w:rPr>
          <w:b/>
          <w:bCs/>
        </w:rPr>
      </w:pPr>
      <w:r w:rsidRPr="00BE27A3">
        <w:rPr>
          <w:b/>
          <w:bCs/>
        </w:rPr>
        <w:t>1.13 Conclusion of Chapter 1</w:t>
      </w:r>
    </w:p>
    <w:p w14:paraId="379B3F20" w14:textId="77777777" w:rsidR="00BE27A3" w:rsidRPr="00BE27A3" w:rsidRDefault="00BE27A3" w:rsidP="00BE27A3">
      <w:pPr>
        <w:numPr>
          <w:ilvl w:val="0"/>
          <w:numId w:val="19"/>
        </w:numPr>
      </w:pPr>
      <w:r w:rsidRPr="00BE27A3">
        <w:t>Recapitulation of the intellectual problem, analytical approach and contribution.</w:t>
      </w:r>
    </w:p>
    <w:p w14:paraId="59D18EAF" w14:textId="77777777" w:rsidR="00BE27A3" w:rsidRPr="00BE27A3" w:rsidRDefault="00BE27A3" w:rsidP="00BE27A3">
      <w:pPr>
        <w:numPr>
          <w:ilvl w:val="0"/>
          <w:numId w:val="19"/>
        </w:numPr>
      </w:pPr>
      <w:r w:rsidRPr="00BE27A3">
        <w:t>Transition to Chapter 2.</w:t>
      </w:r>
    </w:p>
    <w:p w14:paraId="41336847" w14:textId="77777777" w:rsidR="00D23BB2" w:rsidRDefault="00D23BB2"/>
    <w:sectPr w:rsidR="00D23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A5D"/>
    <w:multiLevelType w:val="multilevel"/>
    <w:tmpl w:val="41F2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1B8B"/>
    <w:multiLevelType w:val="multilevel"/>
    <w:tmpl w:val="93DE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3030A"/>
    <w:multiLevelType w:val="multilevel"/>
    <w:tmpl w:val="AF42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50A3E"/>
    <w:multiLevelType w:val="multilevel"/>
    <w:tmpl w:val="5E2E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20152"/>
    <w:multiLevelType w:val="multilevel"/>
    <w:tmpl w:val="B712B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264FF"/>
    <w:multiLevelType w:val="multilevel"/>
    <w:tmpl w:val="BA4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7518C"/>
    <w:multiLevelType w:val="multilevel"/>
    <w:tmpl w:val="814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D437F"/>
    <w:multiLevelType w:val="multilevel"/>
    <w:tmpl w:val="3400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E7690"/>
    <w:multiLevelType w:val="multilevel"/>
    <w:tmpl w:val="90A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B25A8"/>
    <w:multiLevelType w:val="multilevel"/>
    <w:tmpl w:val="D14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72803"/>
    <w:multiLevelType w:val="multilevel"/>
    <w:tmpl w:val="5D9A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11AF5"/>
    <w:multiLevelType w:val="multilevel"/>
    <w:tmpl w:val="C1A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2637B"/>
    <w:multiLevelType w:val="multilevel"/>
    <w:tmpl w:val="55EE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A1CCC"/>
    <w:multiLevelType w:val="multilevel"/>
    <w:tmpl w:val="F782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83A53"/>
    <w:multiLevelType w:val="multilevel"/>
    <w:tmpl w:val="7FE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9722E"/>
    <w:multiLevelType w:val="multilevel"/>
    <w:tmpl w:val="5CA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53278"/>
    <w:multiLevelType w:val="multilevel"/>
    <w:tmpl w:val="A2A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65EF3"/>
    <w:multiLevelType w:val="multilevel"/>
    <w:tmpl w:val="984A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00381"/>
    <w:multiLevelType w:val="multilevel"/>
    <w:tmpl w:val="2CFE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917592">
    <w:abstractNumId w:val="11"/>
  </w:num>
  <w:num w:numId="2" w16cid:durableId="391926543">
    <w:abstractNumId w:val="6"/>
  </w:num>
  <w:num w:numId="3" w16cid:durableId="2089305614">
    <w:abstractNumId w:val="7"/>
  </w:num>
  <w:num w:numId="4" w16cid:durableId="59912645">
    <w:abstractNumId w:val="13"/>
  </w:num>
  <w:num w:numId="5" w16cid:durableId="2025593154">
    <w:abstractNumId w:val="3"/>
  </w:num>
  <w:num w:numId="6" w16cid:durableId="236600136">
    <w:abstractNumId w:val="4"/>
  </w:num>
  <w:num w:numId="7" w16cid:durableId="1268462659">
    <w:abstractNumId w:val="18"/>
  </w:num>
  <w:num w:numId="8" w16cid:durableId="57942002">
    <w:abstractNumId w:val="9"/>
  </w:num>
  <w:num w:numId="9" w16cid:durableId="1752920667">
    <w:abstractNumId w:val="14"/>
  </w:num>
  <w:num w:numId="10" w16cid:durableId="571159076">
    <w:abstractNumId w:val="16"/>
  </w:num>
  <w:num w:numId="11" w16cid:durableId="766390012">
    <w:abstractNumId w:val="12"/>
  </w:num>
  <w:num w:numId="12" w16cid:durableId="400099069">
    <w:abstractNumId w:val="8"/>
  </w:num>
  <w:num w:numId="13" w16cid:durableId="1237975053">
    <w:abstractNumId w:val="10"/>
  </w:num>
  <w:num w:numId="14" w16cid:durableId="796678595">
    <w:abstractNumId w:val="5"/>
  </w:num>
  <w:num w:numId="15" w16cid:durableId="1325477223">
    <w:abstractNumId w:val="17"/>
  </w:num>
  <w:num w:numId="16" w16cid:durableId="1233200677">
    <w:abstractNumId w:val="1"/>
  </w:num>
  <w:num w:numId="17" w16cid:durableId="2055108889">
    <w:abstractNumId w:val="2"/>
  </w:num>
  <w:num w:numId="18" w16cid:durableId="935527078">
    <w:abstractNumId w:val="0"/>
  </w:num>
  <w:num w:numId="19" w16cid:durableId="3522222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A3"/>
    <w:rsid w:val="001834C7"/>
    <w:rsid w:val="0075779D"/>
    <w:rsid w:val="00B85695"/>
    <w:rsid w:val="00BE27A3"/>
    <w:rsid w:val="00CC4708"/>
    <w:rsid w:val="00D23BB2"/>
    <w:rsid w:val="00FC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296C"/>
  <w15:chartTrackingRefBased/>
  <w15:docId w15:val="{5B91C4FF-848C-46E2-802B-132CB2AA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695"/>
    <w:pPr>
      <w:keepNext/>
      <w:keepLines/>
      <w:spacing w:before="360" w:after="8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695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85695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9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69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695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Ankita</dc:creator>
  <cp:keywords/>
  <dc:description/>
  <cp:lastModifiedBy>Kaushal Ankita</cp:lastModifiedBy>
  <cp:revision>1</cp:revision>
  <dcterms:created xsi:type="dcterms:W3CDTF">2026-08-05T15:38:00Z</dcterms:created>
  <dcterms:modified xsi:type="dcterms:W3CDTF">2026-08-05T15:39:00Z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294713d1-3f92-4e66-ac8d-1d48839fddbb</vt:lpwstr>
  </property>
</Properties>
</file>