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1E9FC" w14:textId="763C9EB8" w:rsidR="00E52750" w:rsidRDefault="00E52750" w:rsidP="00E52750">
      <w:pPr>
        <w:rPr>
          <w:lang w:val="en-US"/>
        </w:rPr>
      </w:pPr>
      <w:r>
        <w:rPr>
          <w:lang w:val="en-US"/>
        </w:rPr>
        <w:t>Objective:</w:t>
      </w:r>
    </w:p>
    <w:p w14:paraId="75341620" w14:textId="7DAFF834" w:rsidR="00511EB6" w:rsidRDefault="00511EB6" w:rsidP="00E52750">
      <w:pPr>
        <w:rPr>
          <w:lang w:val="en-US"/>
        </w:rPr>
      </w:pPr>
      <w:r w:rsidRPr="00511EB6">
        <w:rPr>
          <w:lang w:val="en-US"/>
        </w:rPr>
        <w:t>To identify, classify, and evaluate drug-related problems associated with the use of medical materials and devices in post-operative patients by using PCNE Tool Version 9.1</w:t>
      </w:r>
      <w:r w:rsidR="00D2713C">
        <w:rPr>
          <w:lang w:val="en-US"/>
        </w:rPr>
        <w:t xml:space="preserve"> and</w:t>
      </w:r>
      <w:r w:rsidRPr="00D2713C">
        <w:rPr>
          <w:lang w:val="en-US"/>
        </w:rPr>
        <w:t xml:space="preserve"> Identify the risk factors &amp; Causes of medical devices based on Adverse Reactions observed in post-operative, geriatric populations.</w:t>
      </w:r>
    </w:p>
    <w:p w14:paraId="1C0F7B37" w14:textId="77777777" w:rsidR="006966A2" w:rsidRPr="006966A2" w:rsidRDefault="006966A2" w:rsidP="006966A2">
      <w:r w:rsidRPr="006966A2">
        <w:rPr>
          <w:b/>
          <w:bCs/>
          <w:lang w:val="en-US"/>
        </w:rPr>
        <w:t>METHODOLOGY</w:t>
      </w:r>
    </w:p>
    <w:p w14:paraId="18F6A195" w14:textId="77777777" w:rsidR="006966A2" w:rsidRPr="006966A2" w:rsidRDefault="006966A2" w:rsidP="006966A2">
      <w:r w:rsidRPr="006966A2">
        <w:rPr>
          <w:b/>
          <w:bCs/>
          <w:lang w:val="en-US"/>
        </w:rPr>
        <w:t>Study Design:</w:t>
      </w:r>
    </w:p>
    <w:p w14:paraId="48A1983C" w14:textId="77777777" w:rsidR="006966A2" w:rsidRPr="006966A2" w:rsidRDefault="006966A2" w:rsidP="006966A2">
      <w:r w:rsidRPr="006966A2">
        <w:rPr>
          <w:lang w:val="en-US"/>
        </w:rPr>
        <w:t xml:space="preserve">The study is being conducted as a </w:t>
      </w:r>
      <w:r w:rsidRPr="006966A2">
        <w:rPr>
          <w:b/>
          <w:bCs/>
          <w:lang w:val="en-US"/>
        </w:rPr>
        <w:t>Prospective Observational study</w:t>
      </w:r>
      <w:r w:rsidRPr="006966A2">
        <w:rPr>
          <w:lang w:val="en-US"/>
        </w:rPr>
        <w:t xml:space="preserve"> to evaluate Materiovigilance practices through continuous monitoring of medical device–related adverse events and drug-related problems, with the aim of improving patient safety, quality of life, and clinical outcomes</w:t>
      </w:r>
    </w:p>
    <w:p w14:paraId="7A5A1E18" w14:textId="77777777" w:rsidR="006966A2" w:rsidRPr="006966A2" w:rsidRDefault="006966A2" w:rsidP="006966A2">
      <w:r w:rsidRPr="006966A2">
        <w:rPr>
          <w:b/>
          <w:bCs/>
          <w:lang w:val="en-US"/>
        </w:rPr>
        <w:t>Study Period:</w:t>
      </w:r>
    </w:p>
    <w:p w14:paraId="6E4178ED" w14:textId="77777777" w:rsidR="006966A2" w:rsidRPr="006966A2" w:rsidRDefault="006966A2" w:rsidP="006966A2">
      <w:r w:rsidRPr="006966A2">
        <w:rPr>
          <w:lang w:val="en-US"/>
        </w:rPr>
        <w:t>The study is being conducted over a period of 24 months, during which patient recruitment, follow-up, and data collection are ongoing.</w:t>
      </w:r>
    </w:p>
    <w:p w14:paraId="60C8FFD3" w14:textId="77777777" w:rsidR="006966A2" w:rsidRPr="006966A2" w:rsidRDefault="006966A2" w:rsidP="006966A2">
      <w:r w:rsidRPr="006966A2">
        <w:rPr>
          <w:b/>
          <w:bCs/>
          <w:lang w:val="en-US"/>
        </w:rPr>
        <w:t>Study Site:</w:t>
      </w:r>
    </w:p>
    <w:p w14:paraId="1A0B38DE" w14:textId="77777777" w:rsidR="006966A2" w:rsidRPr="006966A2" w:rsidRDefault="006966A2" w:rsidP="006966A2">
      <w:r w:rsidRPr="006966A2">
        <w:rPr>
          <w:lang w:val="en-US"/>
        </w:rPr>
        <w:t xml:space="preserve">Dharan’s Multispecialty Hospitals, Salem. </w:t>
      </w:r>
    </w:p>
    <w:p w14:paraId="3B914FC0" w14:textId="77777777" w:rsidR="006966A2" w:rsidRPr="006966A2" w:rsidRDefault="006966A2" w:rsidP="006966A2">
      <w:r w:rsidRPr="006966A2">
        <w:rPr>
          <w:b/>
          <w:bCs/>
          <w:lang w:val="en-US"/>
        </w:rPr>
        <w:t>Study Population:</w:t>
      </w:r>
    </w:p>
    <w:p w14:paraId="50AD4DF1" w14:textId="77777777" w:rsidR="006966A2" w:rsidRPr="006966A2" w:rsidRDefault="006966A2" w:rsidP="006966A2">
      <w:r w:rsidRPr="006966A2">
        <w:rPr>
          <w:lang w:val="en-US"/>
        </w:rPr>
        <w:t>The study population is currently comprising a diverse group of post-operative and medical device–using patients across different age groups, genders, clinical conditions, and socioeconomic backgrounds, with representation from both geriatric and adult populations attending inpatient and outpatient services in the selected departments.</w:t>
      </w:r>
    </w:p>
    <w:p w14:paraId="168C6C9D" w14:textId="77777777" w:rsidR="00150C25" w:rsidRPr="00150C25" w:rsidRDefault="00150C25" w:rsidP="00150C25">
      <w:r w:rsidRPr="00150C25">
        <w:rPr>
          <w:b/>
          <w:bCs/>
          <w:lang w:val="en-US"/>
        </w:rPr>
        <w:t xml:space="preserve">Sample Size Calculation: </w:t>
      </w:r>
      <w:r w:rsidRPr="00150C25">
        <w:rPr>
          <w:lang w:val="en-US"/>
        </w:rPr>
        <w:t xml:space="preserve">The sample sizes are calculated based on Fisher’s Formula </w:t>
      </w:r>
    </w:p>
    <w:p w14:paraId="242F7EE8" w14:textId="601C2991" w:rsidR="00150C25" w:rsidRPr="00150C25" w:rsidRDefault="00150C25" w:rsidP="00150C25">
      <w:r w:rsidRPr="00150C25">
        <w:rPr>
          <w:lang w:val="en-US"/>
        </w:rPr>
        <w:t xml:space="preserve">For Sample Size Calculation: </w:t>
      </w:r>
      <w:r w:rsidR="00190A24" w:rsidRPr="00190A24">
        <w:drawing>
          <wp:inline distT="0" distB="0" distL="0" distR="0" wp14:anchorId="33738A60" wp14:editId="72905186">
            <wp:extent cx="2014116" cy="815917"/>
            <wp:effectExtent l="0" t="0" r="5715" b="3810"/>
            <wp:docPr id="2" name="Picture 1" descr="Marketing Optimization: How to ...">
              <a:extLst xmlns:a="http://schemas.openxmlformats.org/drawingml/2006/main">
                <a:ext uri="{FF2B5EF4-FFF2-40B4-BE49-F238E27FC236}">
                  <a16:creationId xmlns:a16="http://schemas.microsoft.com/office/drawing/2014/main" id="{BB656149-4DA0-6FA4-BA7F-BA60C32272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arketing Optimization: How to ...">
                      <a:extLst>
                        <a:ext uri="{FF2B5EF4-FFF2-40B4-BE49-F238E27FC236}">
                          <a16:creationId xmlns:a16="http://schemas.microsoft.com/office/drawing/2014/main" id="{BB656149-4DA0-6FA4-BA7F-BA60C32272CD}"/>
                        </a:ext>
                      </a:extLs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14116" cy="815917"/>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4D2442C7" w14:textId="77777777" w:rsidR="00150C25" w:rsidRPr="00150C25" w:rsidRDefault="00150C25" w:rsidP="00150C25">
      <w:r w:rsidRPr="00150C25">
        <w:rPr>
          <w:lang w:val="en-US"/>
        </w:rPr>
        <w:t xml:space="preserve">where: </w:t>
      </w:r>
    </w:p>
    <w:p w14:paraId="0322A47D" w14:textId="77777777" w:rsidR="00150C25" w:rsidRPr="00150C25" w:rsidRDefault="00150C25" w:rsidP="00150C25">
      <w:r w:rsidRPr="00150C25">
        <w:rPr>
          <w:lang w:val="en-US"/>
        </w:rPr>
        <w:t>n = Required sample size</w:t>
      </w:r>
    </w:p>
    <w:p w14:paraId="630CFADE" w14:textId="77777777" w:rsidR="00150C25" w:rsidRPr="00150C25" w:rsidRDefault="00150C25" w:rsidP="00150C25">
      <w:r w:rsidRPr="00150C25">
        <w:rPr>
          <w:lang w:val="en-US"/>
        </w:rPr>
        <w:t>Z = Standard normal deviation (Z-score) at a chosen confidence level (e.g., 1.96 for 95% confidence)</w:t>
      </w:r>
    </w:p>
    <w:p w14:paraId="0400FDFB" w14:textId="77777777" w:rsidR="00150C25" w:rsidRPr="00150C25" w:rsidRDefault="00150C25" w:rsidP="00150C25">
      <w:r w:rsidRPr="00150C25">
        <w:rPr>
          <w:lang w:val="en-US"/>
        </w:rPr>
        <w:t>P = Estimated prevalence or proportion of the characteristic in the population</w:t>
      </w:r>
    </w:p>
    <w:p w14:paraId="351C3CCF" w14:textId="77777777" w:rsidR="00150C25" w:rsidRPr="00150C25" w:rsidRDefault="00150C25" w:rsidP="00150C25">
      <w:r w:rsidRPr="00150C25">
        <w:rPr>
          <w:lang w:val="en-US"/>
        </w:rPr>
        <w:t>d = Margin of error or precision level (typically 5% or 0.05)</w:t>
      </w:r>
    </w:p>
    <w:p w14:paraId="7D603C23" w14:textId="143BFE8D" w:rsidR="00150C25" w:rsidRDefault="0088397C" w:rsidP="00150C25">
      <w:pPr>
        <w:rPr>
          <w:b/>
          <w:bCs/>
          <w:lang w:val="en-US"/>
        </w:rPr>
      </w:pPr>
      <w:r>
        <w:rPr>
          <w:b/>
          <w:bCs/>
          <w:lang w:val="en-US"/>
        </w:rPr>
        <w:lastRenderedPageBreak/>
        <w:t>Note: 256 patients/ Departments (General Surgery, Cardiology, Ortho)</w:t>
      </w:r>
    </w:p>
    <w:p w14:paraId="6655B153" w14:textId="77777777" w:rsidR="00150C25" w:rsidRDefault="00150C25" w:rsidP="00150C25">
      <w:pPr>
        <w:rPr>
          <w:b/>
          <w:bCs/>
          <w:lang w:val="en-US"/>
        </w:rPr>
      </w:pPr>
    </w:p>
    <w:p w14:paraId="175594A3" w14:textId="6FF00751" w:rsidR="00150C25" w:rsidRPr="00150C25" w:rsidRDefault="00150C25" w:rsidP="00150C25">
      <w:r w:rsidRPr="00150C25">
        <w:rPr>
          <w:b/>
          <w:bCs/>
          <w:lang w:val="en-US"/>
        </w:rPr>
        <w:t>Ethical Considerations:</w:t>
      </w:r>
    </w:p>
    <w:p w14:paraId="4933F6F9" w14:textId="764991E9" w:rsidR="00150C25" w:rsidRDefault="00150C25" w:rsidP="00150C25">
      <w:pPr>
        <w:rPr>
          <w:lang w:val="en-US"/>
        </w:rPr>
      </w:pPr>
      <w:r w:rsidRPr="00150C25">
        <w:rPr>
          <w:lang w:val="en-US"/>
        </w:rPr>
        <w:t>This study will adhere to the Declaration of Helsinki and GDPR regulations. Ethics approval has been obtained from Ripon Ethics Committee under reference number EC/NEW/IND/2019/227 dated 02.05.2025</w:t>
      </w:r>
      <w:r w:rsidR="008C0D6A">
        <w:rPr>
          <w:lang w:val="en-US"/>
        </w:rPr>
        <w:t>.</w:t>
      </w:r>
    </w:p>
    <w:p w14:paraId="76691847" w14:textId="2025C4BF" w:rsidR="00E52750" w:rsidRPr="00511EB6" w:rsidRDefault="008C0D6A" w:rsidP="00E52750">
      <w:r w:rsidRPr="008C0D6A">
        <w:rPr>
          <w:b/>
          <w:bCs/>
        </w:rPr>
        <w:t>Study Criteria:</w:t>
      </w:r>
    </w:p>
    <w:tbl>
      <w:tblPr>
        <w:tblW w:w="7422" w:type="dxa"/>
        <w:tblCellMar>
          <w:left w:w="0" w:type="dxa"/>
          <w:right w:w="0" w:type="dxa"/>
        </w:tblCellMar>
        <w:tblLook w:val="0420" w:firstRow="1" w:lastRow="0" w:firstColumn="0" w:lastColumn="0" w:noHBand="0" w:noVBand="1"/>
      </w:tblPr>
      <w:tblGrid>
        <w:gridCol w:w="3711"/>
        <w:gridCol w:w="3711"/>
      </w:tblGrid>
      <w:tr w:rsidR="00B2279D" w:rsidRPr="00B2279D" w14:paraId="739B2CAD" w14:textId="77777777" w:rsidTr="00B2279D">
        <w:trPr>
          <w:trHeight w:val="265"/>
        </w:trPr>
        <w:tc>
          <w:tcPr>
            <w:tcW w:w="371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267887F" w14:textId="77777777" w:rsidR="00B2279D" w:rsidRPr="00B2279D" w:rsidRDefault="00B2279D" w:rsidP="00B2279D">
            <w:r w:rsidRPr="00B2279D">
              <w:rPr>
                <w:b/>
                <w:bCs/>
                <w:lang w:val="en-US"/>
              </w:rPr>
              <w:t>Inclusion Criteria</w:t>
            </w:r>
          </w:p>
        </w:tc>
        <w:tc>
          <w:tcPr>
            <w:tcW w:w="371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8EC12D4" w14:textId="77777777" w:rsidR="00B2279D" w:rsidRPr="00B2279D" w:rsidRDefault="00B2279D" w:rsidP="00B2279D">
            <w:r w:rsidRPr="00B2279D">
              <w:rPr>
                <w:b/>
                <w:bCs/>
                <w:lang w:val="en-US"/>
              </w:rPr>
              <w:t>Exclusion Criteria</w:t>
            </w:r>
          </w:p>
        </w:tc>
      </w:tr>
      <w:tr w:rsidR="00B2279D" w:rsidRPr="00B2279D" w14:paraId="274616A7" w14:textId="77777777" w:rsidTr="00B2279D">
        <w:trPr>
          <w:trHeight w:val="227"/>
        </w:trPr>
        <w:tc>
          <w:tcPr>
            <w:tcW w:w="371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30DDBA4" w14:textId="77777777" w:rsidR="00B2279D" w:rsidRPr="00B2279D" w:rsidRDefault="00B2279D" w:rsidP="00B2279D">
            <w:r w:rsidRPr="00B2279D">
              <w:rPr>
                <w:lang w:val="en-US"/>
              </w:rPr>
              <w:t>Patients aged 30–80 years</w:t>
            </w:r>
          </w:p>
        </w:tc>
        <w:tc>
          <w:tcPr>
            <w:tcW w:w="371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5AFE08B" w14:textId="77777777" w:rsidR="00B2279D" w:rsidRPr="00B2279D" w:rsidRDefault="00B2279D" w:rsidP="00B2279D">
            <w:r w:rsidRPr="00B2279D">
              <w:rPr>
                <w:lang w:val="en-US"/>
              </w:rPr>
              <w:t>Known allergies to materials used in medical devices.</w:t>
            </w:r>
          </w:p>
        </w:tc>
      </w:tr>
      <w:tr w:rsidR="00B2279D" w:rsidRPr="00B2279D" w14:paraId="1CB779CA" w14:textId="77777777" w:rsidTr="00B2279D">
        <w:trPr>
          <w:trHeight w:val="382"/>
        </w:trPr>
        <w:tc>
          <w:tcPr>
            <w:tcW w:w="371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6DFDC8F" w14:textId="77777777" w:rsidR="00B2279D" w:rsidRPr="00B2279D" w:rsidRDefault="00B2279D" w:rsidP="00B2279D">
            <w:r w:rsidRPr="00B2279D">
              <w:rPr>
                <w:lang w:val="en-US"/>
              </w:rPr>
              <w:t>Both Genders</w:t>
            </w:r>
          </w:p>
        </w:tc>
        <w:tc>
          <w:tcPr>
            <w:tcW w:w="371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51D3644" w14:textId="77777777" w:rsidR="00B2279D" w:rsidRPr="00B2279D" w:rsidRDefault="00B2279D" w:rsidP="00B2279D">
            <w:r w:rsidRPr="00B2279D">
              <w:rPr>
                <w:lang w:val="en-US"/>
              </w:rPr>
              <w:t>Patients not using any medical device during the study period</w:t>
            </w:r>
          </w:p>
        </w:tc>
      </w:tr>
      <w:tr w:rsidR="00B2279D" w:rsidRPr="00B2279D" w14:paraId="45FD9FCA" w14:textId="77777777" w:rsidTr="00B2279D">
        <w:trPr>
          <w:trHeight w:val="386"/>
        </w:trPr>
        <w:tc>
          <w:tcPr>
            <w:tcW w:w="371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5C7FEDE" w14:textId="77777777" w:rsidR="00B2279D" w:rsidRPr="00B2279D" w:rsidRDefault="00B2279D" w:rsidP="00B2279D">
            <w:r w:rsidRPr="00B2279D">
              <w:rPr>
                <w:lang w:val="en-US"/>
              </w:rPr>
              <w:t>Patients using medical devices and attending inpatient or outpatient departments</w:t>
            </w:r>
          </w:p>
        </w:tc>
        <w:tc>
          <w:tcPr>
            <w:tcW w:w="371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489653D" w14:textId="77777777" w:rsidR="00B2279D" w:rsidRPr="00B2279D" w:rsidRDefault="00B2279D" w:rsidP="00B2279D">
            <w:r w:rsidRPr="00B2279D">
              <w:rPr>
                <w:lang w:val="en-US"/>
              </w:rPr>
              <w:t>Patients with incomplete clinical or device-related information that prevents proper assessment</w:t>
            </w:r>
          </w:p>
        </w:tc>
      </w:tr>
      <w:tr w:rsidR="00B2279D" w:rsidRPr="00B2279D" w14:paraId="04560D71" w14:textId="77777777" w:rsidTr="00B2279D">
        <w:trPr>
          <w:trHeight w:val="265"/>
        </w:trPr>
        <w:tc>
          <w:tcPr>
            <w:tcW w:w="371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DE7DEED" w14:textId="77777777" w:rsidR="00B2279D" w:rsidRPr="00B2279D" w:rsidRDefault="00B2279D" w:rsidP="00B2279D">
            <w:r w:rsidRPr="00B2279D">
              <w:rPr>
                <w:lang w:val="en-US"/>
              </w:rPr>
              <w:t>Single-visit patients are those who attend the hospital only once during the study period</w:t>
            </w:r>
          </w:p>
        </w:tc>
        <w:tc>
          <w:tcPr>
            <w:tcW w:w="371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35FFC12" w14:textId="77777777" w:rsidR="00B2279D" w:rsidRPr="00B2279D" w:rsidRDefault="00B2279D" w:rsidP="00B2279D">
            <w:r w:rsidRPr="00B2279D">
              <w:rPr>
                <w:lang w:val="en-US"/>
              </w:rPr>
              <w:t>Pregnant or breastfeeding women to avoid potential confounding factors</w:t>
            </w:r>
          </w:p>
        </w:tc>
      </w:tr>
      <w:tr w:rsidR="00B2279D" w:rsidRPr="00B2279D" w14:paraId="7154BFF7" w14:textId="77777777" w:rsidTr="00B2279D">
        <w:trPr>
          <w:trHeight w:val="265"/>
        </w:trPr>
        <w:tc>
          <w:tcPr>
            <w:tcW w:w="371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44E65CA" w14:textId="77777777" w:rsidR="00B2279D" w:rsidRPr="00B2279D" w:rsidRDefault="00B2279D" w:rsidP="00B2279D">
            <w:r w:rsidRPr="00B2279D">
              <w:rPr>
                <w:lang w:val="en-US"/>
              </w:rPr>
              <w:t>Patients willing to participate and providing informed consent</w:t>
            </w:r>
          </w:p>
        </w:tc>
        <w:tc>
          <w:tcPr>
            <w:tcW w:w="371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EA3E9FE" w14:textId="77777777" w:rsidR="00B2279D" w:rsidRPr="00B2279D" w:rsidRDefault="00B2279D" w:rsidP="00B2279D">
            <w:r w:rsidRPr="00B2279D">
              <w:rPr>
                <w:lang w:val="en-US"/>
              </w:rPr>
              <w:t>Individuals undergoing experimental or non-standard procedures</w:t>
            </w:r>
          </w:p>
        </w:tc>
      </w:tr>
      <w:tr w:rsidR="00B2279D" w:rsidRPr="00B2279D" w14:paraId="422F3D22" w14:textId="77777777" w:rsidTr="00B2279D">
        <w:trPr>
          <w:trHeight w:val="265"/>
        </w:trPr>
        <w:tc>
          <w:tcPr>
            <w:tcW w:w="371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B5548F6" w14:textId="77777777" w:rsidR="00B2279D" w:rsidRPr="00B2279D" w:rsidRDefault="00B2279D" w:rsidP="00B2279D"/>
        </w:tc>
        <w:tc>
          <w:tcPr>
            <w:tcW w:w="371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1DCE44C" w14:textId="77777777" w:rsidR="00B2279D" w:rsidRPr="00B2279D" w:rsidRDefault="00B2279D" w:rsidP="00B2279D">
            <w:r w:rsidRPr="00B2279D">
              <w:rPr>
                <w:lang w:val="en-US"/>
              </w:rPr>
              <w:t>Patients with medical records missing more than 30% of required data points.</w:t>
            </w:r>
          </w:p>
        </w:tc>
      </w:tr>
    </w:tbl>
    <w:p w14:paraId="0B8184DB" w14:textId="77777777" w:rsidR="00283456" w:rsidRDefault="00283456"/>
    <w:p w14:paraId="2D2F8C33" w14:textId="77777777" w:rsidR="0058317C" w:rsidRDefault="0058317C"/>
    <w:sectPr w:rsidR="005831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3D5C4A"/>
    <w:multiLevelType w:val="hybridMultilevel"/>
    <w:tmpl w:val="C83AE1CE"/>
    <w:lvl w:ilvl="0" w:tplc="60982DF8">
      <w:start w:val="1"/>
      <w:numFmt w:val="bullet"/>
      <w:lvlText w:val="•"/>
      <w:lvlJc w:val="left"/>
      <w:pPr>
        <w:tabs>
          <w:tab w:val="num" w:pos="720"/>
        </w:tabs>
        <w:ind w:left="720" w:hanging="360"/>
      </w:pPr>
      <w:rPr>
        <w:rFonts w:ascii="Arial" w:hAnsi="Arial" w:hint="default"/>
      </w:rPr>
    </w:lvl>
    <w:lvl w:ilvl="1" w:tplc="CC5806F8" w:tentative="1">
      <w:start w:val="1"/>
      <w:numFmt w:val="bullet"/>
      <w:lvlText w:val="•"/>
      <w:lvlJc w:val="left"/>
      <w:pPr>
        <w:tabs>
          <w:tab w:val="num" w:pos="1440"/>
        </w:tabs>
        <w:ind w:left="1440" w:hanging="360"/>
      </w:pPr>
      <w:rPr>
        <w:rFonts w:ascii="Arial" w:hAnsi="Arial" w:hint="default"/>
      </w:rPr>
    </w:lvl>
    <w:lvl w:ilvl="2" w:tplc="CE260BFE" w:tentative="1">
      <w:start w:val="1"/>
      <w:numFmt w:val="bullet"/>
      <w:lvlText w:val="•"/>
      <w:lvlJc w:val="left"/>
      <w:pPr>
        <w:tabs>
          <w:tab w:val="num" w:pos="2160"/>
        </w:tabs>
        <w:ind w:left="2160" w:hanging="360"/>
      </w:pPr>
      <w:rPr>
        <w:rFonts w:ascii="Arial" w:hAnsi="Arial" w:hint="default"/>
      </w:rPr>
    </w:lvl>
    <w:lvl w:ilvl="3" w:tplc="574C525C" w:tentative="1">
      <w:start w:val="1"/>
      <w:numFmt w:val="bullet"/>
      <w:lvlText w:val="•"/>
      <w:lvlJc w:val="left"/>
      <w:pPr>
        <w:tabs>
          <w:tab w:val="num" w:pos="2880"/>
        </w:tabs>
        <w:ind w:left="2880" w:hanging="360"/>
      </w:pPr>
      <w:rPr>
        <w:rFonts w:ascii="Arial" w:hAnsi="Arial" w:hint="default"/>
      </w:rPr>
    </w:lvl>
    <w:lvl w:ilvl="4" w:tplc="FA6EFF98" w:tentative="1">
      <w:start w:val="1"/>
      <w:numFmt w:val="bullet"/>
      <w:lvlText w:val="•"/>
      <w:lvlJc w:val="left"/>
      <w:pPr>
        <w:tabs>
          <w:tab w:val="num" w:pos="3600"/>
        </w:tabs>
        <w:ind w:left="3600" w:hanging="360"/>
      </w:pPr>
      <w:rPr>
        <w:rFonts w:ascii="Arial" w:hAnsi="Arial" w:hint="default"/>
      </w:rPr>
    </w:lvl>
    <w:lvl w:ilvl="5" w:tplc="3814C7C4" w:tentative="1">
      <w:start w:val="1"/>
      <w:numFmt w:val="bullet"/>
      <w:lvlText w:val="•"/>
      <w:lvlJc w:val="left"/>
      <w:pPr>
        <w:tabs>
          <w:tab w:val="num" w:pos="4320"/>
        </w:tabs>
        <w:ind w:left="4320" w:hanging="360"/>
      </w:pPr>
      <w:rPr>
        <w:rFonts w:ascii="Arial" w:hAnsi="Arial" w:hint="default"/>
      </w:rPr>
    </w:lvl>
    <w:lvl w:ilvl="6" w:tplc="47223EA2" w:tentative="1">
      <w:start w:val="1"/>
      <w:numFmt w:val="bullet"/>
      <w:lvlText w:val="•"/>
      <w:lvlJc w:val="left"/>
      <w:pPr>
        <w:tabs>
          <w:tab w:val="num" w:pos="5040"/>
        </w:tabs>
        <w:ind w:left="5040" w:hanging="360"/>
      </w:pPr>
      <w:rPr>
        <w:rFonts w:ascii="Arial" w:hAnsi="Arial" w:hint="default"/>
      </w:rPr>
    </w:lvl>
    <w:lvl w:ilvl="7" w:tplc="443E7850" w:tentative="1">
      <w:start w:val="1"/>
      <w:numFmt w:val="bullet"/>
      <w:lvlText w:val="•"/>
      <w:lvlJc w:val="left"/>
      <w:pPr>
        <w:tabs>
          <w:tab w:val="num" w:pos="5760"/>
        </w:tabs>
        <w:ind w:left="5760" w:hanging="360"/>
      </w:pPr>
      <w:rPr>
        <w:rFonts w:ascii="Arial" w:hAnsi="Arial" w:hint="default"/>
      </w:rPr>
    </w:lvl>
    <w:lvl w:ilvl="8" w:tplc="309AF7FE" w:tentative="1">
      <w:start w:val="1"/>
      <w:numFmt w:val="bullet"/>
      <w:lvlText w:val="•"/>
      <w:lvlJc w:val="left"/>
      <w:pPr>
        <w:tabs>
          <w:tab w:val="num" w:pos="6480"/>
        </w:tabs>
        <w:ind w:left="6480" w:hanging="360"/>
      </w:pPr>
      <w:rPr>
        <w:rFonts w:ascii="Arial" w:hAnsi="Arial" w:hint="default"/>
      </w:rPr>
    </w:lvl>
  </w:abstractNum>
  <w:num w:numId="1" w16cid:durableId="66867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456"/>
    <w:rsid w:val="00150C25"/>
    <w:rsid w:val="00190A24"/>
    <w:rsid w:val="00283456"/>
    <w:rsid w:val="00511EB6"/>
    <w:rsid w:val="0058317C"/>
    <w:rsid w:val="006966A2"/>
    <w:rsid w:val="0088397C"/>
    <w:rsid w:val="008C0D6A"/>
    <w:rsid w:val="00A6769B"/>
    <w:rsid w:val="00B2279D"/>
    <w:rsid w:val="00D25EDB"/>
    <w:rsid w:val="00D2713C"/>
    <w:rsid w:val="00E527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779F5"/>
  <w15:chartTrackingRefBased/>
  <w15:docId w15:val="{F1886050-FE0B-4E99-9A8A-0029E9BA6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34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34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34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34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34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34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34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34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34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4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34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34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34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34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34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34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34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3456"/>
    <w:rPr>
      <w:rFonts w:eastAsiaTheme="majorEastAsia" w:cstheme="majorBidi"/>
      <w:color w:val="272727" w:themeColor="text1" w:themeTint="D8"/>
    </w:rPr>
  </w:style>
  <w:style w:type="paragraph" w:styleId="Title">
    <w:name w:val="Title"/>
    <w:basedOn w:val="Normal"/>
    <w:next w:val="Normal"/>
    <w:link w:val="TitleChar"/>
    <w:uiPriority w:val="10"/>
    <w:qFormat/>
    <w:rsid w:val="002834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34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34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34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3456"/>
    <w:pPr>
      <w:spacing w:before="160"/>
      <w:jc w:val="center"/>
    </w:pPr>
    <w:rPr>
      <w:i/>
      <w:iCs/>
      <w:color w:val="404040" w:themeColor="text1" w:themeTint="BF"/>
    </w:rPr>
  </w:style>
  <w:style w:type="character" w:customStyle="1" w:styleId="QuoteChar">
    <w:name w:val="Quote Char"/>
    <w:basedOn w:val="DefaultParagraphFont"/>
    <w:link w:val="Quote"/>
    <w:uiPriority w:val="29"/>
    <w:rsid w:val="00283456"/>
    <w:rPr>
      <w:i/>
      <w:iCs/>
      <w:color w:val="404040" w:themeColor="text1" w:themeTint="BF"/>
    </w:rPr>
  </w:style>
  <w:style w:type="paragraph" w:styleId="ListParagraph">
    <w:name w:val="List Paragraph"/>
    <w:basedOn w:val="Normal"/>
    <w:uiPriority w:val="34"/>
    <w:qFormat/>
    <w:rsid w:val="00283456"/>
    <w:pPr>
      <w:ind w:left="720"/>
      <w:contextualSpacing/>
    </w:pPr>
  </w:style>
  <w:style w:type="character" w:styleId="IntenseEmphasis">
    <w:name w:val="Intense Emphasis"/>
    <w:basedOn w:val="DefaultParagraphFont"/>
    <w:uiPriority w:val="21"/>
    <w:qFormat/>
    <w:rsid w:val="00283456"/>
    <w:rPr>
      <w:i/>
      <w:iCs/>
      <w:color w:val="0F4761" w:themeColor="accent1" w:themeShade="BF"/>
    </w:rPr>
  </w:style>
  <w:style w:type="paragraph" w:styleId="IntenseQuote">
    <w:name w:val="Intense Quote"/>
    <w:basedOn w:val="Normal"/>
    <w:next w:val="Normal"/>
    <w:link w:val="IntenseQuoteChar"/>
    <w:uiPriority w:val="30"/>
    <w:qFormat/>
    <w:rsid w:val="002834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3456"/>
    <w:rPr>
      <w:i/>
      <w:iCs/>
      <w:color w:val="0F4761" w:themeColor="accent1" w:themeShade="BF"/>
    </w:rPr>
  </w:style>
  <w:style w:type="character" w:styleId="IntenseReference">
    <w:name w:val="Intense Reference"/>
    <w:basedOn w:val="DefaultParagraphFont"/>
    <w:uiPriority w:val="32"/>
    <w:qFormat/>
    <w:rsid w:val="002834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392</Words>
  <Characters>2241</Characters>
  <Application>Microsoft Office Word</Application>
  <DocSecurity>0</DocSecurity>
  <Lines>18</Lines>
  <Paragraphs>5</Paragraphs>
  <ScaleCrop>false</ScaleCrop>
  <Company/>
  <LinksUpToDate>false</LinksUpToDate>
  <CharactersWithSpaces>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NIVETHA B</dc:creator>
  <cp:keywords/>
  <dc:description/>
  <cp:lastModifiedBy>NIVETHA B</cp:lastModifiedBy>
  <cp:revision>12</cp:revision>
  <dcterms:created xsi:type="dcterms:W3CDTF">2026-06-08T13:43:00Z</dcterms:created>
  <dcterms:modified xsi:type="dcterms:W3CDTF">2026-06-08T13:52:00Z</dcterms:modified>
</cp:coreProperties>
</file>