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3F12" w14:textId="77777777" w:rsidR="00B60EFE" w:rsidRPr="00CE6AE5" w:rsidRDefault="00B60EFE" w:rsidP="00EF0EEA">
      <w:pPr>
        <w:spacing w:line="360" w:lineRule="auto"/>
        <w:jc w:val="center"/>
        <w:rPr>
          <w:rFonts w:ascii="Times New Roman" w:hAnsi="Times New Roman" w:cs="Times New Roman"/>
          <w:b/>
          <w:bCs/>
          <w:sz w:val="32"/>
          <w:szCs w:val="32"/>
        </w:rPr>
      </w:pPr>
      <w:r w:rsidRPr="00CE6AE5">
        <w:rPr>
          <w:rFonts w:ascii="Times New Roman" w:hAnsi="Times New Roman" w:cs="Times New Roman"/>
          <w:b/>
          <w:bCs/>
          <w:sz w:val="32"/>
          <w:szCs w:val="32"/>
        </w:rPr>
        <w:t>CHAPTER 3</w:t>
      </w:r>
    </w:p>
    <w:p w14:paraId="732F2A27" w14:textId="3ED71BFD" w:rsidR="000B1DAD" w:rsidRPr="00CE6AE5" w:rsidRDefault="00B60EFE" w:rsidP="00EF0EEA">
      <w:pPr>
        <w:spacing w:line="360" w:lineRule="auto"/>
        <w:jc w:val="center"/>
        <w:rPr>
          <w:rFonts w:ascii="Times New Roman" w:hAnsi="Times New Roman" w:cs="Times New Roman"/>
          <w:b/>
          <w:bCs/>
          <w:sz w:val="32"/>
          <w:szCs w:val="32"/>
        </w:rPr>
      </w:pPr>
      <w:r w:rsidRPr="00CE6AE5">
        <w:rPr>
          <w:rFonts w:ascii="Times New Roman" w:hAnsi="Times New Roman" w:cs="Times New Roman"/>
          <w:b/>
          <w:bCs/>
          <w:sz w:val="32"/>
          <w:szCs w:val="32"/>
        </w:rPr>
        <w:t>RESEARCH METHODOLOGY</w:t>
      </w:r>
    </w:p>
    <w:p w14:paraId="331AF5DD"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3.1 Introduction</w:t>
      </w:r>
    </w:p>
    <w:p w14:paraId="2C56EF3C"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Research methodology presents the systematic framework for planning, conducting, analysing and interpreting a research study. The present study, entitled “Impact of Organised Retailing on Small Retailers in Itanagar Capital Region of Arunachal Pradesh,” examines the changing retail environment and implications of organised retailing.</w:t>
      </w:r>
    </w:p>
    <w:p w14:paraId="1E24A35F"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study considers possible effects of organised retailing on sales, profitability, customer retention, product assortment, pricing, employment and business sustainability. It also examines consumer shopping behaviour and preferences towards organised and small retailers based on factors such as product variety, price, convenience, discounts, customer service, bargaining and credit facilities.</w:t>
      </w:r>
    </w:p>
    <w:p w14:paraId="7E9C2D6E"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methodology is aligned with the research problem, research questions, objectives and hypotheses. Primary data are collected from two respondent groups: small retailers and consumers. Small retailers provide information on business characteristics, perceived impacts of organised retailing, competitive strategies, technology adoption and future prospects, while consumers provide information on shopping behaviour, store preferences and perceptions of different retail formats.</w:t>
      </w:r>
    </w:p>
    <w:p w14:paraId="4887BE76"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study follows a quantitative and empirical approach, using structured questionnaires and numerical measurement of relevant variables. The collected data are systematically processed and analysed using appropriate statistical techniques to examine relationships, differences and hypotheses relating to organised retailing, consumer preferences and small-retailer competitiveness.</w:t>
      </w:r>
    </w:p>
    <w:p w14:paraId="67D997FA"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3.2 Research Philosophy</w:t>
      </w:r>
    </w:p>
    <w:p w14:paraId="21A847FC"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Research philosophy refers to the assumptions that guide the process of generating knowledge and conducting research. It influences how the researcher understands reality, collects evidence, analyses data and interprets findings. The present study adopts the positivist research philosophy, as it focuses on observable and measurable aspects of organised retailing, consumer behaviour and small-retailer performance.</w:t>
      </w:r>
    </w:p>
    <w:p w14:paraId="4FDE532E"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lastRenderedPageBreak/>
        <w:t>3.2.1 Positivist Research Philosophy</w:t>
      </w:r>
    </w:p>
    <w:p w14:paraId="1F29F43D"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Positivism emphasises the systematic observation, measurement and empirical examination of phenomena. It promotes objectivity and the use of structured methods to identify relationships among variables. In the present study, structured questionnaires and rating scales are used to collect standardised information from small retailers and consumers.</w:t>
      </w:r>
    </w:p>
    <w:p w14:paraId="278B8A8C"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positivist approach facilitates the measurement of variables such as consumer preferences, shopping frequency, perceived impact of organised retailing, competitive strategies, technology adoption and business performance. The resulting numerical data can be analysed using descriptive and inferential statistical techniques, thereby providing an objective basis for examining the research hypotheses.</w:t>
      </w:r>
    </w:p>
    <w:p w14:paraId="2F4EF427"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3.2.2 Rationale for Adopting Positivism</w:t>
      </w:r>
    </w:p>
    <w:p w14:paraId="02F9471A"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Positivism is appropriate for the present study because the major research variables can be systematically measured and analysed. Consumer perceptions regarding product variety, pricing, convenience, discounts and customer service can be quantified through structured questions. Similarly, small retailers can report measurable perceptions regarding sales, profitability, customer demand, competition and business strategies.</w:t>
      </w:r>
    </w:p>
    <w:p w14:paraId="30295623"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study also involves predetermined hypotheses concerning business performance, consumer preferences, social capital and credit, strategic adaptation, product assortment and pricing, and employment and livelihood. Positivism therefore provides an appropriate foundation for statistically testing these relationships using empirical data.</w:t>
      </w:r>
    </w:p>
    <w:p w14:paraId="1B91384B"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3.3 Research Approach</w:t>
      </w:r>
    </w:p>
    <w:p w14:paraId="2D296233"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present study adopts a deductive and quantitative research approach. The deductive approach connects existing theoretical and empirical knowledge with the formulation and testing of specific hypotheses, while the quantitative approach enables the systematic collection and analysis of numerical data.</w:t>
      </w:r>
    </w:p>
    <w:p w14:paraId="27A906E9"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3.3.1 Deductive Approach</w:t>
      </w:r>
    </w:p>
    <w:p w14:paraId="1A7ADDF5"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study follows a deductive approach, beginning with the research problem and existing literature on organised retailing, consumer behaviour, retail competition and small-business adaptation. Based on this understanding, relevant variables, objectives and hypotheses are identified.</w:t>
      </w:r>
    </w:p>
    <w:p w14:paraId="76A1B427"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lastRenderedPageBreak/>
        <w:t>Primary data are subsequently collected from small retailers and consumers through structured questionnaires. Statistical analysis is then used to determine whether the relationships and differences proposed in the hypotheses are supported by the empirical evidence.</w:t>
      </w:r>
    </w:p>
    <w:p w14:paraId="3489263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overall process may be represented as:</w:t>
      </w:r>
    </w:p>
    <w:p w14:paraId="0C8B008B"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Existing Literature → Research Problem → Research Questions → Objectives → Variables → Hypotheses → Primary Data Collection → Statistical Analysis → Hypothesis Testing → Findings and Conclusions</w:t>
      </w:r>
    </w:p>
    <w:p w14:paraId="4BA086B3"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3.3.2 Quantitative Research Approach</w:t>
      </w:r>
    </w:p>
    <w:p w14:paraId="685C4F53"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study uses a quantitative research approach because it involves the collection and analysis of numerical data. Two structured questionnaires are used: one for small retailers and another for consumers in the Itanagar Capital Region.</w:t>
      </w:r>
    </w:p>
    <w:p w14:paraId="385C1C3D"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retailer questionnaire covers business characteristics, impact of organised retailing, competitive strategies, customer service, technology adoption, challenges and future strategies. The consumer questionnaire covers demographic characteristics, shopping frequency, store preferences and perceptions of organised and small retailers.</w:t>
      </w:r>
    </w:p>
    <w:p w14:paraId="40B41804"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Five-point rating scales are used to measure perceptions, strategy adoption and other relevant constructs. The quantitative approach enables the researcher to summarise responses and statistically examine relationships, differences and the significance of findings.</w:t>
      </w:r>
    </w:p>
    <w:p w14:paraId="1A48411E"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3.4 Research Design</w:t>
      </w:r>
    </w:p>
    <w:p w14:paraId="60F6DCEF"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Research design provides the overall framework for collecting, analysing and interpreting data in accordance with the research objectives. The present study adopts an empirical, quantitative, descriptive, analytical and cross-sectional research design.</w:t>
      </w:r>
    </w:p>
    <w:p w14:paraId="7986B023"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descriptive component presents the characteristics of small retailers, consumer behaviour and the retail environment. The analytical component examines the impact of organised retailing, relationships among key variables and the competitive strategies adopted by small retailers. The cross-sectional component reflects the collection of data from selected retailers and consumers during a defined period.</w:t>
      </w:r>
    </w:p>
    <w:p w14:paraId="3F201D76"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3.4.1 Nature of the Research</w:t>
      </w:r>
    </w:p>
    <w:p w14:paraId="4E16FD53"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lastRenderedPageBreak/>
        <w:t>The study is empirical, quantitative and field-based. It is empirical because it relies primarily on primary information obtained directly from small retailers and consumers. The quantitative nature enables the measurement of perceptions, behaviour, business performance and competitive strategies in numerical form.</w:t>
      </w:r>
    </w:p>
    <w:p w14:paraId="6301419A"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field-based nature of the study provides direct information regarding the experiences of small retailers and consumers in the Itanagar Capital Region. The study specifically examines how organised retailing may affect small retailers and how these retailers respond through pricing, product differentiation, customer relationships, credit facilities and technology adoption.</w:t>
      </w:r>
    </w:p>
    <w:p w14:paraId="423E92BA"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3.4.2 Descriptive Research Design</w:t>
      </w:r>
    </w:p>
    <w:p w14:paraId="758FC4FB"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descriptive component is used to present the characteristics of small retailers, consumers and the retail market. For small retailers, the study describes business type, years of operation, number of employees and other business characteristics.</w:t>
      </w:r>
    </w:p>
    <w:p w14:paraId="2784C21A"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For consumers, the study describes shopping frequency, store preferences, proximity to organised retailers and factors influencing store selection, including product variety, price, convenience, discounts and customer service. This provides a clear understanding of the existing retail environment before undertaking analytical testing.</w:t>
      </w:r>
    </w:p>
    <w:p w14:paraId="2B172F18"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3.4.3 Analytical Research Design</w:t>
      </w:r>
    </w:p>
    <w:p w14:paraId="337688C8"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analytical component examines relationships and possible effects among the study variables. It focuses on the impact of organised retailing on sales, profitability, customer demand, stock and business sustainability of small retailers.</w:t>
      </w:r>
    </w:p>
    <w:p w14:paraId="656A2B0F"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It also examines consumer preferences and the relationship between competitive pressures and retailer strategies, including pricing, promotions, product differentiation, customer engagement, credit facilities and technology adoption. Statistical analysis is used to test the hypotheses concerning business performance, consumer preferences, strategic adaptation, product and pricing strategies, and employment and livelihood.</w:t>
      </w:r>
    </w:p>
    <w:p w14:paraId="2D7B4E54"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3.4.4 Cross-Sectional Research Design</w:t>
      </w:r>
    </w:p>
    <w:p w14:paraId="6E78A54F"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 study will be carried out using a cross-sectional research design because data will be collected from small retailers and consumers at a particular point in time. Therefore, the study </w:t>
      </w:r>
      <w:r w:rsidRPr="00E05470">
        <w:rPr>
          <w:rFonts w:ascii="Times New Roman" w:hAnsi="Times New Roman" w:cs="Times New Roman"/>
        </w:rPr>
        <w:lastRenderedPageBreak/>
        <w:t>will portray the current state of affairs in the targeted retail sector, as well as the view of the targeted consumers.</w:t>
      </w:r>
    </w:p>
    <w:p w14:paraId="256ABBC4"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It is evident that this study will not follow up the same group of respondents over a period of time.</w:t>
      </w:r>
    </w:p>
    <w:p w14:paraId="6CD04427" w14:textId="3D103DD9"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Instead, a cross-sectional study design is appropriate for this research because it will enable the achievement of the research objective, which is focused on understanding the current retail sector and consumer </w:t>
      </w:r>
      <w:proofErr w:type="spellStart"/>
      <w:r w:rsidRPr="00E05470">
        <w:rPr>
          <w:rFonts w:ascii="Times New Roman" w:hAnsi="Times New Roman" w:cs="Times New Roman"/>
        </w:rPr>
        <w:t>behavior</w:t>
      </w:r>
      <w:proofErr w:type="spellEnd"/>
      <w:r w:rsidRPr="00E05470">
        <w:rPr>
          <w:rFonts w:ascii="Times New Roman" w:hAnsi="Times New Roman" w:cs="Times New Roman"/>
        </w:rPr>
        <w:t xml:space="preserve"> in relation to the research problem.</w:t>
      </w:r>
    </w:p>
    <w:p w14:paraId="0CD379CB"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 Profile of the Study Area: Itanagar Capital Region</w:t>
      </w:r>
    </w:p>
    <w:p w14:paraId="27F40A55"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 current study will be conducted in the Itanagar Capital Region (ICR) in Arunachal Pradesh. This region is considered an urban </w:t>
      </w:r>
      <w:proofErr w:type="spellStart"/>
      <w:r w:rsidRPr="00E05470">
        <w:rPr>
          <w:rFonts w:ascii="Times New Roman" w:hAnsi="Times New Roman" w:cs="Times New Roman"/>
        </w:rPr>
        <w:t>center</w:t>
      </w:r>
      <w:proofErr w:type="spellEnd"/>
      <w:r w:rsidRPr="00E05470">
        <w:rPr>
          <w:rFonts w:ascii="Times New Roman" w:hAnsi="Times New Roman" w:cs="Times New Roman"/>
        </w:rPr>
        <w:t xml:space="preserve">, and it is the administrative, commercial and service </w:t>
      </w:r>
      <w:proofErr w:type="spellStart"/>
      <w:r w:rsidRPr="00E05470">
        <w:rPr>
          <w:rFonts w:ascii="Times New Roman" w:hAnsi="Times New Roman" w:cs="Times New Roman"/>
        </w:rPr>
        <w:t>center</w:t>
      </w:r>
      <w:proofErr w:type="spellEnd"/>
      <w:r w:rsidRPr="00E05470">
        <w:rPr>
          <w:rFonts w:ascii="Times New Roman" w:hAnsi="Times New Roman" w:cs="Times New Roman"/>
        </w:rPr>
        <w:t xml:space="preserve"> of the state.</w:t>
      </w:r>
    </w:p>
    <w:p w14:paraId="583D3173"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Therefore, the area is highly urbanized and has undergone rapid infrastructural development and commercial growth. This region is a suitable study area for investigating the relationships between organized and small retailing, as it hosts a wide variety of retail outlets, including small traditional retailers, supermarkets, shopping malls, and organized retail stores.</w:t>
      </w:r>
    </w:p>
    <w:p w14:paraId="3E9EE910"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3.5.1 Location of Itanagar Capital Region</w:t>
      </w:r>
    </w:p>
    <w:p w14:paraId="715FCDF2"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 ICR is located in the state of Arunachal Pradesh in northeast India. Specifically, the study area covers the urban </w:t>
      </w:r>
      <w:proofErr w:type="spellStart"/>
      <w:r w:rsidRPr="00E05470">
        <w:rPr>
          <w:rFonts w:ascii="Times New Roman" w:hAnsi="Times New Roman" w:cs="Times New Roman"/>
        </w:rPr>
        <w:t>centers</w:t>
      </w:r>
      <w:proofErr w:type="spellEnd"/>
      <w:r w:rsidRPr="00E05470">
        <w:rPr>
          <w:rFonts w:ascii="Times New Roman" w:hAnsi="Times New Roman" w:cs="Times New Roman"/>
        </w:rPr>
        <w:t xml:space="preserve"> of Itanagar, </w:t>
      </w:r>
      <w:proofErr w:type="spellStart"/>
      <w:r w:rsidRPr="00E05470">
        <w:rPr>
          <w:rFonts w:ascii="Times New Roman" w:hAnsi="Times New Roman" w:cs="Times New Roman"/>
        </w:rPr>
        <w:t>Naharlagun</w:t>
      </w:r>
      <w:proofErr w:type="spellEnd"/>
      <w:r w:rsidRPr="00E05470">
        <w:rPr>
          <w:rFonts w:ascii="Times New Roman" w:hAnsi="Times New Roman" w:cs="Times New Roman"/>
        </w:rPr>
        <w:t xml:space="preserve">, </w:t>
      </w:r>
      <w:proofErr w:type="spellStart"/>
      <w:r w:rsidRPr="00E05470">
        <w:rPr>
          <w:rFonts w:ascii="Times New Roman" w:hAnsi="Times New Roman" w:cs="Times New Roman"/>
        </w:rPr>
        <w:t>Nirjuli</w:t>
      </w:r>
      <w:proofErr w:type="spellEnd"/>
      <w:r w:rsidRPr="00E05470">
        <w:rPr>
          <w:rFonts w:ascii="Times New Roman" w:hAnsi="Times New Roman" w:cs="Times New Roman"/>
        </w:rPr>
        <w:t xml:space="preserve">, </w:t>
      </w:r>
      <w:proofErr w:type="spellStart"/>
      <w:r w:rsidRPr="00E05470">
        <w:rPr>
          <w:rFonts w:ascii="Times New Roman" w:hAnsi="Times New Roman" w:cs="Times New Roman"/>
        </w:rPr>
        <w:t>Banderdewa</w:t>
      </w:r>
      <w:proofErr w:type="spellEnd"/>
      <w:r w:rsidRPr="00E05470">
        <w:rPr>
          <w:rFonts w:ascii="Times New Roman" w:hAnsi="Times New Roman" w:cs="Times New Roman"/>
        </w:rPr>
        <w:t>, and other nearby areas.</w:t>
      </w:r>
    </w:p>
    <w:p w14:paraId="036CB388"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region is characterized by its mountainous topography and wide geographical spread. Its transportation infrastructure is well-developed, which facilitates commercial activities.</w:t>
      </w:r>
    </w:p>
    <w:p w14:paraId="7C300A32"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3.5.2 Locality and Climate</w:t>
      </w:r>
    </w:p>
    <w:p w14:paraId="5A041D4B"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ICR is located in the foothill Himalayan mountain range and is characterized by a humid subtropical climate.</w:t>
      </w:r>
    </w:p>
    <w:p w14:paraId="6AE4AD45"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region has a number of river valleys, forested areas and rolling hills. Due to the local climatic conditions, there is a high level of precipitation in the region, especially during the rainy season.</w:t>
      </w:r>
    </w:p>
    <w:p w14:paraId="61D826E7"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lastRenderedPageBreak/>
        <w:t>The local topography can make transportation and other commercial activities more difficult. However, the development of the road infrastructure has facilitated commercial interactions and integration with national markets.</w:t>
      </w:r>
    </w:p>
    <w:p w14:paraId="3C59490E"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3.5.3 Demographics</w:t>
      </w:r>
    </w:p>
    <w:p w14:paraId="48546F75"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ICR is a multi-ethnic region, with a significant proportion of the population coming from other states in India. The population size of the region has increased due to rapid urbanization and the presence of a large number of government agencies in the capital region.</w:t>
      </w:r>
    </w:p>
    <w:p w14:paraId="6A44BF62"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 local population is highly diverse in terms of occupation, with many people working in government, education, and business. As a result, the population has diverse income levels, which in turn affects their consumption and retail </w:t>
      </w:r>
      <w:proofErr w:type="spellStart"/>
      <w:r w:rsidRPr="00E05470">
        <w:rPr>
          <w:rFonts w:ascii="Times New Roman" w:hAnsi="Times New Roman" w:cs="Times New Roman"/>
        </w:rPr>
        <w:t>behavior</w:t>
      </w:r>
      <w:proofErr w:type="spellEnd"/>
      <w:r w:rsidRPr="00E05470">
        <w:rPr>
          <w:rFonts w:ascii="Times New Roman" w:hAnsi="Times New Roman" w:cs="Times New Roman"/>
        </w:rPr>
        <w:t>.</w:t>
      </w:r>
    </w:p>
    <w:p w14:paraId="6A6EF14F"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3.5.4 Economy</w:t>
      </w:r>
    </w:p>
    <w:p w14:paraId="3D2C545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local economy is largely agriculture-based, with horticultural farms being particularly common in the region.</w:t>
      </w:r>
    </w:p>
    <w:p w14:paraId="68AB817D"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However, the ICR has a largely service-based economy due to the concentration of government agencies and commercial organizations.</w:t>
      </w:r>
    </w:p>
    <w:p w14:paraId="16937EFD"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As the capital of Arunachal Pradesh, this region attracts diverse populations and promotes business development, which results in the expansion of the local market. In addition, rapid urbanization, rising income levels, and the availability of more products have influenced local consumer </w:t>
      </w:r>
      <w:proofErr w:type="spellStart"/>
      <w:r w:rsidRPr="00E05470">
        <w:rPr>
          <w:rFonts w:ascii="Times New Roman" w:hAnsi="Times New Roman" w:cs="Times New Roman"/>
        </w:rPr>
        <w:t>behavior</w:t>
      </w:r>
      <w:proofErr w:type="spellEnd"/>
      <w:r w:rsidRPr="00E05470">
        <w:rPr>
          <w:rFonts w:ascii="Times New Roman" w:hAnsi="Times New Roman" w:cs="Times New Roman"/>
        </w:rPr>
        <w:t>.</w:t>
      </w:r>
    </w:p>
    <w:p w14:paraId="337B7CF0"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3.5.5 Retail Structure and Market</w:t>
      </w:r>
    </w:p>
    <w:p w14:paraId="2374D28A"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retail sector in ICR has traditionally been dominated by small-scale local businesses. The current study will focus on grocery, stationery, apparels, kitchen-essential, electronics, kids/gift, and general merchant/cosmetics retail stores.</w:t>
      </w:r>
    </w:p>
    <w:p w14:paraId="53BDB952"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Most of these retail businesses are family-run and operated by local small business owners. These businesses offer a wide range of products, services, bargaining opportunities, personalized services, convenient locations, and credit facilities, thus building customer loyalty and a competitive advantage.</w:t>
      </w:r>
    </w:p>
    <w:p w14:paraId="307B59AE"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3.5.6 Organized Retailing</w:t>
      </w:r>
    </w:p>
    <w:p w14:paraId="072C285A"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lastRenderedPageBreak/>
        <w:t>The retail sector in ICR is currently undergoing dramatic changes, as new organized retail chains are emerging and competing with traditional small retail stores. Organized retailing in ICR includes supermarkets, shopping malls, and organized retail stores.</w:t>
      </w:r>
    </w:p>
    <w:p w14:paraId="4414CAC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Competition between traditional small retailers and organized retail chains has influenced the market structure, product assortment, pricing, and customer </w:t>
      </w:r>
      <w:proofErr w:type="spellStart"/>
      <w:r w:rsidRPr="00E05470">
        <w:rPr>
          <w:rFonts w:ascii="Times New Roman" w:hAnsi="Times New Roman" w:cs="Times New Roman"/>
        </w:rPr>
        <w:t>behavior</w:t>
      </w:r>
      <w:proofErr w:type="spellEnd"/>
      <w:r w:rsidRPr="00E05470">
        <w:rPr>
          <w:rFonts w:ascii="Times New Roman" w:hAnsi="Times New Roman" w:cs="Times New Roman"/>
        </w:rPr>
        <w:t>.</w:t>
      </w:r>
    </w:p>
    <w:p w14:paraId="6CB32195"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Organized retailing offers a wide range of products at competitive prices, as well as various discounts, incentives, and modern amenities.</w:t>
      </w:r>
    </w:p>
    <w:p w14:paraId="2F1C384E"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3.5.7 Urbanization and Infrastructure Development</w:t>
      </w:r>
    </w:p>
    <w:p w14:paraId="68A8E6D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Infrastructure development, including the improvement of road networks and the rise of communication technologies, has played a critical role in the commercial development of ICR. Improved infrastructural networks have facilitated transportation of goods and people, as well as market integration.</w:t>
      </w:r>
    </w:p>
    <w:p w14:paraId="32ABE20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popularity of electronic devices and online technologies has also increased among local populations, enabling them to conduct business remotely. Therefore, the overall infrastructure development has created new business opportunities, as well as intensified market competition.</w:t>
      </w:r>
    </w:p>
    <w:p w14:paraId="070A006E"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 xml:space="preserve">3.5.8 Changing Consumer </w:t>
      </w:r>
      <w:proofErr w:type="spellStart"/>
      <w:r w:rsidRPr="00E05470">
        <w:rPr>
          <w:rFonts w:ascii="Times New Roman" w:hAnsi="Times New Roman" w:cs="Times New Roman"/>
          <w:b/>
          <w:bCs/>
        </w:rPr>
        <w:t>Behavior</w:t>
      </w:r>
      <w:proofErr w:type="spellEnd"/>
      <w:r w:rsidRPr="00E05470">
        <w:rPr>
          <w:rFonts w:ascii="Times New Roman" w:hAnsi="Times New Roman" w:cs="Times New Roman"/>
          <w:b/>
          <w:bCs/>
        </w:rPr>
        <w:t xml:space="preserve"> in ICR</w:t>
      </w:r>
    </w:p>
    <w:p w14:paraId="25BF3B0D"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consumer base in ICR has changed significantly due to rapid urbanization, increased access to a wide range of products, and the presence of modern retail stores.</w:t>
      </w:r>
    </w:p>
    <w:p w14:paraId="3449395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Local consumers tend to be influenced by various factors, such as prices, product variety, quality, availability, brand image, discounts, customer service, and modern amenities when making purchase decisions.</w:t>
      </w:r>
    </w:p>
    <w:p w14:paraId="782898DC"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Organized retail stores can attract more customers due to their competitive pricing, wide range of products and discounts. Traditional small retail stores, on the other hand, can build customer loyalty by providing convenient locations, excellent customer service, bargaining opportunities and credit facilities.</w:t>
      </w:r>
    </w:p>
    <w:p w14:paraId="487D3837"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Therefore, local consumer </w:t>
      </w:r>
      <w:proofErr w:type="spellStart"/>
      <w:r w:rsidRPr="00E05470">
        <w:rPr>
          <w:rFonts w:ascii="Times New Roman" w:hAnsi="Times New Roman" w:cs="Times New Roman"/>
        </w:rPr>
        <w:t>behavior</w:t>
      </w:r>
      <w:proofErr w:type="spellEnd"/>
      <w:r w:rsidRPr="00E05470">
        <w:rPr>
          <w:rFonts w:ascii="Times New Roman" w:hAnsi="Times New Roman" w:cs="Times New Roman"/>
        </w:rPr>
        <w:t xml:space="preserve"> varies depending on income levels, proximity to retail stores, product availability, and other factors.</w:t>
      </w:r>
    </w:p>
    <w:p w14:paraId="06E27F69"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3.5.9 Significance of the Study Area</w:t>
      </w:r>
    </w:p>
    <w:p w14:paraId="3A3E8210"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lastRenderedPageBreak/>
        <w:t>The current study will be conducted in ICR because it has a diverse retail sector, including both traditional small retail stores and organized retail chains. It is a suitable area for investigating the impact of organized retailing on small retail stores and understanding the dynamics of competition between them.</w:t>
      </w:r>
    </w:p>
    <w:p w14:paraId="0B106C05"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This study will generate valuable insights into the effects of organized retailing on the sales, profitability, customer base, pricing, assortment, employment opportunities, and overall performance of traditional small retail stores in ICR.</w:t>
      </w:r>
    </w:p>
    <w:p w14:paraId="100CA4E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In addition, the current study will consider the unique characteristics of local traditional small retail stores, such as customer relationships, bargaining practices, credit facilities, and the adoption of modern technologies. The study will also highlight the mechanisms through which traditional small retail stores can remain competitive in the face of increasing competition from organized retailing.</w:t>
      </w:r>
    </w:p>
    <w:p w14:paraId="501E13E5"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3.6 Population of the Study</w:t>
      </w:r>
    </w:p>
    <w:p w14:paraId="2CEE0EF6"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 population of a study refers to the overall set of elements or subjects from which a sample is drawn for investigation. In the current study, “Impact of Organized Retailing on Small Retailers in Itanagar Capital Region of Arunachal Pradesh”, there are two main populations of interest: small retailers and consumers. Small retailers provide information about the nature of their business, sales, competition, and adaptation strategies. In turn, consumers provide information about shopping </w:t>
      </w:r>
      <w:proofErr w:type="spellStart"/>
      <w:r w:rsidRPr="00E05470">
        <w:rPr>
          <w:rFonts w:ascii="Times New Roman" w:hAnsi="Times New Roman" w:cs="Times New Roman"/>
        </w:rPr>
        <w:t>behaviors</w:t>
      </w:r>
      <w:proofErr w:type="spellEnd"/>
      <w:r w:rsidRPr="00E05470">
        <w:rPr>
          <w:rFonts w:ascii="Times New Roman" w:hAnsi="Times New Roman" w:cs="Times New Roman"/>
        </w:rPr>
        <w:t xml:space="preserve"> and tendencies.</w:t>
      </w:r>
    </w:p>
    <w:p w14:paraId="43C0B3E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Therefore, the current study population will include (</w:t>
      </w:r>
      <w:proofErr w:type="spellStart"/>
      <w:r w:rsidRPr="00E05470">
        <w:rPr>
          <w:rFonts w:ascii="Times New Roman" w:hAnsi="Times New Roman" w:cs="Times New Roman"/>
        </w:rPr>
        <w:t>i</w:t>
      </w:r>
      <w:proofErr w:type="spellEnd"/>
      <w:r w:rsidRPr="00E05470">
        <w:rPr>
          <w:rFonts w:ascii="Times New Roman" w:hAnsi="Times New Roman" w:cs="Times New Roman"/>
        </w:rPr>
        <w:t>) small retailers in the selected localities of ICR and (ii) consumer respondents in the selected localities of ICR.</w:t>
      </w:r>
    </w:p>
    <w:p w14:paraId="52C1A7A3"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3.6.1 Target Population</w:t>
      </w:r>
    </w:p>
    <w:p w14:paraId="6A48FD7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target population of the current study includes small retailers and consumers in the selected localities of ICR.</w:t>
      </w:r>
    </w:p>
    <w:p w14:paraId="0D2FC11B"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Small retailers represent one side of the retail market, and they provide information about their business, as well as their perspectives on competition and adaptation strategies.</w:t>
      </w:r>
    </w:p>
    <w:p w14:paraId="7C0FCF3E"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Similarly, the target population also includes local consumers, who represent the other side of the retail market. They provide information about their shopping </w:t>
      </w:r>
      <w:proofErr w:type="spellStart"/>
      <w:r w:rsidRPr="00E05470">
        <w:rPr>
          <w:rFonts w:ascii="Times New Roman" w:hAnsi="Times New Roman" w:cs="Times New Roman"/>
        </w:rPr>
        <w:t>behaviors</w:t>
      </w:r>
      <w:proofErr w:type="spellEnd"/>
      <w:r w:rsidRPr="00E05470">
        <w:rPr>
          <w:rFonts w:ascii="Times New Roman" w:hAnsi="Times New Roman" w:cs="Times New Roman"/>
        </w:rPr>
        <w:t xml:space="preserve"> and tendencies.</w:t>
      </w:r>
    </w:p>
    <w:p w14:paraId="058E84B3"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3.6.2 Population of Small Retailers</w:t>
      </w:r>
    </w:p>
    <w:p w14:paraId="47856E37"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lastRenderedPageBreak/>
        <w:t>The identified population of small retailers amounted to 6426, representing seven major retail categories.</w:t>
      </w:r>
    </w:p>
    <w:p w14:paraId="64E20DBE"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study will utilize stratified sampling to ensure that all segment categories are represented.</w:t>
      </w:r>
    </w:p>
    <w:p w14:paraId="554DC8E1" w14:textId="25FBC0EA" w:rsidR="000B1DAD" w:rsidRPr="000B1DAD" w:rsidRDefault="000B1DAD" w:rsidP="000B1DAD">
      <w:pPr>
        <w:spacing w:line="360" w:lineRule="auto"/>
        <w:jc w:val="both"/>
        <w:rPr>
          <w:rFonts w:ascii="Times New Roman" w:hAnsi="Times New Roman" w:cs="Times New Roman"/>
        </w:rPr>
      </w:pPr>
    </w:p>
    <w:tbl>
      <w:tblPr>
        <w:tblW w:w="5360" w:type="dxa"/>
        <w:jc w:val="center"/>
        <w:tblLook w:val="04A0" w:firstRow="1" w:lastRow="0" w:firstColumn="1" w:lastColumn="0" w:noHBand="0" w:noVBand="1"/>
      </w:tblPr>
      <w:tblGrid>
        <w:gridCol w:w="3220"/>
        <w:gridCol w:w="2140"/>
      </w:tblGrid>
      <w:tr w:rsidR="00E05470" w:rsidRPr="00E05470" w14:paraId="152FDCDF" w14:textId="77777777" w:rsidTr="00E05470">
        <w:trPr>
          <w:trHeight w:val="312"/>
          <w:jc w:val="center"/>
        </w:trPr>
        <w:tc>
          <w:tcPr>
            <w:tcW w:w="3220" w:type="dxa"/>
            <w:tcBorders>
              <w:top w:val="single" w:sz="4" w:space="0" w:color="auto"/>
              <w:left w:val="single" w:sz="4" w:space="0" w:color="auto"/>
              <w:bottom w:val="single" w:sz="4" w:space="0" w:color="auto"/>
              <w:right w:val="single" w:sz="4" w:space="0" w:color="auto"/>
            </w:tcBorders>
            <w:vAlign w:val="center"/>
            <w:hideMark/>
          </w:tcPr>
          <w:p w14:paraId="445D7D39"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Type of Small Retailer</w:t>
            </w:r>
          </w:p>
        </w:tc>
        <w:tc>
          <w:tcPr>
            <w:tcW w:w="2140" w:type="dxa"/>
            <w:tcBorders>
              <w:top w:val="single" w:sz="4" w:space="0" w:color="auto"/>
              <w:left w:val="nil"/>
              <w:bottom w:val="single" w:sz="4" w:space="0" w:color="auto"/>
              <w:right w:val="single" w:sz="4" w:space="0" w:color="auto"/>
            </w:tcBorders>
            <w:vAlign w:val="center"/>
            <w:hideMark/>
          </w:tcPr>
          <w:p w14:paraId="5199D291"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Population</w:t>
            </w:r>
          </w:p>
        </w:tc>
      </w:tr>
      <w:tr w:rsidR="00E05470" w:rsidRPr="00E05470" w14:paraId="7430CFB7" w14:textId="77777777" w:rsidTr="00E05470">
        <w:trPr>
          <w:trHeight w:val="312"/>
          <w:jc w:val="center"/>
        </w:trPr>
        <w:tc>
          <w:tcPr>
            <w:tcW w:w="3220" w:type="dxa"/>
            <w:tcBorders>
              <w:top w:val="nil"/>
              <w:left w:val="single" w:sz="4" w:space="0" w:color="auto"/>
              <w:bottom w:val="single" w:sz="4" w:space="0" w:color="auto"/>
              <w:right w:val="single" w:sz="4" w:space="0" w:color="auto"/>
            </w:tcBorders>
            <w:vAlign w:val="center"/>
            <w:hideMark/>
          </w:tcPr>
          <w:p w14:paraId="68390278"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Grocery Stores</w:t>
            </w:r>
          </w:p>
        </w:tc>
        <w:tc>
          <w:tcPr>
            <w:tcW w:w="2140" w:type="dxa"/>
            <w:tcBorders>
              <w:top w:val="nil"/>
              <w:left w:val="nil"/>
              <w:bottom w:val="single" w:sz="4" w:space="0" w:color="auto"/>
              <w:right w:val="single" w:sz="4" w:space="0" w:color="auto"/>
            </w:tcBorders>
            <w:vAlign w:val="center"/>
            <w:hideMark/>
          </w:tcPr>
          <w:p w14:paraId="6E209CEB"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3,233</w:t>
            </w:r>
          </w:p>
        </w:tc>
      </w:tr>
      <w:tr w:rsidR="00E05470" w:rsidRPr="00E05470" w14:paraId="35A63364" w14:textId="77777777" w:rsidTr="00E05470">
        <w:trPr>
          <w:trHeight w:val="312"/>
          <w:jc w:val="center"/>
        </w:trPr>
        <w:tc>
          <w:tcPr>
            <w:tcW w:w="3220" w:type="dxa"/>
            <w:tcBorders>
              <w:top w:val="nil"/>
              <w:left w:val="single" w:sz="4" w:space="0" w:color="auto"/>
              <w:bottom w:val="single" w:sz="4" w:space="0" w:color="auto"/>
              <w:right w:val="single" w:sz="4" w:space="0" w:color="auto"/>
            </w:tcBorders>
            <w:vAlign w:val="center"/>
            <w:hideMark/>
          </w:tcPr>
          <w:p w14:paraId="0F9D9280"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Stationery Stores</w:t>
            </w:r>
          </w:p>
        </w:tc>
        <w:tc>
          <w:tcPr>
            <w:tcW w:w="2140" w:type="dxa"/>
            <w:tcBorders>
              <w:top w:val="nil"/>
              <w:left w:val="nil"/>
              <w:bottom w:val="single" w:sz="4" w:space="0" w:color="auto"/>
              <w:right w:val="single" w:sz="4" w:space="0" w:color="auto"/>
            </w:tcBorders>
            <w:vAlign w:val="center"/>
            <w:hideMark/>
          </w:tcPr>
          <w:p w14:paraId="2B09E515"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171</w:t>
            </w:r>
          </w:p>
        </w:tc>
      </w:tr>
      <w:tr w:rsidR="00E05470" w:rsidRPr="00E05470" w14:paraId="4BD225DA" w14:textId="77777777" w:rsidTr="00E05470">
        <w:trPr>
          <w:trHeight w:val="312"/>
          <w:jc w:val="center"/>
        </w:trPr>
        <w:tc>
          <w:tcPr>
            <w:tcW w:w="3220" w:type="dxa"/>
            <w:tcBorders>
              <w:top w:val="nil"/>
              <w:left w:val="single" w:sz="4" w:space="0" w:color="auto"/>
              <w:bottom w:val="single" w:sz="4" w:space="0" w:color="auto"/>
              <w:right w:val="single" w:sz="4" w:space="0" w:color="auto"/>
            </w:tcBorders>
            <w:vAlign w:val="center"/>
            <w:hideMark/>
          </w:tcPr>
          <w:p w14:paraId="440E5839"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Apparel Stores</w:t>
            </w:r>
          </w:p>
        </w:tc>
        <w:tc>
          <w:tcPr>
            <w:tcW w:w="2140" w:type="dxa"/>
            <w:tcBorders>
              <w:top w:val="nil"/>
              <w:left w:val="nil"/>
              <w:bottom w:val="single" w:sz="4" w:space="0" w:color="auto"/>
              <w:right w:val="single" w:sz="4" w:space="0" w:color="auto"/>
            </w:tcBorders>
            <w:vAlign w:val="center"/>
            <w:hideMark/>
          </w:tcPr>
          <w:p w14:paraId="755B54D3"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1,036</w:t>
            </w:r>
          </w:p>
        </w:tc>
      </w:tr>
      <w:tr w:rsidR="00E05470" w:rsidRPr="00E05470" w14:paraId="6D36F3E0" w14:textId="77777777" w:rsidTr="00E05470">
        <w:trPr>
          <w:trHeight w:val="312"/>
          <w:jc w:val="center"/>
        </w:trPr>
        <w:tc>
          <w:tcPr>
            <w:tcW w:w="3220" w:type="dxa"/>
            <w:tcBorders>
              <w:top w:val="nil"/>
              <w:left w:val="single" w:sz="4" w:space="0" w:color="auto"/>
              <w:bottom w:val="single" w:sz="4" w:space="0" w:color="auto"/>
              <w:right w:val="single" w:sz="4" w:space="0" w:color="auto"/>
            </w:tcBorders>
            <w:vAlign w:val="center"/>
            <w:hideMark/>
          </w:tcPr>
          <w:p w14:paraId="5802F822"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Kitchen-Essential Stores</w:t>
            </w:r>
          </w:p>
        </w:tc>
        <w:tc>
          <w:tcPr>
            <w:tcW w:w="2140" w:type="dxa"/>
            <w:tcBorders>
              <w:top w:val="nil"/>
              <w:left w:val="nil"/>
              <w:bottom w:val="single" w:sz="4" w:space="0" w:color="auto"/>
              <w:right w:val="single" w:sz="4" w:space="0" w:color="auto"/>
            </w:tcBorders>
            <w:vAlign w:val="center"/>
            <w:hideMark/>
          </w:tcPr>
          <w:p w14:paraId="04F60553"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176</w:t>
            </w:r>
          </w:p>
        </w:tc>
      </w:tr>
      <w:tr w:rsidR="00E05470" w:rsidRPr="00E05470" w14:paraId="7315A8CA" w14:textId="77777777" w:rsidTr="00E05470">
        <w:trPr>
          <w:trHeight w:val="312"/>
          <w:jc w:val="center"/>
        </w:trPr>
        <w:tc>
          <w:tcPr>
            <w:tcW w:w="3220" w:type="dxa"/>
            <w:tcBorders>
              <w:top w:val="nil"/>
              <w:left w:val="single" w:sz="4" w:space="0" w:color="auto"/>
              <w:bottom w:val="single" w:sz="4" w:space="0" w:color="auto"/>
              <w:right w:val="single" w:sz="4" w:space="0" w:color="auto"/>
            </w:tcBorders>
            <w:vAlign w:val="center"/>
            <w:hideMark/>
          </w:tcPr>
          <w:p w14:paraId="7036D773"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Electronic Stores</w:t>
            </w:r>
          </w:p>
        </w:tc>
        <w:tc>
          <w:tcPr>
            <w:tcW w:w="2140" w:type="dxa"/>
            <w:tcBorders>
              <w:top w:val="nil"/>
              <w:left w:val="nil"/>
              <w:bottom w:val="single" w:sz="4" w:space="0" w:color="auto"/>
              <w:right w:val="single" w:sz="4" w:space="0" w:color="auto"/>
            </w:tcBorders>
            <w:vAlign w:val="center"/>
            <w:hideMark/>
          </w:tcPr>
          <w:p w14:paraId="02F45962"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1,355</w:t>
            </w:r>
          </w:p>
        </w:tc>
      </w:tr>
      <w:tr w:rsidR="00E05470" w:rsidRPr="00E05470" w14:paraId="188AE2CC" w14:textId="77777777" w:rsidTr="00E05470">
        <w:trPr>
          <w:trHeight w:val="312"/>
          <w:jc w:val="center"/>
        </w:trPr>
        <w:tc>
          <w:tcPr>
            <w:tcW w:w="3220" w:type="dxa"/>
            <w:tcBorders>
              <w:top w:val="nil"/>
              <w:left w:val="single" w:sz="4" w:space="0" w:color="auto"/>
              <w:bottom w:val="single" w:sz="4" w:space="0" w:color="auto"/>
              <w:right w:val="single" w:sz="4" w:space="0" w:color="auto"/>
            </w:tcBorders>
            <w:vAlign w:val="center"/>
            <w:hideMark/>
          </w:tcPr>
          <w:p w14:paraId="20F94353"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Kids/Gift Stores</w:t>
            </w:r>
          </w:p>
        </w:tc>
        <w:tc>
          <w:tcPr>
            <w:tcW w:w="2140" w:type="dxa"/>
            <w:tcBorders>
              <w:top w:val="nil"/>
              <w:left w:val="nil"/>
              <w:bottom w:val="single" w:sz="4" w:space="0" w:color="auto"/>
              <w:right w:val="single" w:sz="4" w:space="0" w:color="auto"/>
            </w:tcBorders>
            <w:vAlign w:val="center"/>
            <w:hideMark/>
          </w:tcPr>
          <w:p w14:paraId="15988DF6"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208</w:t>
            </w:r>
          </w:p>
        </w:tc>
      </w:tr>
      <w:tr w:rsidR="00E05470" w:rsidRPr="00E05470" w14:paraId="05E04058" w14:textId="77777777" w:rsidTr="00E05470">
        <w:trPr>
          <w:trHeight w:val="624"/>
          <w:jc w:val="center"/>
        </w:trPr>
        <w:tc>
          <w:tcPr>
            <w:tcW w:w="3220" w:type="dxa"/>
            <w:tcBorders>
              <w:top w:val="nil"/>
              <w:left w:val="single" w:sz="4" w:space="0" w:color="auto"/>
              <w:bottom w:val="single" w:sz="4" w:space="0" w:color="auto"/>
              <w:right w:val="single" w:sz="4" w:space="0" w:color="auto"/>
            </w:tcBorders>
            <w:vAlign w:val="center"/>
            <w:hideMark/>
          </w:tcPr>
          <w:p w14:paraId="232B6A14"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General Merchant/Cosmetic Stores</w:t>
            </w:r>
          </w:p>
        </w:tc>
        <w:tc>
          <w:tcPr>
            <w:tcW w:w="2140" w:type="dxa"/>
            <w:tcBorders>
              <w:top w:val="nil"/>
              <w:left w:val="nil"/>
              <w:bottom w:val="single" w:sz="4" w:space="0" w:color="auto"/>
              <w:right w:val="single" w:sz="4" w:space="0" w:color="auto"/>
            </w:tcBorders>
            <w:vAlign w:val="center"/>
            <w:hideMark/>
          </w:tcPr>
          <w:p w14:paraId="53913D0F"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247</w:t>
            </w:r>
          </w:p>
        </w:tc>
      </w:tr>
      <w:tr w:rsidR="00E05470" w:rsidRPr="00E05470" w14:paraId="6C9631C5" w14:textId="77777777" w:rsidTr="00E05470">
        <w:trPr>
          <w:trHeight w:val="312"/>
          <w:jc w:val="center"/>
        </w:trPr>
        <w:tc>
          <w:tcPr>
            <w:tcW w:w="3220" w:type="dxa"/>
            <w:tcBorders>
              <w:top w:val="nil"/>
              <w:left w:val="single" w:sz="4" w:space="0" w:color="auto"/>
              <w:bottom w:val="single" w:sz="4" w:space="0" w:color="auto"/>
              <w:right w:val="single" w:sz="4" w:space="0" w:color="auto"/>
            </w:tcBorders>
            <w:vAlign w:val="center"/>
            <w:hideMark/>
          </w:tcPr>
          <w:p w14:paraId="071125EC"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Total</w:t>
            </w:r>
          </w:p>
        </w:tc>
        <w:tc>
          <w:tcPr>
            <w:tcW w:w="2140" w:type="dxa"/>
            <w:tcBorders>
              <w:top w:val="nil"/>
              <w:left w:val="nil"/>
              <w:bottom w:val="single" w:sz="4" w:space="0" w:color="auto"/>
              <w:right w:val="single" w:sz="4" w:space="0" w:color="auto"/>
            </w:tcBorders>
            <w:vAlign w:val="center"/>
            <w:hideMark/>
          </w:tcPr>
          <w:p w14:paraId="37E879D2"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6,426</w:t>
            </w:r>
          </w:p>
        </w:tc>
      </w:tr>
    </w:tbl>
    <w:p w14:paraId="1ECC0C4B" w14:textId="77777777" w:rsidR="00E05470" w:rsidRDefault="00E05470" w:rsidP="000B1DAD">
      <w:pPr>
        <w:spacing w:line="360" w:lineRule="auto"/>
        <w:jc w:val="both"/>
        <w:rPr>
          <w:rFonts w:ascii="Times New Roman" w:hAnsi="Times New Roman" w:cs="Times New Roman"/>
          <w:b/>
          <w:bCs/>
        </w:rPr>
      </w:pPr>
    </w:p>
    <w:p w14:paraId="357B929E"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3.6.3 Classification of Small Retailers</w:t>
      </w:r>
    </w:p>
    <w:p w14:paraId="60B47AC2"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For the purposes of sampling and analysis, small retailers were classified into seven categories: grocery, stationery, apparel, kitchen-essential, electronic, kids/gift and general merchant/cosmetic stores. These categories represent different retail activities and may experience organised-retail competition differently due to variations in products, consumer demand, pricing and purchasing patterns.</w:t>
      </w:r>
    </w:p>
    <w:p w14:paraId="06D649A2"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3.6.4 Consumer Population</w:t>
      </w:r>
    </w:p>
    <w:p w14:paraId="65D38791"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 consumer population was represented by households in the selected areas of the Itanagar Capital Region. The total household population considered was 22,825, covering Itanagar, </w:t>
      </w:r>
      <w:proofErr w:type="spellStart"/>
      <w:r w:rsidRPr="00E05470">
        <w:rPr>
          <w:rFonts w:ascii="Times New Roman" w:hAnsi="Times New Roman" w:cs="Times New Roman"/>
        </w:rPr>
        <w:t>Naharlagun</w:t>
      </w:r>
      <w:proofErr w:type="spellEnd"/>
      <w:r w:rsidRPr="00E05470">
        <w:rPr>
          <w:rFonts w:ascii="Times New Roman" w:hAnsi="Times New Roman" w:cs="Times New Roman"/>
        </w:rPr>
        <w:t xml:space="preserve"> and </w:t>
      </w:r>
      <w:proofErr w:type="spellStart"/>
      <w:r w:rsidRPr="00E05470">
        <w:rPr>
          <w:rFonts w:ascii="Times New Roman" w:hAnsi="Times New Roman" w:cs="Times New Roman"/>
        </w:rPr>
        <w:t>Banderdewa</w:t>
      </w:r>
      <w:proofErr w:type="spellEnd"/>
      <w:r w:rsidRPr="00E05470">
        <w:rPr>
          <w:rFonts w:ascii="Times New Roman" w:hAnsi="Times New Roman" w:cs="Times New Roman"/>
        </w:rPr>
        <w:t>. Consumer responses were used to examine shopping frequency, store preferences, product variety, pricing, convenience, customer service, discounts, bargaining and credit facilities.</w:t>
      </w:r>
    </w:p>
    <w:p w14:paraId="7F04BCF5"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3.6.5 Location-wise Household Population</w:t>
      </w:r>
    </w:p>
    <w:tbl>
      <w:tblPr>
        <w:tblW w:w="6220" w:type="dxa"/>
        <w:jc w:val="center"/>
        <w:tblLook w:val="04A0" w:firstRow="1" w:lastRow="0" w:firstColumn="1" w:lastColumn="0" w:noHBand="0" w:noVBand="1"/>
      </w:tblPr>
      <w:tblGrid>
        <w:gridCol w:w="980"/>
        <w:gridCol w:w="2140"/>
        <w:gridCol w:w="1520"/>
        <w:gridCol w:w="1580"/>
      </w:tblGrid>
      <w:tr w:rsidR="00E05470" w:rsidRPr="00E05470" w14:paraId="3AE9EEC8" w14:textId="77777777" w:rsidTr="00E05470">
        <w:trPr>
          <w:trHeight w:val="624"/>
          <w:jc w:val="center"/>
        </w:trPr>
        <w:tc>
          <w:tcPr>
            <w:tcW w:w="980" w:type="dxa"/>
            <w:tcBorders>
              <w:top w:val="single" w:sz="4" w:space="0" w:color="auto"/>
              <w:left w:val="single" w:sz="4" w:space="0" w:color="auto"/>
              <w:bottom w:val="single" w:sz="4" w:space="0" w:color="auto"/>
              <w:right w:val="single" w:sz="4" w:space="0" w:color="auto"/>
            </w:tcBorders>
            <w:vAlign w:val="center"/>
            <w:hideMark/>
          </w:tcPr>
          <w:p w14:paraId="3C23413A" w14:textId="77777777" w:rsidR="00E05470" w:rsidRPr="00E05470" w:rsidRDefault="00E05470" w:rsidP="006F33DD">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S. No.</w:t>
            </w:r>
          </w:p>
        </w:tc>
        <w:tc>
          <w:tcPr>
            <w:tcW w:w="2140" w:type="dxa"/>
            <w:tcBorders>
              <w:top w:val="single" w:sz="4" w:space="0" w:color="auto"/>
              <w:left w:val="nil"/>
              <w:bottom w:val="single" w:sz="4" w:space="0" w:color="auto"/>
              <w:right w:val="single" w:sz="4" w:space="0" w:color="auto"/>
            </w:tcBorders>
            <w:vAlign w:val="center"/>
            <w:hideMark/>
          </w:tcPr>
          <w:p w14:paraId="2F8A2357" w14:textId="77777777" w:rsidR="00E05470" w:rsidRPr="00E05470" w:rsidRDefault="00E05470" w:rsidP="006F33DD">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Location</w:t>
            </w:r>
          </w:p>
        </w:tc>
        <w:tc>
          <w:tcPr>
            <w:tcW w:w="1520" w:type="dxa"/>
            <w:tcBorders>
              <w:top w:val="single" w:sz="4" w:space="0" w:color="auto"/>
              <w:left w:val="nil"/>
              <w:bottom w:val="single" w:sz="4" w:space="0" w:color="auto"/>
              <w:right w:val="single" w:sz="4" w:space="0" w:color="auto"/>
            </w:tcBorders>
            <w:vAlign w:val="center"/>
            <w:hideMark/>
          </w:tcPr>
          <w:p w14:paraId="617A8F34" w14:textId="77777777" w:rsidR="00E05470" w:rsidRPr="00E05470" w:rsidRDefault="00E05470" w:rsidP="006F33DD">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Household Population</w:t>
            </w:r>
          </w:p>
        </w:tc>
        <w:tc>
          <w:tcPr>
            <w:tcW w:w="1580" w:type="dxa"/>
            <w:tcBorders>
              <w:top w:val="single" w:sz="4" w:space="0" w:color="auto"/>
              <w:left w:val="nil"/>
              <w:bottom w:val="single" w:sz="4" w:space="0" w:color="auto"/>
              <w:right w:val="single" w:sz="4" w:space="0" w:color="auto"/>
            </w:tcBorders>
            <w:vAlign w:val="center"/>
            <w:hideMark/>
          </w:tcPr>
          <w:p w14:paraId="35D4AC7C" w14:textId="77777777" w:rsidR="00E05470" w:rsidRPr="00E05470" w:rsidRDefault="00E05470" w:rsidP="006F33DD">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Percentage</w:t>
            </w:r>
          </w:p>
        </w:tc>
      </w:tr>
      <w:tr w:rsidR="00E05470" w:rsidRPr="00E05470" w14:paraId="2E78B44B" w14:textId="77777777" w:rsidTr="00E05470">
        <w:trPr>
          <w:trHeight w:val="312"/>
          <w:jc w:val="center"/>
        </w:trPr>
        <w:tc>
          <w:tcPr>
            <w:tcW w:w="980" w:type="dxa"/>
            <w:tcBorders>
              <w:top w:val="nil"/>
              <w:left w:val="single" w:sz="4" w:space="0" w:color="auto"/>
              <w:bottom w:val="single" w:sz="4" w:space="0" w:color="auto"/>
              <w:right w:val="single" w:sz="4" w:space="0" w:color="auto"/>
            </w:tcBorders>
            <w:vAlign w:val="center"/>
            <w:hideMark/>
          </w:tcPr>
          <w:p w14:paraId="3B7A516A"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w:t>
            </w:r>
          </w:p>
        </w:tc>
        <w:tc>
          <w:tcPr>
            <w:tcW w:w="2140" w:type="dxa"/>
            <w:tcBorders>
              <w:top w:val="nil"/>
              <w:left w:val="nil"/>
              <w:bottom w:val="single" w:sz="4" w:space="0" w:color="auto"/>
              <w:right w:val="single" w:sz="4" w:space="0" w:color="auto"/>
            </w:tcBorders>
            <w:vAlign w:val="center"/>
            <w:hideMark/>
          </w:tcPr>
          <w:p w14:paraId="5E92126B"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Itanagar</w:t>
            </w:r>
          </w:p>
        </w:tc>
        <w:tc>
          <w:tcPr>
            <w:tcW w:w="1520" w:type="dxa"/>
            <w:tcBorders>
              <w:top w:val="nil"/>
              <w:left w:val="nil"/>
              <w:bottom w:val="single" w:sz="4" w:space="0" w:color="auto"/>
              <w:right w:val="single" w:sz="4" w:space="0" w:color="auto"/>
            </w:tcBorders>
            <w:vAlign w:val="center"/>
            <w:hideMark/>
          </w:tcPr>
          <w:p w14:paraId="24D97494"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13,465</w:t>
            </w:r>
          </w:p>
        </w:tc>
        <w:tc>
          <w:tcPr>
            <w:tcW w:w="1580" w:type="dxa"/>
            <w:tcBorders>
              <w:top w:val="nil"/>
              <w:left w:val="nil"/>
              <w:bottom w:val="single" w:sz="4" w:space="0" w:color="auto"/>
              <w:right w:val="single" w:sz="4" w:space="0" w:color="auto"/>
            </w:tcBorders>
            <w:vAlign w:val="center"/>
            <w:hideMark/>
          </w:tcPr>
          <w:p w14:paraId="455A2636"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58.99%</w:t>
            </w:r>
          </w:p>
        </w:tc>
      </w:tr>
      <w:tr w:rsidR="00E05470" w:rsidRPr="00E05470" w14:paraId="42C02F69" w14:textId="77777777" w:rsidTr="00E05470">
        <w:trPr>
          <w:trHeight w:val="312"/>
          <w:jc w:val="center"/>
        </w:trPr>
        <w:tc>
          <w:tcPr>
            <w:tcW w:w="980" w:type="dxa"/>
            <w:tcBorders>
              <w:top w:val="nil"/>
              <w:left w:val="single" w:sz="4" w:space="0" w:color="auto"/>
              <w:bottom w:val="single" w:sz="4" w:space="0" w:color="auto"/>
              <w:right w:val="single" w:sz="4" w:space="0" w:color="auto"/>
            </w:tcBorders>
            <w:vAlign w:val="center"/>
            <w:hideMark/>
          </w:tcPr>
          <w:p w14:paraId="67A97071"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2</w:t>
            </w:r>
          </w:p>
        </w:tc>
        <w:tc>
          <w:tcPr>
            <w:tcW w:w="2140" w:type="dxa"/>
            <w:tcBorders>
              <w:top w:val="nil"/>
              <w:left w:val="nil"/>
              <w:bottom w:val="single" w:sz="4" w:space="0" w:color="auto"/>
              <w:right w:val="single" w:sz="4" w:space="0" w:color="auto"/>
            </w:tcBorders>
            <w:vAlign w:val="center"/>
            <w:hideMark/>
          </w:tcPr>
          <w:p w14:paraId="6A4B9F07"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E05470">
              <w:rPr>
                <w:rFonts w:ascii="Times New Roman" w:eastAsia="Times New Roman" w:hAnsi="Times New Roman" w:cs="Times New Roman"/>
                <w:color w:val="000000"/>
                <w:kern w:val="0"/>
                <w:lang w:eastAsia="en-IN"/>
                <w14:ligatures w14:val="none"/>
              </w:rPr>
              <w:t>Naharlagun</w:t>
            </w:r>
            <w:proofErr w:type="spellEnd"/>
          </w:p>
        </w:tc>
        <w:tc>
          <w:tcPr>
            <w:tcW w:w="1520" w:type="dxa"/>
            <w:tcBorders>
              <w:top w:val="nil"/>
              <w:left w:val="nil"/>
              <w:bottom w:val="single" w:sz="4" w:space="0" w:color="auto"/>
              <w:right w:val="single" w:sz="4" w:space="0" w:color="auto"/>
            </w:tcBorders>
            <w:vAlign w:val="center"/>
            <w:hideMark/>
          </w:tcPr>
          <w:p w14:paraId="7220B2AC"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7,735</w:t>
            </w:r>
          </w:p>
        </w:tc>
        <w:tc>
          <w:tcPr>
            <w:tcW w:w="1580" w:type="dxa"/>
            <w:tcBorders>
              <w:top w:val="nil"/>
              <w:left w:val="nil"/>
              <w:bottom w:val="single" w:sz="4" w:space="0" w:color="auto"/>
              <w:right w:val="single" w:sz="4" w:space="0" w:color="auto"/>
            </w:tcBorders>
            <w:vAlign w:val="center"/>
            <w:hideMark/>
          </w:tcPr>
          <w:p w14:paraId="6B73563C"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33.89%</w:t>
            </w:r>
          </w:p>
        </w:tc>
      </w:tr>
      <w:tr w:rsidR="00E05470" w:rsidRPr="00E05470" w14:paraId="20E87018" w14:textId="77777777" w:rsidTr="00E05470">
        <w:trPr>
          <w:trHeight w:val="312"/>
          <w:jc w:val="center"/>
        </w:trPr>
        <w:tc>
          <w:tcPr>
            <w:tcW w:w="980" w:type="dxa"/>
            <w:tcBorders>
              <w:top w:val="nil"/>
              <w:left w:val="single" w:sz="4" w:space="0" w:color="auto"/>
              <w:bottom w:val="single" w:sz="4" w:space="0" w:color="auto"/>
              <w:right w:val="single" w:sz="4" w:space="0" w:color="auto"/>
            </w:tcBorders>
            <w:vAlign w:val="center"/>
            <w:hideMark/>
          </w:tcPr>
          <w:p w14:paraId="61E7B379"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w:t>
            </w:r>
          </w:p>
        </w:tc>
        <w:tc>
          <w:tcPr>
            <w:tcW w:w="2140" w:type="dxa"/>
            <w:tcBorders>
              <w:top w:val="nil"/>
              <w:left w:val="nil"/>
              <w:bottom w:val="single" w:sz="4" w:space="0" w:color="auto"/>
              <w:right w:val="single" w:sz="4" w:space="0" w:color="auto"/>
            </w:tcBorders>
            <w:vAlign w:val="center"/>
            <w:hideMark/>
          </w:tcPr>
          <w:p w14:paraId="10DD0B1E"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E05470">
              <w:rPr>
                <w:rFonts w:ascii="Times New Roman" w:eastAsia="Times New Roman" w:hAnsi="Times New Roman" w:cs="Times New Roman"/>
                <w:color w:val="000000"/>
                <w:kern w:val="0"/>
                <w:lang w:eastAsia="en-IN"/>
                <w14:ligatures w14:val="none"/>
              </w:rPr>
              <w:t>Banderdewa</w:t>
            </w:r>
            <w:proofErr w:type="spellEnd"/>
          </w:p>
        </w:tc>
        <w:tc>
          <w:tcPr>
            <w:tcW w:w="1520" w:type="dxa"/>
            <w:tcBorders>
              <w:top w:val="nil"/>
              <w:left w:val="nil"/>
              <w:bottom w:val="single" w:sz="4" w:space="0" w:color="auto"/>
              <w:right w:val="single" w:sz="4" w:space="0" w:color="auto"/>
            </w:tcBorders>
            <w:vAlign w:val="center"/>
            <w:hideMark/>
          </w:tcPr>
          <w:p w14:paraId="0B002F6E"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1,625</w:t>
            </w:r>
          </w:p>
        </w:tc>
        <w:tc>
          <w:tcPr>
            <w:tcW w:w="1580" w:type="dxa"/>
            <w:tcBorders>
              <w:top w:val="nil"/>
              <w:left w:val="nil"/>
              <w:bottom w:val="single" w:sz="4" w:space="0" w:color="auto"/>
              <w:right w:val="single" w:sz="4" w:space="0" w:color="auto"/>
            </w:tcBorders>
            <w:vAlign w:val="center"/>
            <w:hideMark/>
          </w:tcPr>
          <w:p w14:paraId="212844E9" w14:textId="77777777" w:rsidR="00E05470" w:rsidRPr="00E05470" w:rsidRDefault="00E05470" w:rsidP="006F33DD">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7.12%</w:t>
            </w:r>
          </w:p>
        </w:tc>
      </w:tr>
      <w:tr w:rsidR="00E05470" w:rsidRPr="00E05470" w14:paraId="40994A48" w14:textId="77777777" w:rsidTr="00E05470">
        <w:trPr>
          <w:trHeight w:val="312"/>
          <w:jc w:val="center"/>
        </w:trPr>
        <w:tc>
          <w:tcPr>
            <w:tcW w:w="980" w:type="dxa"/>
            <w:tcBorders>
              <w:top w:val="nil"/>
              <w:left w:val="single" w:sz="4" w:space="0" w:color="auto"/>
              <w:bottom w:val="single" w:sz="4" w:space="0" w:color="auto"/>
              <w:right w:val="single" w:sz="4" w:space="0" w:color="auto"/>
            </w:tcBorders>
            <w:vAlign w:val="center"/>
            <w:hideMark/>
          </w:tcPr>
          <w:p w14:paraId="10210D35" w14:textId="77777777" w:rsidR="00E05470" w:rsidRPr="00E05470" w:rsidRDefault="00E05470" w:rsidP="006F33DD">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lastRenderedPageBreak/>
              <w:t>Total</w:t>
            </w:r>
          </w:p>
        </w:tc>
        <w:tc>
          <w:tcPr>
            <w:tcW w:w="2140" w:type="dxa"/>
            <w:tcBorders>
              <w:top w:val="nil"/>
              <w:left w:val="nil"/>
              <w:bottom w:val="single" w:sz="4" w:space="0" w:color="auto"/>
              <w:right w:val="single" w:sz="4" w:space="0" w:color="auto"/>
            </w:tcBorders>
            <w:vAlign w:val="center"/>
            <w:hideMark/>
          </w:tcPr>
          <w:p w14:paraId="5F045E7A" w14:textId="77777777" w:rsidR="00E05470" w:rsidRPr="00E05470" w:rsidRDefault="00E05470" w:rsidP="006F33DD">
            <w:pPr>
              <w:spacing w:after="0" w:line="240" w:lineRule="auto"/>
              <w:jc w:val="center"/>
              <w:rPr>
                <w:rFonts w:ascii="Aptos" w:eastAsia="Times New Roman" w:hAnsi="Aptos" w:cs="Calibri"/>
                <w:color w:val="000000"/>
                <w:kern w:val="0"/>
                <w:lang w:eastAsia="en-IN"/>
                <w14:ligatures w14:val="none"/>
              </w:rPr>
            </w:pPr>
            <w:r w:rsidRPr="00E05470">
              <w:rPr>
                <w:rFonts w:ascii="Aptos" w:eastAsia="Times New Roman" w:hAnsi="Aptos" w:cs="Calibri"/>
                <w:color w:val="000000"/>
                <w:kern w:val="0"/>
                <w:lang w:eastAsia="en-IN"/>
                <w14:ligatures w14:val="none"/>
              </w:rPr>
              <w:t> </w:t>
            </w:r>
          </w:p>
        </w:tc>
        <w:tc>
          <w:tcPr>
            <w:tcW w:w="1520" w:type="dxa"/>
            <w:tcBorders>
              <w:top w:val="nil"/>
              <w:left w:val="nil"/>
              <w:bottom w:val="single" w:sz="4" w:space="0" w:color="auto"/>
              <w:right w:val="single" w:sz="4" w:space="0" w:color="auto"/>
            </w:tcBorders>
            <w:vAlign w:val="center"/>
            <w:hideMark/>
          </w:tcPr>
          <w:p w14:paraId="45A95F50" w14:textId="77777777" w:rsidR="00E05470" w:rsidRPr="00E05470" w:rsidRDefault="00E05470" w:rsidP="006F33DD">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22,825</w:t>
            </w:r>
          </w:p>
        </w:tc>
        <w:tc>
          <w:tcPr>
            <w:tcW w:w="1580" w:type="dxa"/>
            <w:tcBorders>
              <w:top w:val="nil"/>
              <w:left w:val="nil"/>
              <w:bottom w:val="single" w:sz="4" w:space="0" w:color="auto"/>
              <w:right w:val="single" w:sz="4" w:space="0" w:color="auto"/>
            </w:tcBorders>
            <w:vAlign w:val="center"/>
            <w:hideMark/>
          </w:tcPr>
          <w:p w14:paraId="0DBA569C" w14:textId="77777777" w:rsidR="00E05470" w:rsidRPr="00E05470" w:rsidRDefault="00E05470" w:rsidP="006F33DD">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100%</w:t>
            </w:r>
          </w:p>
        </w:tc>
      </w:tr>
    </w:tbl>
    <w:p w14:paraId="73D209CC" w14:textId="77777777" w:rsidR="00E05470" w:rsidRPr="00E05470" w:rsidRDefault="00E05470" w:rsidP="00E05470">
      <w:pPr>
        <w:spacing w:line="360" w:lineRule="auto"/>
        <w:jc w:val="both"/>
        <w:rPr>
          <w:rFonts w:ascii="Times New Roman" w:hAnsi="Times New Roman" w:cs="Times New Roman"/>
        </w:rPr>
      </w:pPr>
    </w:p>
    <w:p w14:paraId="5BCECE9E"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The household distribution formed the basis for proportionate allocation of consumer respondents across the selected locations.</w:t>
      </w:r>
    </w:p>
    <w:p w14:paraId="5CFC8F3D"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3.7 Sampling Design</w:t>
      </w:r>
    </w:p>
    <w:p w14:paraId="60100288"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Sampling design refers to the procedure used to select a representative sample from the study population. Since a complete census was not feasible, separate sampling procedures were adopted for retailers and consumers. Stratified sampling was used for small retailers based on business category, while proportionate geographical sampling was used for consumers based on household distribution.</w:t>
      </w:r>
    </w:p>
    <w:p w14:paraId="613E0068"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3.7.1 Sampling Unit</w:t>
      </w:r>
    </w:p>
    <w:p w14:paraId="22A2904B"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Two sampling units were considered. For the retailer survey, the unit was an individual small retail establishment or its owner/operator. For the consumer survey, the unit was an individual consumer or eligible household respondent with experience of purchasing from retail outlets.</w:t>
      </w:r>
    </w:p>
    <w:p w14:paraId="5186400C"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3.7.2 Sampling Frame</w:t>
      </w:r>
    </w:p>
    <w:p w14:paraId="2653EC0B" w14:textId="77777777" w:rsidR="00E05470" w:rsidRPr="00E05470" w:rsidRDefault="00E05470" w:rsidP="00E05470">
      <w:pPr>
        <w:spacing w:line="360" w:lineRule="auto"/>
        <w:jc w:val="both"/>
        <w:rPr>
          <w:rFonts w:ascii="Times New Roman" w:hAnsi="Times New Roman" w:cs="Times New Roman"/>
        </w:rPr>
      </w:pPr>
      <w:r w:rsidRPr="00E05470">
        <w:rPr>
          <w:rFonts w:ascii="Times New Roman" w:hAnsi="Times New Roman" w:cs="Times New Roman"/>
        </w:rPr>
        <w:t xml:space="preserve">The retailer sampling frame consisted of seven categories: grocery, stationery, apparel, kitchen essentials, electronic, kids/gift and general merchant/cosmetic stores. The consumer sampling frame was based on households in Itanagar, </w:t>
      </w:r>
      <w:proofErr w:type="spellStart"/>
      <w:r w:rsidRPr="00E05470">
        <w:rPr>
          <w:rFonts w:ascii="Times New Roman" w:hAnsi="Times New Roman" w:cs="Times New Roman"/>
        </w:rPr>
        <w:t>Naharlagun</w:t>
      </w:r>
      <w:proofErr w:type="spellEnd"/>
      <w:r w:rsidRPr="00E05470">
        <w:rPr>
          <w:rFonts w:ascii="Times New Roman" w:hAnsi="Times New Roman" w:cs="Times New Roman"/>
        </w:rPr>
        <w:t xml:space="preserve"> and </w:t>
      </w:r>
      <w:proofErr w:type="spellStart"/>
      <w:r w:rsidRPr="00E05470">
        <w:rPr>
          <w:rFonts w:ascii="Times New Roman" w:hAnsi="Times New Roman" w:cs="Times New Roman"/>
        </w:rPr>
        <w:t>Banderdewa</w:t>
      </w:r>
      <w:proofErr w:type="spellEnd"/>
      <w:r w:rsidRPr="00E05470">
        <w:rPr>
          <w:rFonts w:ascii="Times New Roman" w:hAnsi="Times New Roman" w:cs="Times New Roman"/>
        </w:rPr>
        <w:t>.</w:t>
      </w:r>
    </w:p>
    <w:p w14:paraId="7C933A1C" w14:textId="77777777" w:rsidR="00E05470" w:rsidRPr="00E05470" w:rsidRDefault="00E05470" w:rsidP="00E05470">
      <w:pPr>
        <w:spacing w:line="360" w:lineRule="auto"/>
        <w:jc w:val="both"/>
        <w:rPr>
          <w:rFonts w:ascii="Times New Roman" w:hAnsi="Times New Roman" w:cs="Times New Roman"/>
          <w:b/>
          <w:bCs/>
        </w:rPr>
      </w:pPr>
      <w:r w:rsidRPr="00E05470">
        <w:rPr>
          <w:rFonts w:ascii="Times New Roman" w:hAnsi="Times New Roman" w:cs="Times New Roman"/>
          <w:b/>
          <w:bCs/>
        </w:rPr>
        <w:t>3.7.3 Sampling Procedure for Small Retailers</w:t>
      </w:r>
    </w:p>
    <w:p w14:paraId="2026C6A5" w14:textId="53C37B0E" w:rsidR="00E05470" w:rsidRPr="00E05470" w:rsidRDefault="00E05470" w:rsidP="000B1DAD">
      <w:pPr>
        <w:spacing w:line="360" w:lineRule="auto"/>
        <w:jc w:val="both"/>
        <w:rPr>
          <w:rFonts w:ascii="Times New Roman" w:hAnsi="Times New Roman" w:cs="Times New Roman"/>
        </w:rPr>
      </w:pPr>
      <w:r w:rsidRPr="00E05470">
        <w:rPr>
          <w:rFonts w:ascii="Times New Roman" w:hAnsi="Times New Roman" w:cs="Times New Roman"/>
        </w:rPr>
        <w:t>A disproportionate stratified sampling procedure was adopted for the 6,426 small retailers. The sample size was determined using the Taro Yamane formula at a 5% margin of error, resulting in approximately 377 respondents. This was rounded to 380 retailers to ensure adequate representation of smaller retail categories.</w:t>
      </w:r>
    </w:p>
    <w:p w14:paraId="4E2165A5" w14:textId="532DD3E4"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The final allocation was:</w:t>
      </w:r>
    </w:p>
    <w:tbl>
      <w:tblPr>
        <w:tblW w:w="5920" w:type="dxa"/>
        <w:jc w:val="center"/>
        <w:tblLook w:val="04A0" w:firstRow="1" w:lastRow="0" w:firstColumn="1" w:lastColumn="0" w:noHBand="0" w:noVBand="1"/>
      </w:tblPr>
      <w:tblGrid>
        <w:gridCol w:w="2260"/>
        <w:gridCol w:w="2140"/>
        <w:gridCol w:w="1520"/>
      </w:tblGrid>
      <w:tr w:rsidR="00E05470" w:rsidRPr="00E05470" w14:paraId="60E89E2C" w14:textId="77777777" w:rsidTr="00E05470">
        <w:trPr>
          <w:trHeight w:val="312"/>
          <w:jc w:val="center"/>
        </w:trPr>
        <w:tc>
          <w:tcPr>
            <w:tcW w:w="2260" w:type="dxa"/>
            <w:tcBorders>
              <w:top w:val="single" w:sz="4" w:space="0" w:color="auto"/>
              <w:left w:val="single" w:sz="4" w:space="0" w:color="auto"/>
              <w:bottom w:val="single" w:sz="4" w:space="0" w:color="auto"/>
              <w:right w:val="single" w:sz="4" w:space="0" w:color="auto"/>
            </w:tcBorders>
            <w:vAlign w:val="center"/>
            <w:hideMark/>
          </w:tcPr>
          <w:p w14:paraId="4BB3C0E0"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Retailer Type</w:t>
            </w:r>
          </w:p>
        </w:tc>
        <w:tc>
          <w:tcPr>
            <w:tcW w:w="2140" w:type="dxa"/>
            <w:tcBorders>
              <w:top w:val="single" w:sz="4" w:space="0" w:color="auto"/>
              <w:left w:val="nil"/>
              <w:bottom w:val="single" w:sz="4" w:space="0" w:color="auto"/>
              <w:right w:val="single" w:sz="4" w:space="0" w:color="auto"/>
            </w:tcBorders>
            <w:vAlign w:val="center"/>
            <w:hideMark/>
          </w:tcPr>
          <w:p w14:paraId="49FB34BB"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Population</w:t>
            </w:r>
          </w:p>
        </w:tc>
        <w:tc>
          <w:tcPr>
            <w:tcW w:w="1520" w:type="dxa"/>
            <w:tcBorders>
              <w:top w:val="single" w:sz="4" w:space="0" w:color="auto"/>
              <w:left w:val="nil"/>
              <w:bottom w:val="single" w:sz="4" w:space="0" w:color="auto"/>
              <w:right w:val="single" w:sz="4" w:space="0" w:color="auto"/>
            </w:tcBorders>
            <w:vAlign w:val="center"/>
            <w:hideMark/>
          </w:tcPr>
          <w:p w14:paraId="4522BE3A"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Sample</w:t>
            </w:r>
          </w:p>
        </w:tc>
      </w:tr>
      <w:tr w:rsidR="00E05470" w:rsidRPr="00E05470" w14:paraId="4F55443B" w14:textId="77777777" w:rsidTr="00E05470">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5708D56D"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Grocery</w:t>
            </w:r>
          </w:p>
        </w:tc>
        <w:tc>
          <w:tcPr>
            <w:tcW w:w="2140" w:type="dxa"/>
            <w:tcBorders>
              <w:top w:val="nil"/>
              <w:left w:val="nil"/>
              <w:bottom w:val="single" w:sz="4" w:space="0" w:color="auto"/>
              <w:right w:val="single" w:sz="4" w:space="0" w:color="auto"/>
            </w:tcBorders>
            <w:vAlign w:val="center"/>
            <w:hideMark/>
          </w:tcPr>
          <w:p w14:paraId="08F08F77"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3,233</w:t>
            </w:r>
          </w:p>
        </w:tc>
        <w:tc>
          <w:tcPr>
            <w:tcW w:w="1520" w:type="dxa"/>
            <w:tcBorders>
              <w:top w:val="nil"/>
              <w:left w:val="nil"/>
              <w:bottom w:val="single" w:sz="4" w:space="0" w:color="auto"/>
              <w:right w:val="single" w:sz="4" w:space="0" w:color="auto"/>
            </w:tcBorders>
            <w:vAlign w:val="center"/>
            <w:hideMark/>
          </w:tcPr>
          <w:p w14:paraId="0FBC8C0B"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128</w:t>
            </w:r>
          </w:p>
        </w:tc>
      </w:tr>
      <w:tr w:rsidR="00E05470" w:rsidRPr="00E05470" w14:paraId="0ACE612E" w14:textId="77777777" w:rsidTr="00E05470">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15277B28"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Stationery</w:t>
            </w:r>
          </w:p>
        </w:tc>
        <w:tc>
          <w:tcPr>
            <w:tcW w:w="2140" w:type="dxa"/>
            <w:tcBorders>
              <w:top w:val="nil"/>
              <w:left w:val="nil"/>
              <w:bottom w:val="single" w:sz="4" w:space="0" w:color="auto"/>
              <w:right w:val="single" w:sz="4" w:space="0" w:color="auto"/>
            </w:tcBorders>
            <w:vAlign w:val="center"/>
            <w:hideMark/>
          </w:tcPr>
          <w:p w14:paraId="26AC5A57"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171</w:t>
            </w:r>
          </w:p>
        </w:tc>
        <w:tc>
          <w:tcPr>
            <w:tcW w:w="1520" w:type="dxa"/>
            <w:tcBorders>
              <w:top w:val="nil"/>
              <w:left w:val="nil"/>
              <w:bottom w:val="single" w:sz="4" w:space="0" w:color="auto"/>
              <w:right w:val="single" w:sz="4" w:space="0" w:color="auto"/>
            </w:tcBorders>
            <w:vAlign w:val="center"/>
            <w:hideMark/>
          </w:tcPr>
          <w:p w14:paraId="3D1286E9"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30</w:t>
            </w:r>
          </w:p>
        </w:tc>
      </w:tr>
      <w:tr w:rsidR="00E05470" w:rsidRPr="00E05470" w14:paraId="354D53B2" w14:textId="77777777" w:rsidTr="00E05470">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2A72CE98"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Apparel</w:t>
            </w:r>
          </w:p>
        </w:tc>
        <w:tc>
          <w:tcPr>
            <w:tcW w:w="2140" w:type="dxa"/>
            <w:tcBorders>
              <w:top w:val="nil"/>
              <w:left w:val="nil"/>
              <w:bottom w:val="single" w:sz="4" w:space="0" w:color="auto"/>
              <w:right w:val="single" w:sz="4" w:space="0" w:color="auto"/>
            </w:tcBorders>
            <w:vAlign w:val="center"/>
            <w:hideMark/>
          </w:tcPr>
          <w:p w14:paraId="116C6F7E"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1,036</w:t>
            </w:r>
          </w:p>
        </w:tc>
        <w:tc>
          <w:tcPr>
            <w:tcW w:w="1520" w:type="dxa"/>
            <w:tcBorders>
              <w:top w:val="nil"/>
              <w:left w:val="nil"/>
              <w:bottom w:val="single" w:sz="4" w:space="0" w:color="auto"/>
              <w:right w:val="single" w:sz="4" w:space="0" w:color="auto"/>
            </w:tcBorders>
            <w:vAlign w:val="center"/>
            <w:hideMark/>
          </w:tcPr>
          <w:p w14:paraId="07FDF930"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58</w:t>
            </w:r>
          </w:p>
        </w:tc>
      </w:tr>
      <w:tr w:rsidR="00E05470" w:rsidRPr="00E05470" w14:paraId="3FC7C8DA" w14:textId="77777777" w:rsidTr="00E05470">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7290A269"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Kitchen Essentials</w:t>
            </w:r>
          </w:p>
        </w:tc>
        <w:tc>
          <w:tcPr>
            <w:tcW w:w="2140" w:type="dxa"/>
            <w:tcBorders>
              <w:top w:val="nil"/>
              <w:left w:val="nil"/>
              <w:bottom w:val="single" w:sz="4" w:space="0" w:color="auto"/>
              <w:right w:val="single" w:sz="4" w:space="0" w:color="auto"/>
            </w:tcBorders>
            <w:vAlign w:val="center"/>
            <w:hideMark/>
          </w:tcPr>
          <w:p w14:paraId="31B392AD"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176</w:t>
            </w:r>
          </w:p>
        </w:tc>
        <w:tc>
          <w:tcPr>
            <w:tcW w:w="1520" w:type="dxa"/>
            <w:tcBorders>
              <w:top w:val="nil"/>
              <w:left w:val="nil"/>
              <w:bottom w:val="single" w:sz="4" w:space="0" w:color="auto"/>
              <w:right w:val="single" w:sz="4" w:space="0" w:color="auto"/>
            </w:tcBorders>
            <w:vAlign w:val="center"/>
            <w:hideMark/>
          </w:tcPr>
          <w:p w14:paraId="510ECC7D"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31</w:t>
            </w:r>
          </w:p>
        </w:tc>
      </w:tr>
      <w:tr w:rsidR="00E05470" w:rsidRPr="00E05470" w14:paraId="7A95C52E" w14:textId="77777777" w:rsidTr="00E05470">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6E712D2F"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Electronic</w:t>
            </w:r>
          </w:p>
        </w:tc>
        <w:tc>
          <w:tcPr>
            <w:tcW w:w="2140" w:type="dxa"/>
            <w:tcBorders>
              <w:top w:val="nil"/>
              <w:left w:val="nil"/>
              <w:bottom w:val="single" w:sz="4" w:space="0" w:color="auto"/>
              <w:right w:val="single" w:sz="4" w:space="0" w:color="auto"/>
            </w:tcBorders>
            <w:vAlign w:val="center"/>
            <w:hideMark/>
          </w:tcPr>
          <w:p w14:paraId="06DF43B0"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1,355</w:t>
            </w:r>
          </w:p>
        </w:tc>
        <w:tc>
          <w:tcPr>
            <w:tcW w:w="1520" w:type="dxa"/>
            <w:tcBorders>
              <w:top w:val="nil"/>
              <w:left w:val="nil"/>
              <w:bottom w:val="single" w:sz="4" w:space="0" w:color="auto"/>
              <w:right w:val="single" w:sz="4" w:space="0" w:color="auto"/>
            </w:tcBorders>
            <w:vAlign w:val="center"/>
            <w:hideMark/>
          </w:tcPr>
          <w:p w14:paraId="3E3461B9"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68</w:t>
            </w:r>
          </w:p>
        </w:tc>
      </w:tr>
      <w:tr w:rsidR="00E05470" w:rsidRPr="00E05470" w14:paraId="500469E1" w14:textId="77777777" w:rsidTr="00E05470">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5EBA60C8"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Kids/Gift</w:t>
            </w:r>
          </w:p>
        </w:tc>
        <w:tc>
          <w:tcPr>
            <w:tcW w:w="2140" w:type="dxa"/>
            <w:tcBorders>
              <w:top w:val="nil"/>
              <w:left w:val="nil"/>
              <w:bottom w:val="single" w:sz="4" w:space="0" w:color="auto"/>
              <w:right w:val="single" w:sz="4" w:space="0" w:color="auto"/>
            </w:tcBorders>
            <w:vAlign w:val="center"/>
            <w:hideMark/>
          </w:tcPr>
          <w:p w14:paraId="2F1FC83A"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208</w:t>
            </w:r>
          </w:p>
        </w:tc>
        <w:tc>
          <w:tcPr>
            <w:tcW w:w="1520" w:type="dxa"/>
            <w:tcBorders>
              <w:top w:val="nil"/>
              <w:left w:val="nil"/>
              <w:bottom w:val="single" w:sz="4" w:space="0" w:color="auto"/>
              <w:right w:val="single" w:sz="4" w:space="0" w:color="auto"/>
            </w:tcBorders>
            <w:vAlign w:val="center"/>
            <w:hideMark/>
          </w:tcPr>
          <w:p w14:paraId="71511E4D"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32</w:t>
            </w:r>
          </w:p>
        </w:tc>
      </w:tr>
      <w:tr w:rsidR="00E05470" w:rsidRPr="00E05470" w14:paraId="67BBA3A4" w14:textId="77777777" w:rsidTr="00E05470">
        <w:trPr>
          <w:trHeight w:val="624"/>
          <w:jc w:val="center"/>
        </w:trPr>
        <w:tc>
          <w:tcPr>
            <w:tcW w:w="2260" w:type="dxa"/>
            <w:tcBorders>
              <w:top w:val="nil"/>
              <w:left w:val="single" w:sz="4" w:space="0" w:color="auto"/>
              <w:bottom w:val="single" w:sz="4" w:space="0" w:color="auto"/>
              <w:right w:val="single" w:sz="4" w:space="0" w:color="auto"/>
            </w:tcBorders>
            <w:vAlign w:val="center"/>
            <w:hideMark/>
          </w:tcPr>
          <w:p w14:paraId="545ECAF5"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lastRenderedPageBreak/>
              <w:t>General Merchant/Cosmetic</w:t>
            </w:r>
          </w:p>
        </w:tc>
        <w:tc>
          <w:tcPr>
            <w:tcW w:w="2140" w:type="dxa"/>
            <w:tcBorders>
              <w:top w:val="nil"/>
              <w:left w:val="nil"/>
              <w:bottom w:val="single" w:sz="4" w:space="0" w:color="auto"/>
              <w:right w:val="single" w:sz="4" w:space="0" w:color="auto"/>
            </w:tcBorders>
            <w:vAlign w:val="center"/>
            <w:hideMark/>
          </w:tcPr>
          <w:p w14:paraId="539CFA43"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247</w:t>
            </w:r>
          </w:p>
        </w:tc>
        <w:tc>
          <w:tcPr>
            <w:tcW w:w="1520" w:type="dxa"/>
            <w:tcBorders>
              <w:top w:val="nil"/>
              <w:left w:val="nil"/>
              <w:bottom w:val="single" w:sz="4" w:space="0" w:color="auto"/>
              <w:right w:val="single" w:sz="4" w:space="0" w:color="auto"/>
            </w:tcBorders>
            <w:vAlign w:val="center"/>
            <w:hideMark/>
          </w:tcPr>
          <w:p w14:paraId="4839AD56"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33</w:t>
            </w:r>
          </w:p>
        </w:tc>
      </w:tr>
      <w:tr w:rsidR="00E05470" w:rsidRPr="00E05470" w14:paraId="3EB48EA2" w14:textId="77777777" w:rsidTr="00E05470">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2481BDE5"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Total</w:t>
            </w:r>
          </w:p>
        </w:tc>
        <w:tc>
          <w:tcPr>
            <w:tcW w:w="2140" w:type="dxa"/>
            <w:tcBorders>
              <w:top w:val="nil"/>
              <w:left w:val="nil"/>
              <w:bottom w:val="single" w:sz="4" w:space="0" w:color="auto"/>
              <w:right w:val="single" w:sz="4" w:space="0" w:color="auto"/>
            </w:tcBorders>
            <w:vAlign w:val="center"/>
            <w:hideMark/>
          </w:tcPr>
          <w:p w14:paraId="205EC293"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6,426</w:t>
            </w:r>
          </w:p>
        </w:tc>
        <w:tc>
          <w:tcPr>
            <w:tcW w:w="1520" w:type="dxa"/>
            <w:tcBorders>
              <w:top w:val="nil"/>
              <w:left w:val="nil"/>
              <w:bottom w:val="single" w:sz="4" w:space="0" w:color="auto"/>
              <w:right w:val="single" w:sz="4" w:space="0" w:color="auto"/>
            </w:tcBorders>
            <w:vAlign w:val="center"/>
            <w:hideMark/>
          </w:tcPr>
          <w:p w14:paraId="6E5B46B5"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380</w:t>
            </w:r>
          </w:p>
        </w:tc>
      </w:tr>
    </w:tbl>
    <w:p w14:paraId="6E87F255" w14:textId="77777777" w:rsidR="00E05470" w:rsidRDefault="00E05470" w:rsidP="000B1DAD">
      <w:pPr>
        <w:spacing w:line="360" w:lineRule="auto"/>
        <w:jc w:val="both"/>
        <w:rPr>
          <w:rFonts w:ascii="Times New Roman" w:hAnsi="Times New Roman" w:cs="Times New Roman"/>
        </w:rPr>
      </w:pPr>
    </w:p>
    <w:p w14:paraId="5BC48F51" w14:textId="6D4E43B2"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This allocation ensured representation of both large and relatively small retailer categories.</w:t>
      </w:r>
    </w:p>
    <w:p w14:paraId="1EBAFC8E"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t>3.7.4 Sampling Procedure for Consumers</w:t>
      </w:r>
    </w:p>
    <w:p w14:paraId="06779D2B"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The consumer sample was selected from the </w:t>
      </w:r>
      <w:r w:rsidRPr="000B1DAD">
        <w:rPr>
          <w:rFonts w:ascii="Times New Roman" w:hAnsi="Times New Roman" w:cs="Times New Roman"/>
          <w:b/>
          <w:bCs/>
        </w:rPr>
        <w:t>22,825 households</w:t>
      </w:r>
      <w:r w:rsidRPr="000B1DAD">
        <w:rPr>
          <w:rFonts w:ascii="Times New Roman" w:hAnsi="Times New Roman" w:cs="Times New Roman"/>
        </w:rPr>
        <w:t xml:space="preserve"> in the three selected locations. Using the Taro Yamane formula with a 5% margin of error, the final sample was fixed at </w:t>
      </w:r>
      <w:r w:rsidRPr="000B1DAD">
        <w:rPr>
          <w:rFonts w:ascii="Times New Roman" w:hAnsi="Times New Roman" w:cs="Times New Roman"/>
          <w:b/>
          <w:bCs/>
        </w:rPr>
        <w:t>393 consumers</w:t>
      </w:r>
      <w:r w:rsidRPr="000B1DAD">
        <w:rPr>
          <w:rFonts w:ascii="Times New Roman" w:hAnsi="Times New Roman" w:cs="Times New Roman"/>
        </w:rPr>
        <w:t>. The sample was proportionately distributed according to household population.</w:t>
      </w:r>
    </w:p>
    <w:tbl>
      <w:tblPr>
        <w:tblW w:w="7500" w:type="dxa"/>
        <w:tblLook w:val="04A0" w:firstRow="1" w:lastRow="0" w:firstColumn="1" w:lastColumn="0" w:noHBand="0" w:noVBand="1"/>
      </w:tblPr>
      <w:tblGrid>
        <w:gridCol w:w="2260"/>
        <w:gridCol w:w="2140"/>
        <w:gridCol w:w="1520"/>
        <w:gridCol w:w="1580"/>
      </w:tblGrid>
      <w:tr w:rsidR="00E05470" w:rsidRPr="00E05470" w14:paraId="1B42BADA" w14:textId="77777777" w:rsidTr="00E05470">
        <w:trPr>
          <w:trHeight w:val="312"/>
        </w:trPr>
        <w:tc>
          <w:tcPr>
            <w:tcW w:w="2260" w:type="dxa"/>
            <w:tcBorders>
              <w:top w:val="single" w:sz="4" w:space="0" w:color="auto"/>
              <w:left w:val="single" w:sz="4" w:space="0" w:color="auto"/>
              <w:bottom w:val="single" w:sz="4" w:space="0" w:color="auto"/>
              <w:right w:val="single" w:sz="4" w:space="0" w:color="auto"/>
            </w:tcBorders>
            <w:vAlign w:val="center"/>
            <w:hideMark/>
          </w:tcPr>
          <w:p w14:paraId="1C30A3A2"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Location</w:t>
            </w:r>
          </w:p>
        </w:tc>
        <w:tc>
          <w:tcPr>
            <w:tcW w:w="2140" w:type="dxa"/>
            <w:tcBorders>
              <w:top w:val="single" w:sz="4" w:space="0" w:color="auto"/>
              <w:left w:val="nil"/>
              <w:bottom w:val="single" w:sz="4" w:space="0" w:color="auto"/>
              <w:right w:val="single" w:sz="4" w:space="0" w:color="auto"/>
            </w:tcBorders>
            <w:vAlign w:val="center"/>
            <w:hideMark/>
          </w:tcPr>
          <w:p w14:paraId="11025213"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Households</w:t>
            </w:r>
          </w:p>
        </w:tc>
        <w:tc>
          <w:tcPr>
            <w:tcW w:w="1520" w:type="dxa"/>
            <w:tcBorders>
              <w:top w:val="single" w:sz="4" w:space="0" w:color="auto"/>
              <w:left w:val="nil"/>
              <w:bottom w:val="single" w:sz="4" w:space="0" w:color="auto"/>
              <w:right w:val="single" w:sz="4" w:space="0" w:color="auto"/>
            </w:tcBorders>
            <w:vAlign w:val="center"/>
            <w:hideMark/>
          </w:tcPr>
          <w:p w14:paraId="21135CAD"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Percentage</w:t>
            </w:r>
          </w:p>
        </w:tc>
        <w:tc>
          <w:tcPr>
            <w:tcW w:w="1580" w:type="dxa"/>
            <w:tcBorders>
              <w:top w:val="single" w:sz="4" w:space="0" w:color="auto"/>
              <w:left w:val="nil"/>
              <w:bottom w:val="single" w:sz="4" w:space="0" w:color="auto"/>
              <w:right w:val="single" w:sz="4" w:space="0" w:color="auto"/>
            </w:tcBorders>
            <w:vAlign w:val="center"/>
            <w:hideMark/>
          </w:tcPr>
          <w:p w14:paraId="7ED70E0B"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Sample</w:t>
            </w:r>
          </w:p>
        </w:tc>
      </w:tr>
      <w:tr w:rsidR="00E05470" w:rsidRPr="00E05470" w14:paraId="6973C745" w14:textId="77777777" w:rsidTr="00E05470">
        <w:trPr>
          <w:trHeight w:val="312"/>
        </w:trPr>
        <w:tc>
          <w:tcPr>
            <w:tcW w:w="2260" w:type="dxa"/>
            <w:tcBorders>
              <w:top w:val="nil"/>
              <w:left w:val="single" w:sz="4" w:space="0" w:color="auto"/>
              <w:bottom w:val="single" w:sz="4" w:space="0" w:color="auto"/>
              <w:right w:val="single" w:sz="4" w:space="0" w:color="auto"/>
            </w:tcBorders>
            <w:vAlign w:val="center"/>
            <w:hideMark/>
          </w:tcPr>
          <w:p w14:paraId="6A07049A"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Itanagar</w:t>
            </w:r>
          </w:p>
        </w:tc>
        <w:tc>
          <w:tcPr>
            <w:tcW w:w="2140" w:type="dxa"/>
            <w:tcBorders>
              <w:top w:val="nil"/>
              <w:left w:val="nil"/>
              <w:bottom w:val="single" w:sz="4" w:space="0" w:color="auto"/>
              <w:right w:val="single" w:sz="4" w:space="0" w:color="auto"/>
            </w:tcBorders>
            <w:vAlign w:val="center"/>
            <w:hideMark/>
          </w:tcPr>
          <w:p w14:paraId="2A4865C2"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13,465</w:t>
            </w:r>
          </w:p>
        </w:tc>
        <w:tc>
          <w:tcPr>
            <w:tcW w:w="1520" w:type="dxa"/>
            <w:tcBorders>
              <w:top w:val="nil"/>
              <w:left w:val="nil"/>
              <w:bottom w:val="single" w:sz="4" w:space="0" w:color="auto"/>
              <w:right w:val="single" w:sz="4" w:space="0" w:color="auto"/>
            </w:tcBorders>
            <w:vAlign w:val="center"/>
            <w:hideMark/>
          </w:tcPr>
          <w:p w14:paraId="367486D7"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58.99%</w:t>
            </w:r>
          </w:p>
        </w:tc>
        <w:tc>
          <w:tcPr>
            <w:tcW w:w="1580" w:type="dxa"/>
            <w:tcBorders>
              <w:top w:val="nil"/>
              <w:left w:val="nil"/>
              <w:bottom w:val="single" w:sz="4" w:space="0" w:color="auto"/>
              <w:right w:val="single" w:sz="4" w:space="0" w:color="auto"/>
            </w:tcBorders>
            <w:vAlign w:val="center"/>
            <w:hideMark/>
          </w:tcPr>
          <w:p w14:paraId="2F65A4E6"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232</w:t>
            </w:r>
          </w:p>
        </w:tc>
      </w:tr>
      <w:tr w:rsidR="00E05470" w:rsidRPr="00E05470" w14:paraId="792E6F1E" w14:textId="77777777" w:rsidTr="00E05470">
        <w:trPr>
          <w:trHeight w:val="312"/>
        </w:trPr>
        <w:tc>
          <w:tcPr>
            <w:tcW w:w="2260" w:type="dxa"/>
            <w:tcBorders>
              <w:top w:val="nil"/>
              <w:left w:val="single" w:sz="4" w:space="0" w:color="auto"/>
              <w:bottom w:val="single" w:sz="4" w:space="0" w:color="auto"/>
              <w:right w:val="single" w:sz="4" w:space="0" w:color="auto"/>
            </w:tcBorders>
            <w:vAlign w:val="center"/>
            <w:hideMark/>
          </w:tcPr>
          <w:p w14:paraId="19B0995B"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E05470">
              <w:rPr>
                <w:rFonts w:ascii="Times New Roman" w:eastAsia="Times New Roman" w:hAnsi="Times New Roman" w:cs="Times New Roman"/>
                <w:color w:val="000000"/>
                <w:kern w:val="0"/>
                <w:lang w:eastAsia="en-IN"/>
                <w14:ligatures w14:val="none"/>
              </w:rPr>
              <w:t>Naharlagun</w:t>
            </w:r>
            <w:proofErr w:type="spellEnd"/>
          </w:p>
        </w:tc>
        <w:tc>
          <w:tcPr>
            <w:tcW w:w="2140" w:type="dxa"/>
            <w:tcBorders>
              <w:top w:val="nil"/>
              <w:left w:val="nil"/>
              <w:bottom w:val="single" w:sz="4" w:space="0" w:color="auto"/>
              <w:right w:val="single" w:sz="4" w:space="0" w:color="auto"/>
            </w:tcBorders>
            <w:vAlign w:val="center"/>
            <w:hideMark/>
          </w:tcPr>
          <w:p w14:paraId="26F7F221"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7,735</w:t>
            </w:r>
          </w:p>
        </w:tc>
        <w:tc>
          <w:tcPr>
            <w:tcW w:w="1520" w:type="dxa"/>
            <w:tcBorders>
              <w:top w:val="nil"/>
              <w:left w:val="nil"/>
              <w:bottom w:val="single" w:sz="4" w:space="0" w:color="auto"/>
              <w:right w:val="single" w:sz="4" w:space="0" w:color="auto"/>
            </w:tcBorders>
            <w:vAlign w:val="center"/>
            <w:hideMark/>
          </w:tcPr>
          <w:p w14:paraId="1110AD10"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33.89%</w:t>
            </w:r>
          </w:p>
        </w:tc>
        <w:tc>
          <w:tcPr>
            <w:tcW w:w="1580" w:type="dxa"/>
            <w:tcBorders>
              <w:top w:val="nil"/>
              <w:left w:val="nil"/>
              <w:bottom w:val="single" w:sz="4" w:space="0" w:color="auto"/>
              <w:right w:val="single" w:sz="4" w:space="0" w:color="auto"/>
            </w:tcBorders>
            <w:vAlign w:val="center"/>
            <w:hideMark/>
          </w:tcPr>
          <w:p w14:paraId="47CC06D2"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133</w:t>
            </w:r>
          </w:p>
        </w:tc>
      </w:tr>
      <w:tr w:rsidR="00E05470" w:rsidRPr="00E05470" w14:paraId="7B8DCBFE" w14:textId="77777777" w:rsidTr="00E05470">
        <w:trPr>
          <w:trHeight w:val="312"/>
        </w:trPr>
        <w:tc>
          <w:tcPr>
            <w:tcW w:w="2260" w:type="dxa"/>
            <w:tcBorders>
              <w:top w:val="nil"/>
              <w:left w:val="single" w:sz="4" w:space="0" w:color="auto"/>
              <w:bottom w:val="single" w:sz="4" w:space="0" w:color="auto"/>
              <w:right w:val="single" w:sz="4" w:space="0" w:color="auto"/>
            </w:tcBorders>
            <w:vAlign w:val="center"/>
            <w:hideMark/>
          </w:tcPr>
          <w:p w14:paraId="0569C105"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E05470">
              <w:rPr>
                <w:rFonts w:ascii="Times New Roman" w:eastAsia="Times New Roman" w:hAnsi="Times New Roman" w:cs="Times New Roman"/>
                <w:color w:val="000000"/>
                <w:kern w:val="0"/>
                <w:lang w:eastAsia="en-IN"/>
                <w14:ligatures w14:val="none"/>
              </w:rPr>
              <w:t>Banderdewa</w:t>
            </w:r>
            <w:proofErr w:type="spellEnd"/>
          </w:p>
        </w:tc>
        <w:tc>
          <w:tcPr>
            <w:tcW w:w="2140" w:type="dxa"/>
            <w:tcBorders>
              <w:top w:val="nil"/>
              <w:left w:val="nil"/>
              <w:bottom w:val="single" w:sz="4" w:space="0" w:color="auto"/>
              <w:right w:val="single" w:sz="4" w:space="0" w:color="auto"/>
            </w:tcBorders>
            <w:vAlign w:val="center"/>
            <w:hideMark/>
          </w:tcPr>
          <w:p w14:paraId="451E9EAE"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1,625</w:t>
            </w:r>
          </w:p>
        </w:tc>
        <w:tc>
          <w:tcPr>
            <w:tcW w:w="1520" w:type="dxa"/>
            <w:tcBorders>
              <w:top w:val="nil"/>
              <w:left w:val="nil"/>
              <w:bottom w:val="single" w:sz="4" w:space="0" w:color="auto"/>
              <w:right w:val="single" w:sz="4" w:space="0" w:color="auto"/>
            </w:tcBorders>
            <w:vAlign w:val="center"/>
            <w:hideMark/>
          </w:tcPr>
          <w:p w14:paraId="42BA4616"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7.12%</w:t>
            </w:r>
          </w:p>
        </w:tc>
        <w:tc>
          <w:tcPr>
            <w:tcW w:w="1580" w:type="dxa"/>
            <w:tcBorders>
              <w:top w:val="nil"/>
              <w:left w:val="nil"/>
              <w:bottom w:val="single" w:sz="4" w:space="0" w:color="auto"/>
              <w:right w:val="single" w:sz="4" w:space="0" w:color="auto"/>
            </w:tcBorders>
            <w:vAlign w:val="center"/>
            <w:hideMark/>
          </w:tcPr>
          <w:p w14:paraId="7F1FA1C4" w14:textId="77777777" w:rsidR="00E05470" w:rsidRPr="00E05470" w:rsidRDefault="00E05470" w:rsidP="00E05470">
            <w:pPr>
              <w:spacing w:after="0" w:line="240" w:lineRule="auto"/>
              <w:jc w:val="center"/>
              <w:rPr>
                <w:rFonts w:ascii="Times New Roman" w:eastAsia="Times New Roman" w:hAnsi="Times New Roman" w:cs="Times New Roman"/>
                <w:color w:val="000000"/>
                <w:kern w:val="0"/>
                <w:lang w:eastAsia="en-IN"/>
                <w14:ligatures w14:val="none"/>
              </w:rPr>
            </w:pPr>
            <w:r w:rsidRPr="00E05470">
              <w:rPr>
                <w:rFonts w:ascii="Times New Roman" w:eastAsia="Times New Roman" w:hAnsi="Times New Roman" w:cs="Times New Roman"/>
                <w:color w:val="000000"/>
                <w:kern w:val="0"/>
                <w:lang w:eastAsia="en-IN"/>
                <w14:ligatures w14:val="none"/>
              </w:rPr>
              <w:t>28</w:t>
            </w:r>
          </w:p>
        </w:tc>
      </w:tr>
      <w:tr w:rsidR="00E05470" w:rsidRPr="00E05470" w14:paraId="380E74FB" w14:textId="77777777" w:rsidTr="00E05470">
        <w:trPr>
          <w:trHeight w:val="312"/>
        </w:trPr>
        <w:tc>
          <w:tcPr>
            <w:tcW w:w="2260" w:type="dxa"/>
            <w:tcBorders>
              <w:top w:val="nil"/>
              <w:left w:val="single" w:sz="4" w:space="0" w:color="auto"/>
              <w:bottom w:val="single" w:sz="4" w:space="0" w:color="auto"/>
              <w:right w:val="single" w:sz="4" w:space="0" w:color="auto"/>
            </w:tcBorders>
            <w:vAlign w:val="center"/>
            <w:hideMark/>
          </w:tcPr>
          <w:p w14:paraId="09D7CFC7"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Total</w:t>
            </w:r>
          </w:p>
        </w:tc>
        <w:tc>
          <w:tcPr>
            <w:tcW w:w="2140" w:type="dxa"/>
            <w:tcBorders>
              <w:top w:val="nil"/>
              <w:left w:val="nil"/>
              <w:bottom w:val="single" w:sz="4" w:space="0" w:color="auto"/>
              <w:right w:val="single" w:sz="4" w:space="0" w:color="auto"/>
            </w:tcBorders>
            <w:vAlign w:val="center"/>
            <w:hideMark/>
          </w:tcPr>
          <w:p w14:paraId="374ACC8D"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22,825</w:t>
            </w:r>
          </w:p>
        </w:tc>
        <w:tc>
          <w:tcPr>
            <w:tcW w:w="1520" w:type="dxa"/>
            <w:tcBorders>
              <w:top w:val="nil"/>
              <w:left w:val="nil"/>
              <w:bottom w:val="single" w:sz="4" w:space="0" w:color="auto"/>
              <w:right w:val="single" w:sz="4" w:space="0" w:color="auto"/>
            </w:tcBorders>
            <w:vAlign w:val="center"/>
            <w:hideMark/>
          </w:tcPr>
          <w:p w14:paraId="4B960D19"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100%</w:t>
            </w:r>
          </w:p>
        </w:tc>
        <w:tc>
          <w:tcPr>
            <w:tcW w:w="1580" w:type="dxa"/>
            <w:tcBorders>
              <w:top w:val="nil"/>
              <w:left w:val="nil"/>
              <w:bottom w:val="single" w:sz="4" w:space="0" w:color="auto"/>
              <w:right w:val="single" w:sz="4" w:space="0" w:color="auto"/>
            </w:tcBorders>
            <w:vAlign w:val="center"/>
            <w:hideMark/>
          </w:tcPr>
          <w:p w14:paraId="568143AF" w14:textId="77777777" w:rsidR="00E05470" w:rsidRPr="00E05470" w:rsidRDefault="00E05470" w:rsidP="00E05470">
            <w:pPr>
              <w:spacing w:after="0" w:line="240" w:lineRule="auto"/>
              <w:jc w:val="center"/>
              <w:rPr>
                <w:rFonts w:ascii="Times New Roman" w:eastAsia="Times New Roman" w:hAnsi="Times New Roman" w:cs="Times New Roman"/>
                <w:b/>
                <w:bCs/>
                <w:color w:val="000000"/>
                <w:kern w:val="0"/>
                <w:lang w:eastAsia="en-IN"/>
                <w14:ligatures w14:val="none"/>
              </w:rPr>
            </w:pPr>
            <w:r w:rsidRPr="00E05470">
              <w:rPr>
                <w:rFonts w:ascii="Times New Roman" w:eastAsia="Times New Roman" w:hAnsi="Times New Roman" w:cs="Times New Roman"/>
                <w:b/>
                <w:bCs/>
                <w:color w:val="000000"/>
                <w:kern w:val="0"/>
                <w:lang w:eastAsia="en-IN"/>
                <w14:ligatures w14:val="none"/>
              </w:rPr>
              <w:t>393</w:t>
            </w:r>
          </w:p>
        </w:tc>
      </w:tr>
    </w:tbl>
    <w:p w14:paraId="4F3A4178" w14:textId="14BDB92A" w:rsidR="000B1DAD" w:rsidRPr="000B1DAD" w:rsidRDefault="000B1DAD" w:rsidP="000B1DAD">
      <w:pPr>
        <w:spacing w:line="360" w:lineRule="auto"/>
        <w:jc w:val="both"/>
        <w:rPr>
          <w:rFonts w:ascii="Times New Roman" w:hAnsi="Times New Roman" w:cs="Times New Roman"/>
        </w:rPr>
      </w:pPr>
    </w:p>
    <w:p w14:paraId="08EE6A6B"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t>3.8 Determination of Sample Size</w:t>
      </w:r>
    </w:p>
    <w:p w14:paraId="3D754BD6"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Sample size was determined separately for small retailers and consumers because their population sizes and characteristics differed. The </w:t>
      </w:r>
      <w:r w:rsidRPr="000B1DAD">
        <w:rPr>
          <w:rFonts w:ascii="Times New Roman" w:hAnsi="Times New Roman" w:cs="Times New Roman"/>
          <w:b/>
          <w:bCs/>
        </w:rPr>
        <w:t>Taro Yamane formula</w:t>
      </w:r>
      <w:r w:rsidRPr="000B1DAD">
        <w:rPr>
          <w:rFonts w:ascii="Times New Roman" w:hAnsi="Times New Roman" w:cs="Times New Roman"/>
        </w:rPr>
        <w:t xml:space="preserve"> was applied using a </w:t>
      </w:r>
      <w:r w:rsidRPr="000B1DAD">
        <w:rPr>
          <w:rFonts w:ascii="Times New Roman" w:hAnsi="Times New Roman" w:cs="Times New Roman"/>
          <w:b/>
          <w:bCs/>
        </w:rPr>
        <w:t>5% margin of error</w:t>
      </w:r>
      <w:r w:rsidRPr="000B1DAD">
        <w:rPr>
          <w:rFonts w:ascii="Times New Roman" w:hAnsi="Times New Roman" w:cs="Times New Roman"/>
        </w:rPr>
        <w:t xml:space="preserve">. The final sample consisted of </w:t>
      </w:r>
      <w:r w:rsidRPr="000B1DAD">
        <w:rPr>
          <w:rFonts w:ascii="Times New Roman" w:hAnsi="Times New Roman" w:cs="Times New Roman"/>
          <w:b/>
          <w:bCs/>
        </w:rPr>
        <w:t>380 small retailers and 393 consumers</w:t>
      </w:r>
      <w:r w:rsidRPr="000B1DAD">
        <w:rPr>
          <w:rFonts w:ascii="Times New Roman" w:hAnsi="Times New Roman" w:cs="Times New Roman"/>
        </w:rPr>
        <w:t xml:space="preserve">, giving an overall sample of </w:t>
      </w:r>
      <w:r w:rsidRPr="000B1DAD">
        <w:rPr>
          <w:rFonts w:ascii="Times New Roman" w:hAnsi="Times New Roman" w:cs="Times New Roman"/>
          <w:b/>
          <w:bCs/>
        </w:rPr>
        <w:t>773 respondents</w:t>
      </w:r>
      <w:r w:rsidRPr="000B1DAD">
        <w:rPr>
          <w:rFonts w:ascii="Times New Roman" w:hAnsi="Times New Roman" w:cs="Times New Roman"/>
        </w:rPr>
        <w:t>.</w:t>
      </w:r>
    </w:p>
    <w:p w14:paraId="57EB16B9"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t>3.8.1 Taro Yamane Formula</w:t>
      </w:r>
    </w:p>
    <w:p w14:paraId="70D3AA12"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The formula used was:</w:t>
      </w:r>
    </w:p>
    <w:p w14:paraId="03305FD7"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b/>
          <w:bCs/>
        </w:rPr>
        <w:t>n = N / (1 + Ne²)</w:t>
      </w:r>
    </w:p>
    <w:p w14:paraId="71D972C6"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Where </w:t>
      </w:r>
      <w:r w:rsidRPr="000B1DAD">
        <w:rPr>
          <w:rFonts w:ascii="Times New Roman" w:hAnsi="Times New Roman" w:cs="Times New Roman"/>
          <w:b/>
          <w:bCs/>
        </w:rPr>
        <w:t>n</w:t>
      </w:r>
      <w:r w:rsidRPr="000B1DAD">
        <w:rPr>
          <w:rFonts w:ascii="Times New Roman" w:hAnsi="Times New Roman" w:cs="Times New Roman"/>
        </w:rPr>
        <w:t xml:space="preserve"> is the sample size, </w:t>
      </w:r>
      <w:r w:rsidRPr="000B1DAD">
        <w:rPr>
          <w:rFonts w:ascii="Times New Roman" w:hAnsi="Times New Roman" w:cs="Times New Roman"/>
          <w:b/>
          <w:bCs/>
        </w:rPr>
        <w:t>N</w:t>
      </w:r>
      <w:r w:rsidRPr="000B1DAD">
        <w:rPr>
          <w:rFonts w:ascii="Times New Roman" w:hAnsi="Times New Roman" w:cs="Times New Roman"/>
        </w:rPr>
        <w:t xml:space="preserve"> is the population size and </w:t>
      </w:r>
      <w:r w:rsidRPr="000B1DAD">
        <w:rPr>
          <w:rFonts w:ascii="Times New Roman" w:hAnsi="Times New Roman" w:cs="Times New Roman"/>
          <w:b/>
          <w:bCs/>
        </w:rPr>
        <w:t>e</w:t>
      </w:r>
      <w:r w:rsidRPr="000B1DAD">
        <w:rPr>
          <w:rFonts w:ascii="Times New Roman" w:hAnsi="Times New Roman" w:cs="Times New Roman"/>
        </w:rPr>
        <w:t xml:space="preserve"> </w:t>
      </w:r>
      <w:proofErr w:type="gramStart"/>
      <w:r w:rsidRPr="000B1DAD">
        <w:rPr>
          <w:rFonts w:ascii="Times New Roman" w:hAnsi="Times New Roman" w:cs="Times New Roman"/>
        </w:rPr>
        <w:t>is</w:t>
      </w:r>
      <w:proofErr w:type="gramEnd"/>
      <w:r w:rsidRPr="000B1DAD">
        <w:rPr>
          <w:rFonts w:ascii="Times New Roman" w:hAnsi="Times New Roman" w:cs="Times New Roman"/>
        </w:rPr>
        <w:t xml:space="preserve"> the margin of error. For the present study, </w:t>
      </w:r>
      <w:r w:rsidRPr="000B1DAD">
        <w:rPr>
          <w:rFonts w:ascii="Times New Roman" w:hAnsi="Times New Roman" w:cs="Times New Roman"/>
          <w:b/>
          <w:bCs/>
        </w:rPr>
        <w:t>e = 0.05</w:t>
      </w:r>
      <w:r w:rsidRPr="000B1DAD">
        <w:rPr>
          <w:rFonts w:ascii="Times New Roman" w:hAnsi="Times New Roman" w:cs="Times New Roman"/>
        </w:rPr>
        <w:t>.</w:t>
      </w:r>
    </w:p>
    <w:p w14:paraId="3E151490"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t>3.8.2 Sample Size of Small Retailers</w:t>
      </w:r>
    </w:p>
    <w:p w14:paraId="49C2A1D1"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For a retailer population of </w:t>
      </w:r>
      <w:r w:rsidRPr="000B1DAD">
        <w:rPr>
          <w:rFonts w:ascii="Times New Roman" w:hAnsi="Times New Roman" w:cs="Times New Roman"/>
          <w:b/>
          <w:bCs/>
        </w:rPr>
        <w:t>6,426</w:t>
      </w:r>
      <w:r w:rsidRPr="000B1DAD">
        <w:rPr>
          <w:rFonts w:ascii="Times New Roman" w:hAnsi="Times New Roman" w:cs="Times New Roman"/>
        </w:rPr>
        <w:t>:</w:t>
      </w:r>
    </w:p>
    <w:p w14:paraId="4AC6B008" w14:textId="3EBAE296"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b/>
          <w:bCs/>
        </w:rPr>
        <w:t>n = 6,426 / [1 + 6,426(</w:t>
      </w:r>
      <w:r w:rsidR="007641C6" w:rsidRPr="000B1DAD">
        <w:rPr>
          <w:rFonts w:ascii="Times New Roman" w:hAnsi="Times New Roman" w:cs="Times New Roman"/>
          <w:b/>
          <w:bCs/>
        </w:rPr>
        <w:t>0.05) ²</w:t>
      </w:r>
      <w:r w:rsidRPr="000B1DAD">
        <w:rPr>
          <w:rFonts w:ascii="Times New Roman" w:hAnsi="Times New Roman" w:cs="Times New Roman"/>
          <w:b/>
          <w:bCs/>
        </w:rPr>
        <w:t>] ≈ 377</w:t>
      </w:r>
    </w:p>
    <w:p w14:paraId="435C0C55"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The calculated sample was therefore rounded to </w:t>
      </w:r>
      <w:r w:rsidRPr="000B1DAD">
        <w:rPr>
          <w:rFonts w:ascii="Times New Roman" w:hAnsi="Times New Roman" w:cs="Times New Roman"/>
          <w:b/>
          <w:bCs/>
        </w:rPr>
        <w:t>380 small retailers</w:t>
      </w:r>
      <w:r w:rsidRPr="000B1DAD">
        <w:rPr>
          <w:rFonts w:ascii="Times New Roman" w:hAnsi="Times New Roman" w:cs="Times New Roman"/>
        </w:rPr>
        <w:t xml:space="preserve"> to provide adequate representation across the seven retail categories.</w:t>
      </w:r>
    </w:p>
    <w:p w14:paraId="3D51E229"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lastRenderedPageBreak/>
        <w:t>3.8.3 Sample Size of Consumers</w:t>
      </w:r>
    </w:p>
    <w:p w14:paraId="095E0B1A"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For a consumer household population of </w:t>
      </w:r>
      <w:r w:rsidRPr="000B1DAD">
        <w:rPr>
          <w:rFonts w:ascii="Times New Roman" w:hAnsi="Times New Roman" w:cs="Times New Roman"/>
          <w:b/>
          <w:bCs/>
        </w:rPr>
        <w:t>22,825</w:t>
      </w:r>
      <w:r w:rsidRPr="000B1DAD">
        <w:rPr>
          <w:rFonts w:ascii="Times New Roman" w:hAnsi="Times New Roman" w:cs="Times New Roman"/>
        </w:rPr>
        <w:t>:</w:t>
      </w:r>
    </w:p>
    <w:p w14:paraId="77DC8D81" w14:textId="3EC259AD"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b/>
          <w:bCs/>
        </w:rPr>
        <w:t>n = 22,825 / [1 + 22,825(</w:t>
      </w:r>
      <w:r w:rsidR="007641C6" w:rsidRPr="000B1DAD">
        <w:rPr>
          <w:rFonts w:ascii="Times New Roman" w:hAnsi="Times New Roman" w:cs="Times New Roman"/>
          <w:b/>
          <w:bCs/>
        </w:rPr>
        <w:t>0.05) ²</w:t>
      </w:r>
      <w:r w:rsidRPr="000B1DAD">
        <w:rPr>
          <w:rFonts w:ascii="Times New Roman" w:hAnsi="Times New Roman" w:cs="Times New Roman"/>
          <w:b/>
          <w:bCs/>
        </w:rPr>
        <w:t>] ≈ 393</w:t>
      </w:r>
    </w:p>
    <w:p w14:paraId="632D7C61"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Thus, the final consumer sample comprised </w:t>
      </w:r>
      <w:r w:rsidRPr="000B1DAD">
        <w:rPr>
          <w:rFonts w:ascii="Times New Roman" w:hAnsi="Times New Roman" w:cs="Times New Roman"/>
          <w:b/>
          <w:bCs/>
        </w:rPr>
        <w:t>393 respondents</w:t>
      </w:r>
      <w:r w:rsidRPr="000B1DAD">
        <w:rPr>
          <w:rFonts w:ascii="Times New Roman" w:hAnsi="Times New Roman" w:cs="Times New Roman"/>
        </w:rPr>
        <w:t>, proportionately distributed across the three selected locations.</w:t>
      </w:r>
    </w:p>
    <w:p w14:paraId="63099271"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t>3.8.4 Overall Sample Size</w:t>
      </w:r>
    </w:p>
    <w:tbl>
      <w:tblPr>
        <w:tblW w:w="4400" w:type="dxa"/>
        <w:jc w:val="center"/>
        <w:tblLook w:val="04A0" w:firstRow="1" w:lastRow="0" w:firstColumn="1" w:lastColumn="0" w:noHBand="0" w:noVBand="1"/>
      </w:tblPr>
      <w:tblGrid>
        <w:gridCol w:w="2260"/>
        <w:gridCol w:w="2140"/>
      </w:tblGrid>
      <w:tr w:rsidR="007641C6" w:rsidRPr="007641C6" w14:paraId="4BC7342F" w14:textId="77777777" w:rsidTr="007641C6">
        <w:trPr>
          <w:trHeight w:val="312"/>
          <w:jc w:val="center"/>
        </w:trPr>
        <w:tc>
          <w:tcPr>
            <w:tcW w:w="2260" w:type="dxa"/>
            <w:tcBorders>
              <w:top w:val="single" w:sz="4" w:space="0" w:color="auto"/>
              <w:left w:val="single" w:sz="4" w:space="0" w:color="auto"/>
              <w:bottom w:val="single" w:sz="4" w:space="0" w:color="auto"/>
              <w:right w:val="single" w:sz="4" w:space="0" w:color="auto"/>
            </w:tcBorders>
            <w:vAlign w:val="center"/>
            <w:hideMark/>
          </w:tcPr>
          <w:p w14:paraId="349E7C32"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Respondent Group</w:t>
            </w:r>
          </w:p>
        </w:tc>
        <w:tc>
          <w:tcPr>
            <w:tcW w:w="2140" w:type="dxa"/>
            <w:tcBorders>
              <w:top w:val="single" w:sz="4" w:space="0" w:color="auto"/>
              <w:left w:val="nil"/>
              <w:bottom w:val="single" w:sz="4" w:space="0" w:color="auto"/>
              <w:right w:val="single" w:sz="4" w:space="0" w:color="auto"/>
            </w:tcBorders>
            <w:vAlign w:val="center"/>
            <w:hideMark/>
          </w:tcPr>
          <w:p w14:paraId="3F0F5F48"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Sample Size</w:t>
            </w:r>
          </w:p>
        </w:tc>
      </w:tr>
      <w:tr w:rsidR="007641C6" w:rsidRPr="007641C6" w14:paraId="442C5A44"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3429BF8C"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Small Retailers</w:t>
            </w:r>
          </w:p>
        </w:tc>
        <w:tc>
          <w:tcPr>
            <w:tcW w:w="2140" w:type="dxa"/>
            <w:tcBorders>
              <w:top w:val="nil"/>
              <w:left w:val="nil"/>
              <w:bottom w:val="single" w:sz="4" w:space="0" w:color="auto"/>
              <w:right w:val="single" w:sz="4" w:space="0" w:color="auto"/>
            </w:tcBorders>
            <w:vAlign w:val="center"/>
            <w:hideMark/>
          </w:tcPr>
          <w:p w14:paraId="40A63AD8"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380</w:t>
            </w:r>
          </w:p>
        </w:tc>
      </w:tr>
      <w:tr w:rsidR="007641C6" w:rsidRPr="007641C6" w14:paraId="76B4227B"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748FCED2"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Consumers</w:t>
            </w:r>
          </w:p>
        </w:tc>
        <w:tc>
          <w:tcPr>
            <w:tcW w:w="2140" w:type="dxa"/>
            <w:tcBorders>
              <w:top w:val="nil"/>
              <w:left w:val="nil"/>
              <w:bottom w:val="single" w:sz="4" w:space="0" w:color="auto"/>
              <w:right w:val="single" w:sz="4" w:space="0" w:color="auto"/>
            </w:tcBorders>
            <w:vAlign w:val="center"/>
            <w:hideMark/>
          </w:tcPr>
          <w:p w14:paraId="4BFE529D"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393</w:t>
            </w:r>
          </w:p>
        </w:tc>
      </w:tr>
      <w:tr w:rsidR="007641C6" w:rsidRPr="007641C6" w14:paraId="4E73BB15"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779BB387"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Total Respondents</w:t>
            </w:r>
          </w:p>
        </w:tc>
        <w:tc>
          <w:tcPr>
            <w:tcW w:w="2140" w:type="dxa"/>
            <w:tcBorders>
              <w:top w:val="nil"/>
              <w:left w:val="nil"/>
              <w:bottom w:val="single" w:sz="4" w:space="0" w:color="auto"/>
              <w:right w:val="single" w:sz="4" w:space="0" w:color="auto"/>
            </w:tcBorders>
            <w:vAlign w:val="center"/>
            <w:hideMark/>
          </w:tcPr>
          <w:p w14:paraId="2B434325"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773</w:t>
            </w:r>
          </w:p>
        </w:tc>
      </w:tr>
    </w:tbl>
    <w:p w14:paraId="69AE4B57" w14:textId="77777777" w:rsidR="007641C6" w:rsidRDefault="007641C6" w:rsidP="000B1DAD">
      <w:pPr>
        <w:spacing w:line="360" w:lineRule="auto"/>
        <w:jc w:val="both"/>
        <w:rPr>
          <w:rFonts w:ascii="Times New Roman" w:hAnsi="Times New Roman" w:cs="Times New Roman"/>
        </w:rPr>
      </w:pPr>
    </w:p>
    <w:p w14:paraId="58D86B4A" w14:textId="69D3858A"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The final study therefore comprised </w:t>
      </w:r>
      <w:r w:rsidRPr="000B1DAD">
        <w:rPr>
          <w:rFonts w:ascii="Times New Roman" w:hAnsi="Times New Roman" w:cs="Times New Roman"/>
          <w:b/>
          <w:bCs/>
        </w:rPr>
        <w:t>773 respondents</w:t>
      </w:r>
      <w:r w:rsidRPr="000B1DAD">
        <w:rPr>
          <w:rFonts w:ascii="Times New Roman" w:hAnsi="Times New Roman" w:cs="Times New Roman"/>
        </w:rPr>
        <w:t>, providing both retailer and consumer perspectives on the impact of organised retailing in the Itanagar Capital Region.</w:t>
      </w:r>
    </w:p>
    <w:p w14:paraId="0198E980"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t>3.9 Allocation of Sample</w:t>
      </w:r>
    </w:p>
    <w:p w14:paraId="62429164"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After determining the sample sizes, respondents were allocated according to the structure of their respective populations. The retailer sample was distributed across seven business categories using disproportionate stratified allocation, while the consumer sample was distributed proportionately across the three selected geographical locations.</w:t>
      </w:r>
    </w:p>
    <w:p w14:paraId="2ED08485"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t>3.9.1 Allocation of Small-Retailer Sample</w:t>
      </w:r>
    </w:p>
    <w:p w14:paraId="1078A36F" w14:textId="77777777"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The </w:t>
      </w:r>
      <w:r w:rsidRPr="000B1DAD">
        <w:rPr>
          <w:rFonts w:ascii="Times New Roman" w:hAnsi="Times New Roman" w:cs="Times New Roman"/>
          <w:b/>
          <w:bCs/>
        </w:rPr>
        <w:t>380 retailer respondents</w:t>
      </w:r>
      <w:r w:rsidRPr="000B1DAD">
        <w:rPr>
          <w:rFonts w:ascii="Times New Roman" w:hAnsi="Times New Roman" w:cs="Times New Roman"/>
        </w:rPr>
        <w:t xml:space="preserve"> were distributed across seven categories. Disproportionate allocation was adopted to ensure sufficient representation of smaller categories that might otherwise receive very small samples under purely proportionate allocation.</w:t>
      </w:r>
    </w:p>
    <w:tbl>
      <w:tblPr>
        <w:tblW w:w="5920" w:type="dxa"/>
        <w:jc w:val="center"/>
        <w:tblLook w:val="04A0" w:firstRow="1" w:lastRow="0" w:firstColumn="1" w:lastColumn="0" w:noHBand="0" w:noVBand="1"/>
      </w:tblPr>
      <w:tblGrid>
        <w:gridCol w:w="2260"/>
        <w:gridCol w:w="2140"/>
        <w:gridCol w:w="1520"/>
      </w:tblGrid>
      <w:tr w:rsidR="007641C6" w:rsidRPr="007641C6" w14:paraId="2B4A058D" w14:textId="77777777" w:rsidTr="007641C6">
        <w:trPr>
          <w:trHeight w:val="312"/>
          <w:jc w:val="center"/>
        </w:trPr>
        <w:tc>
          <w:tcPr>
            <w:tcW w:w="2260" w:type="dxa"/>
            <w:tcBorders>
              <w:top w:val="single" w:sz="4" w:space="0" w:color="auto"/>
              <w:left w:val="single" w:sz="4" w:space="0" w:color="auto"/>
              <w:bottom w:val="single" w:sz="4" w:space="0" w:color="auto"/>
              <w:right w:val="single" w:sz="4" w:space="0" w:color="auto"/>
            </w:tcBorders>
            <w:vAlign w:val="center"/>
            <w:hideMark/>
          </w:tcPr>
          <w:p w14:paraId="5F9546CE"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Retailer Type</w:t>
            </w:r>
          </w:p>
        </w:tc>
        <w:tc>
          <w:tcPr>
            <w:tcW w:w="2140" w:type="dxa"/>
            <w:tcBorders>
              <w:top w:val="single" w:sz="4" w:space="0" w:color="auto"/>
              <w:left w:val="nil"/>
              <w:bottom w:val="single" w:sz="4" w:space="0" w:color="auto"/>
              <w:right w:val="single" w:sz="4" w:space="0" w:color="auto"/>
            </w:tcBorders>
            <w:vAlign w:val="center"/>
            <w:hideMark/>
          </w:tcPr>
          <w:p w14:paraId="7CCA35F5"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Population</w:t>
            </w:r>
          </w:p>
        </w:tc>
        <w:tc>
          <w:tcPr>
            <w:tcW w:w="1520" w:type="dxa"/>
            <w:tcBorders>
              <w:top w:val="single" w:sz="4" w:space="0" w:color="auto"/>
              <w:left w:val="nil"/>
              <w:bottom w:val="single" w:sz="4" w:space="0" w:color="auto"/>
              <w:right w:val="single" w:sz="4" w:space="0" w:color="auto"/>
            </w:tcBorders>
            <w:vAlign w:val="center"/>
            <w:hideMark/>
          </w:tcPr>
          <w:p w14:paraId="7484F222"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Sample</w:t>
            </w:r>
          </w:p>
        </w:tc>
      </w:tr>
      <w:tr w:rsidR="007641C6" w:rsidRPr="007641C6" w14:paraId="33F57D97"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51C3CE29"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Grocery</w:t>
            </w:r>
          </w:p>
        </w:tc>
        <w:tc>
          <w:tcPr>
            <w:tcW w:w="2140" w:type="dxa"/>
            <w:tcBorders>
              <w:top w:val="nil"/>
              <w:left w:val="nil"/>
              <w:bottom w:val="single" w:sz="4" w:space="0" w:color="auto"/>
              <w:right w:val="single" w:sz="4" w:space="0" w:color="auto"/>
            </w:tcBorders>
            <w:vAlign w:val="center"/>
            <w:hideMark/>
          </w:tcPr>
          <w:p w14:paraId="5FC8CFDD"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3,233</w:t>
            </w:r>
          </w:p>
        </w:tc>
        <w:tc>
          <w:tcPr>
            <w:tcW w:w="1520" w:type="dxa"/>
            <w:tcBorders>
              <w:top w:val="nil"/>
              <w:left w:val="nil"/>
              <w:bottom w:val="single" w:sz="4" w:space="0" w:color="auto"/>
              <w:right w:val="single" w:sz="4" w:space="0" w:color="auto"/>
            </w:tcBorders>
            <w:vAlign w:val="center"/>
            <w:hideMark/>
          </w:tcPr>
          <w:p w14:paraId="35DB2A60"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128</w:t>
            </w:r>
          </w:p>
        </w:tc>
      </w:tr>
      <w:tr w:rsidR="007641C6" w:rsidRPr="007641C6" w14:paraId="48B5844E"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6BDFE617"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Stationery</w:t>
            </w:r>
          </w:p>
        </w:tc>
        <w:tc>
          <w:tcPr>
            <w:tcW w:w="2140" w:type="dxa"/>
            <w:tcBorders>
              <w:top w:val="nil"/>
              <w:left w:val="nil"/>
              <w:bottom w:val="single" w:sz="4" w:space="0" w:color="auto"/>
              <w:right w:val="single" w:sz="4" w:space="0" w:color="auto"/>
            </w:tcBorders>
            <w:vAlign w:val="center"/>
            <w:hideMark/>
          </w:tcPr>
          <w:p w14:paraId="078AF134"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171</w:t>
            </w:r>
          </w:p>
        </w:tc>
        <w:tc>
          <w:tcPr>
            <w:tcW w:w="1520" w:type="dxa"/>
            <w:tcBorders>
              <w:top w:val="nil"/>
              <w:left w:val="nil"/>
              <w:bottom w:val="single" w:sz="4" w:space="0" w:color="auto"/>
              <w:right w:val="single" w:sz="4" w:space="0" w:color="auto"/>
            </w:tcBorders>
            <w:vAlign w:val="center"/>
            <w:hideMark/>
          </w:tcPr>
          <w:p w14:paraId="7853FA48"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30</w:t>
            </w:r>
          </w:p>
        </w:tc>
      </w:tr>
      <w:tr w:rsidR="007641C6" w:rsidRPr="007641C6" w14:paraId="1EF24C82"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76A190C1"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Apparel</w:t>
            </w:r>
          </w:p>
        </w:tc>
        <w:tc>
          <w:tcPr>
            <w:tcW w:w="2140" w:type="dxa"/>
            <w:tcBorders>
              <w:top w:val="nil"/>
              <w:left w:val="nil"/>
              <w:bottom w:val="single" w:sz="4" w:space="0" w:color="auto"/>
              <w:right w:val="single" w:sz="4" w:space="0" w:color="auto"/>
            </w:tcBorders>
            <w:vAlign w:val="center"/>
            <w:hideMark/>
          </w:tcPr>
          <w:p w14:paraId="2F3B35F3"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1,036</w:t>
            </w:r>
          </w:p>
        </w:tc>
        <w:tc>
          <w:tcPr>
            <w:tcW w:w="1520" w:type="dxa"/>
            <w:tcBorders>
              <w:top w:val="nil"/>
              <w:left w:val="nil"/>
              <w:bottom w:val="single" w:sz="4" w:space="0" w:color="auto"/>
              <w:right w:val="single" w:sz="4" w:space="0" w:color="auto"/>
            </w:tcBorders>
            <w:vAlign w:val="center"/>
            <w:hideMark/>
          </w:tcPr>
          <w:p w14:paraId="0D916C3E"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58</w:t>
            </w:r>
          </w:p>
        </w:tc>
      </w:tr>
      <w:tr w:rsidR="007641C6" w:rsidRPr="007641C6" w14:paraId="7E9B74D6"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506DE3BA"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Kitchen Essentials</w:t>
            </w:r>
          </w:p>
        </w:tc>
        <w:tc>
          <w:tcPr>
            <w:tcW w:w="2140" w:type="dxa"/>
            <w:tcBorders>
              <w:top w:val="nil"/>
              <w:left w:val="nil"/>
              <w:bottom w:val="single" w:sz="4" w:space="0" w:color="auto"/>
              <w:right w:val="single" w:sz="4" w:space="0" w:color="auto"/>
            </w:tcBorders>
            <w:vAlign w:val="center"/>
            <w:hideMark/>
          </w:tcPr>
          <w:p w14:paraId="22C641DF"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176</w:t>
            </w:r>
          </w:p>
        </w:tc>
        <w:tc>
          <w:tcPr>
            <w:tcW w:w="1520" w:type="dxa"/>
            <w:tcBorders>
              <w:top w:val="nil"/>
              <w:left w:val="nil"/>
              <w:bottom w:val="single" w:sz="4" w:space="0" w:color="auto"/>
              <w:right w:val="single" w:sz="4" w:space="0" w:color="auto"/>
            </w:tcBorders>
            <w:vAlign w:val="center"/>
            <w:hideMark/>
          </w:tcPr>
          <w:p w14:paraId="2AD9BFAF"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31</w:t>
            </w:r>
          </w:p>
        </w:tc>
      </w:tr>
      <w:tr w:rsidR="007641C6" w:rsidRPr="007641C6" w14:paraId="5F396061"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2CDE34E6"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Electronic</w:t>
            </w:r>
          </w:p>
        </w:tc>
        <w:tc>
          <w:tcPr>
            <w:tcW w:w="2140" w:type="dxa"/>
            <w:tcBorders>
              <w:top w:val="nil"/>
              <w:left w:val="nil"/>
              <w:bottom w:val="single" w:sz="4" w:space="0" w:color="auto"/>
              <w:right w:val="single" w:sz="4" w:space="0" w:color="auto"/>
            </w:tcBorders>
            <w:vAlign w:val="center"/>
            <w:hideMark/>
          </w:tcPr>
          <w:p w14:paraId="63A01878"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1,355</w:t>
            </w:r>
          </w:p>
        </w:tc>
        <w:tc>
          <w:tcPr>
            <w:tcW w:w="1520" w:type="dxa"/>
            <w:tcBorders>
              <w:top w:val="nil"/>
              <w:left w:val="nil"/>
              <w:bottom w:val="single" w:sz="4" w:space="0" w:color="auto"/>
              <w:right w:val="single" w:sz="4" w:space="0" w:color="auto"/>
            </w:tcBorders>
            <w:vAlign w:val="center"/>
            <w:hideMark/>
          </w:tcPr>
          <w:p w14:paraId="0FD7A749"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68</w:t>
            </w:r>
          </w:p>
        </w:tc>
      </w:tr>
      <w:tr w:rsidR="007641C6" w:rsidRPr="007641C6" w14:paraId="3609937D"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3733404E"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Kids/Gift</w:t>
            </w:r>
          </w:p>
        </w:tc>
        <w:tc>
          <w:tcPr>
            <w:tcW w:w="2140" w:type="dxa"/>
            <w:tcBorders>
              <w:top w:val="nil"/>
              <w:left w:val="nil"/>
              <w:bottom w:val="single" w:sz="4" w:space="0" w:color="auto"/>
              <w:right w:val="single" w:sz="4" w:space="0" w:color="auto"/>
            </w:tcBorders>
            <w:vAlign w:val="center"/>
            <w:hideMark/>
          </w:tcPr>
          <w:p w14:paraId="4436CCB9"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208</w:t>
            </w:r>
          </w:p>
        </w:tc>
        <w:tc>
          <w:tcPr>
            <w:tcW w:w="1520" w:type="dxa"/>
            <w:tcBorders>
              <w:top w:val="nil"/>
              <w:left w:val="nil"/>
              <w:bottom w:val="single" w:sz="4" w:space="0" w:color="auto"/>
              <w:right w:val="single" w:sz="4" w:space="0" w:color="auto"/>
            </w:tcBorders>
            <w:vAlign w:val="center"/>
            <w:hideMark/>
          </w:tcPr>
          <w:p w14:paraId="0558ADA0"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32</w:t>
            </w:r>
          </w:p>
        </w:tc>
      </w:tr>
      <w:tr w:rsidR="007641C6" w:rsidRPr="007641C6" w14:paraId="1793DBE5" w14:textId="77777777" w:rsidTr="007641C6">
        <w:trPr>
          <w:trHeight w:val="624"/>
          <w:jc w:val="center"/>
        </w:trPr>
        <w:tc>
          <w:tcPr>
            <w:tcW w:w="2260" w:type="dxa"/>
            <w:tcBorders>
              <w:top w:val="nil"/>
              <w:left w:val="single" w:sz="4" w:space="0" w:color="auto"/>
              <w:bottom w:val="single" w:sz="4" w:space="0" w:color="auto"/>
              <w:right w:val="single" w:sz="4" w:space="0" w:color="auto"/>
            </w:tcBorders>
            <w:vAlign w:val="center"/>
            <w:hideMark/>
          </w:tcPr>
          <w:p w14:paraId="286BFD60"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General Merchant/Cosmetic</w:t>
            </w:r>
          </w:p>
        </w:tc>
        <w:tc>
          <w:tcPr>
            <w:tcW w:w="2140" w:type="dxa"/>
            <w:tcBorders>
              <w:top w:val="nil"/>
              <w:left w:val="nil"/>
              <w:bottom w:val="single" w:sz="4" w:space="0" w:color="auto"/>
              <w:right w:val="single" w:sz="4" w:space="0" w:color="auto"/>
            </w:tcBorders>
            <w:vAlign w:val="center"/>
            <w:hideMark/>
          </w:tcPr>
          <w:p w14:paraId="51E412FB"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247</w:t>
            </w:r>
          </w:p>
        </w:tc>
        <w:tc>
          <w:tcPr>
            <w:tcW w:w="1520" w:type="dxa"/>
            <w:tcBorders>
              <w:top w:val="nil"/>
              <w:left w:val="nil"/>
              <w:bottom w:val="single" w:sz="4" w:space="0" w:color="auto"/>
              <w:right w:val="single" w:sz="4" w:space="0" w:color="auto"/>
            </w:tcBorders>
            <w:vAlign w:val="center"/>
            <w:hideMark/>
          </w:tcPr>
          <w:p w14:paraId="35B90F7C"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33</w:t>
            </w:r>
          </w:p>
        </w:tc>
      </w:tr>
      <w:tr w:rsidR="007641C6" w:rsidRPr="007641C6" w14:paraId="438EC081" w14:textId="77777777" w:rsidTr="007641C6">
        <w:trPr>
          <w:trHeight w:val="312"/>
          <w:jc w:val="center"/>
        </w:trPr>
        <w:tc>
          <w:tcPr>
            <w:tcW w:w="2260" w:type="dxa"/>
            <w:tcBorders>
              <w:top w:val="nil"/>
              <w:left w:val="single" w:sz="4" w:space="0" w:color="auto"/>
              <w:bottom w:val="single" w:sz="4" w:space="0" w:color="auto"/>
              <w:right w:val="single" w:sz="4" w:space="0" w:color="auto"/>
            </w:tcBorders>
            <w:vAlign w:val="center"/>
            <w:hideMark/>
          </w:tcPr>
          <w:p w14:paraId="1E679D7C"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Total</w:t>
            </w:r>
          </w:p>
        </w:tc>
        <w:tc>
          <w:tcPr>
            <w:tcW w:w="2140" w:type="dxa"/>
            <w:tcBorders>
              <w:top w:val="nil"/>
              <w:left w:val="nil"/>
              <w:bottom w:val="single" w:sz="4" w:space="0" w:color="auto"/>
              <w:right w:val="single" w:sz="4" w:space="0" w:color="auto"/>
            </w:tcBorders>
            <w:vAlign w:val="center"/>
            <w:hideMark/>
          </w:tcPr>
          <w:p w14:paraId="081167DB"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6,426</w:t>
            </w:r>
          </w:p>
        </w:tc>
        <w:tc>
          <w:tcPr>
            <w:tcW w:w="1520" w:type="dxa"/>
            <w:tcBorders>
              <w:top w:val="nil"/>
              <w:left w:val="nil"/>
              <w:bottom w:val="single" w:sz="4" w:space="0" w:color="auto"/>
              <w:right w:val="single" w:sz="4" w:space="0" w:color="auto"/>
            </w:tcBorders>
            <w:vAlign w:val="center"/>
            <w:hideMark/>
          </w:tcPr>
          <w:p w14:paraId="1EC9ECD1"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380</w:t>
            </w:r>
          </w:p>
        </w:tc>
      </w:tr>
    </w:tbl>
    <w:p w14:paraId="5A911255" w14:textId="77777777" w:rsidR="000B1DAD" w:rsidRPr="000B1DAD" w:rsidRDefault="000B1DAD" w:rsidP="000B1DAD">
      <w:pPr>
        <w:spacing w:line="360" w:lineRule="auto"/>
        <w:jc w:val="both"/>
        <w:rPr>
          <w:rFonts w:ascii="Times New Roman" w:hAnsi="Times New Roman" w:cs="Times New Roman"/>
          <w:b/>
          <w:bCs/>
        </w:rPr>
      </w:pPr>
      <w:r w:rsidRPr="000B1DAD">
        <w:rPr>
          <w:rFonts w:ascii="Times New Roman" w:hAnsi="Times New Roman" w:cs="Times New Roman"/>
          <w:b/>
          <w:bCs/>
        </w:rPr>
        <w:lastRenderedPageBreak/>
        <w:t>3.9.2 Allocation of Consumer Sample</w:t>
      </w:r>
    </w:p>
    <w:p w14:paraId="0A79212C" w14:textId="3374A01F" w:rsidR="000B1DAD" w:rsidRP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 xml:space="preserve">The </w:t>
      </w:r>
      <w:r w:rsidRPr="000B1DAD">
        <w:rPr>
          <w:rFonts w:ascii="Times New Roman" w:hAnsi="Times New Roman" w:cs="Times New Roman"/>
          <w:b/>
          <w:bCs/>
        </w:rPr>
        <w:t>393 consumer respondents</w:t>
      </w:r>
      <w:r w:rsidRPr="000B1DAD">
        <w:rPr>
          <w:rFonts w:ascii="Times New Roman" w:hAnsi="Times New Roman" w:cs="Times New Roman"/>
        </w:rPr>
        <w:t xml:space="preserve"> were allocated </w:t>
      </w:r>
      <w:r w:rsidR="007641C6">
        <w:rPr>
          <w:rFonts w:ascii="Times New Roman" w:hAnsi="Times New Roman" w:cs="Times New Roman"/>
        </w:rPr>
        <w:t xml:space="preserve">in proportion to the household populations of Itanagar, </w:t>
      </w:r>
      <w:proofErr w:type="spellStart"/>
      <w:r w:rsidR="007641C6">
        <w:rPr>
          <w:rFonts w:ascii="Times New Roman" w:hAnsi="Times New Roman" w:cs="Times New Roman"/>
        </w:rPr>
        <w:t>Naharlagun</w:t>
      </w:r>
      <w:proofErr w:type="spellEnd"/>
      <w:r w:rsidR="007641C6">
        <w:rPr>
          <w:rFonts w:ascii="Times New Roman" w:hAnsi="Times New Roman" w:cs="Times New Roman"/>
        </w:rPr>
        <w:t>,</w:t>
      </w:r>
      <w:r w:rsidRPr="000B1DAD">
        <w:rPr>
          <w:rFonts w:ascii="Times New Roman" w:hAnsi="Times New Roman" w:cs="Times New Roman"/>
        </w:rPr>
        <w:t xml:space="preserve"> and </w:t>
      </w:r>
      <w:proofErr w:type="spellStart"/>
      <w:r w:rsidRPr="000B1DAD">
        <w:rPr>
          <w:rFonts w:ascii="Times New Roman" w:hAnsi="Times New Roman" w:cs="Times New Roman"/>
        </w:rPr>
        <w:t>Banderdewa</w:t>
      </w:r>
      <w:proofErr w:type="spellEnd"/>
      <w:r w:rsidRPr="000B1DAD">
        <w:rPr>
          <w:rFonts w:ascii="Times New Roman" w:hAnsi="Times New Roman" w:cs="Times New Roman"/>
        </w:rPr>
        <w:t>.</w:t>
      </w:r>
    </w:p>
    <w:tbl>
      <w:tblPr>
        <w:tblW w:w="7500" w:type="dxa"/>
        <w:tblLook w:val="04A0" w:firstRow="1" w:lastRow="0" w:firstColumn="1" w:lastColumn="0" w:noHBand="0" w:noVBand="1"/>
      </w:tblPr>
      <w:tblGrid>
        <w:gridCol w:w="2260"/>
        <w:gridCol w:w="2140"/>
        <w:gridCol w:w="1520"/>
        <w:gridCol w:w="1580"/>
      </w:tblGrid>
      <w:tr w:rsidR="007641C6" w:rsidRPr="007641C6" w14:paraId="1807DFF1" w14:textId="77777777" w:rsidTr="007641C6">
        <w:trPr>
          <w:trHeight w:val="312"/>
        </w:trPr>
        <w:tc>
          <w:tcPr>
            <w:tcW w:w="2260" w:type="dxa"/>
            <w:tcBorders>
              <w:top w:val="single" w:sz="4" w:space="0" w:color="auto"/>
              <w:left w:val="single" w:sz="4" w:space="0" w:color="auto"/>
              <w:bottom w:val="single" w:sz="4" w:space="0" w:color="auto"/>
              <w:right w:val="single" w:sz="4" w:space="0" w:color="auto"/>
            </w:tcBorders>
            <w:vAlign w:val="center"/>
            <w:hideMark/>
          </w:tcPr>
          <w:p w14:paraId="0B6B5820"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Location</w:t>
            </w:r>
          </w:p>
        </w:tc>
        <w:tc>
          <w:tcPr>
            <w:tcW w:w="2140" w:type="dxa"/>
            <w:tcBorders>
              <w:top w:val="single" w:sz="4" w:space="0" w:color="auto"/>
              <w:left w:val="nil"/>
              <w:bottom w:val="single" w:sz="4" w:space="0" w:color="auto"/>
              <w:right w:val="single" w:sz="4" w:space="0" w:color="auto"/>
            </w:tcBorders>
            <w:vAlign w:val="center"/>
            <w:hideMark/>
          </w:tcPr>
          <w:p w14:paraId="30207D52"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Households</w:t>
            </w:r>
          </w:p>
        </w:tc>
        <w:tc>
          <w:tcPr>
            <w:tcW w:w="1520" w:type="dxa"/>
            <w:tcBorders>
              <w:top w:val="single" w:sz="4" w:space="0" w:color="auto"/>
              <w:left w:val="nil"/>
              <w:bottom w:val="single" w:sz="4" w:space="0" w:color="auto"/>
              <w:right w:val="single" w:sz="4" w:space="0" w:color="auto"/>
            </w:tcBorders>
            <w:vAlign w:val="center"/>
            <w:hideMark/>
          </w:tcPr>
          <w:p w14:paraId="69748762"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Percentage</w:t>
            </w:r>
          </w:p>
        </w:tc>
        <w:tc>
          <w:tcPr>
            <w:tcW w:w="1580" w:type="dxa"/>
            <w:tcBorders>
              <w:top w:val="single" w:sz="4" w:space="0" w:color="auto"/>
              <w:left w:val="nil"/>
              <w:bottom w:val="single" w:sz="4" w:space="0" w:color="auto"/>
              <w:right w:val="single" w:sz="4" w:space="0" w:color="auto"/>
            </w:tcBorders>
            <w:vAlign w:val="center"/>
            <w:hideMark/>
          </w:tcPr>
          <w:p w14:paraId="367A9737"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Sample</w:t>
            </w:r>
          </w:p>
        </w:tc>
      </w:tr>
      <w:tr w:rsidR="007641C6" w:rsidRPr="007641C6" w14:paraId="0CD3E936" w14:textId="77777777" w:rsidTr="007641C6">
        <w:trPr>
          <w:trHeight w:val="312"/>
        </w:trPr>
        <w:tc>
          <w:tcPr>
            <w:tcW w:w="2260" w:type="dxa"/>
            <w:tcBorders>
              <w:top w:val="nil"/>
              <w:left w:val="single" w:sz="4" w:space="0" w:color="auto"/>
              <w:bottom w:val="single" w:sz="4" w:space="0" w:color="auto"/>
              <w:right w:val="single" w:sz="4" w:space="0" w:color="auto"/>
            </w:tcBorders>
            <w:vAlign w:val="center"/>
            <w:hideMark/>
          </w:tcPr>
          <w:p w14:paraId="0126D48E"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Itanagar</w:t>
            </w:r>
          </w:p>
        </w:tc>
        <w:tc>
          <w:tcPr>
            <w:tcW w:w="2140" w:type="dxa"/>
            <w:tcBorders>
              <w:top w:val="nil"/>
              <w:left w:val="nil"/>
              <w:bottom w:val="single" w:sz="4" w:space="0" w:color="auto"/>
              <w:right w:val="single" w:sz="4" w:space="0" w:color="auto"/>
            </w:tcBorders>
            <w:vAlign w:val="center"/>
            <w:hideMark/>
          </w:tcPr>
          <w:p w14:paraId="49B5014F"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13,465</w:t>
            </w:r>
          </w:p>
        </w:tc>
        <w:tc>
          <w:tcPr>
            <w:tcW w:w="1520" w:type="dxa"/>
            <w:tcBorders>
              <w:top w:val="nil"/>
              <w:left w:val="nil"/>
              <w:bottom w:val="single" w:sz="4" w:space="0" w:color="auto"/>
              <w:right w:val="single" w:sz="4" w:space="0" w:color="auto"/>
            </w:tcBorders>
            <w:vAlign w:val="center"/>
            <w:hideMark/>
          </w:tcPr>
          <w:p w14:paraId="4000169B"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58.99%</w:t>
            </w:r>
          </w:p>
        </w:tc>
        <w:tc>
          <w:tcPr>
            <w:tcW w:w="1580" w:type="dxa"/>
            <w:tcBorders>
              <w:top w:val="nil"/>
              <w:left w:val="nil"/>
              <w:bottom w:val="single" w:sz="4" w:space="0" w:color="auto"/>
              <w:right w:val="single" w:sz="4" w:space="0" w:color="auto"/>
            </w:tcBorders>
            <w:vAlign w:val="center"/>
            <w:hideMark/>
          </w:tcPr>
          <w:p w14:paraId="5E70149E"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232</w:t>
            </w:r>
          </w:p>
        </w:tc>
      </w:tr>
      <w:tr w:rsidR="007641C6" w:rsidRPr="007641C6" w14:paraId="06EE730F" w14:textId="77777777" w:rsidTr="007641C6">
        <w:trPr>
          <w:trHeight w:val="312"/>
        </w:trPr>
        <w:tc>
          <w:tcPr>
            <w:tcW w:w="2260" w:type="dxa"/>
            <w:tcBorders>
              <w:top w:val="nil"/>
              <w:left w:val="single" w:sz="4" w:space="0" w:color="auto"/>
              <w:bottom w:val="single" w:sz="4" w:space="0" w:color="auto"/>
              <w:right w:val="single" w:sz="4" w:space="0" w:color="auto"/>
            </w:tcBorders>
            <w:vAlign w:val="center"/>
            <w:hideMark/>
          </w:tcPr>
          <w:p w14:paraId="38A6811A"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7641C6">
              <w:rPr>
                <w:rFonts w:ascii="Times New Roman" w:eastAsia="Times New Roman" w:hAnsi="Times New Roman" w:cs="Times New Roman"/>
                <w:color w:val="000000"/>
                <w:kern w:val="0"/>
                <w:lang w:eastAsia="en-IN"/>
                <w14:ligatures w14:val="none"/>
              </w:rPr>
              <w:t>Naharlagun</w:t>
            </w:r>
            <w:proofErr w:type="spellEnd"/>
          </w:p>
        </w:tc>
        <w:tc>
          <w:tcPr>
            <w:tcW w:w="2140" w:type="dxa"/>
            <w:tcBorders>
              <w:top w:val="nil"/>
              <w:left w:val="nil"/>
              <w:bottom w:val="single" w:sz="4" w:space="0" w:color="auto"/>
              <w:right w:val="single" w:sz="4" w:space="0" w:color="auto"/>
            </w:tcBorders>
            <w:vAlign w:val="center"/>
            <w:hideMark/>
          </w:tcPr>
          <w:p w14:paraId="66B39D08"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7,735</w:t>
            </w:r>
          </w:p>
        </w:tc>
        <w:tc>
          <w:tcPr>
            <w:tcW w:w="1520" w:type="dxa"/>
            <w:tcBorders>
              <w:top w:val="nil"/>
              <w:left w:val="nil"/>
              <w:bottom w:val="single" w:sz="4" w:space="0" w:color="auto"/>
              <w:right w:val="single" w:sz="4" w:space="0" w:color="auto"/>
            </w:tcBorders>
            <w:vAlign w:val="center"/>
            <w:hideMark/>
          </w:tcPr>
          <w:p w14:paraId="139C2CE7"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33.89%</w:t>
            </w:r>
          </w:p>
        </w:tc>
        <w:tc>
          <w:tcPr>
            <w:tcW w:w="1580" w:type="dxa"/>
            <w:tcBorders>
              <w:top w:val="nil"/>
              <w:left w:val="nil"/>
              <w:bottom w:val="single" w:sz="4" w:space="0" w:color="auto"/>
              <w:right w:val="single" w:sz="4" w:space="0" w:color="auto"/>
            </w:tcBorders>
            <w:vAlign w:val="center"/>
            <w:hideMark/>
          </w:tcPr>
          <w:p w14:paraId="69734A18"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133</w:t>
            </w:r>
          </w:p>
        </w:tc>
      </w:tr>
      <w:tr w:rsidR="007641C6" w:rsidRPr="007641C6" w14:paraId="30E2802F" w14:textId="77777777" w:rsidTr="007641C6">
        <w:trPr>
          <w:trHeight w:val="312"/>
        </w:trPr>
        <w:tc>
          <w:tcPr>
            <w:tcW w:w="2260" w:type="dxa"/>
            <w:tcBorders>
              <w:top w:val="nil"/>
              <w:left w:val="single" w:sz="4" w:space="0" w:color="auto"/>
              <w:bottom w:val="single" w:sz="4" w:space="0" w:color="auto"/>
              <w:right w:val="single" w:sz="4" w:space="0" w:color="auto"/>
            </w:tcBorders>
            <w:vAlign w:val="center"/>
            <w:hideMark/>
          </w:tcPr>
          <w:p w14:paraId="04C0AEFD"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7641C6">
              <w:rPr>
                <w:rFonts w:ascii="Times New Roman" w:eastAsia="Times New Roman" w:hAnsi="Times New Roman" w:cs="Times New Roman"/>
                <w:color w:val="000000"/>
                <w:kern w:val="0"/>
                <w:lang w:eastAsia="en-IN"/>
                <w14:ligatures w14:val="none"/>
              </w:rPr>
              <w:t>Banderdewa</w:t>
            </w:r>
            <w:proofErr w:type="spellEnd"/>
          </w:p>
        </w:tc>
        <w:tc>
          <w:tcPr>
            <w:tcW w:w="2140" w:type="dxa"/>
            <w:tcBorders>
              <w:top w:val="nil"/>
              <w:left w:val="nil"/>
              <w:bottom w:val="single" w:sz="4" w:space="0" w:color="auto"/>
              <w:right w:val="single" w:sz="4" w:space="0" w:color="auto"/>
            </w:tcBorders>
            <w:vAlign w:val="center"/>
            <w:hideMark/>
          </w:tcPr>
          <w:p w14:paraId="6F05DDA6"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1,625</w:t>
            </w:r>
          </w:p>
        </w:tc>
        <w:tc>
          <w:tcPr>
            <w:tcW w:w="1520" w:type="dxa"/>
            <w:tcBorders>
              <w:top w:val="nil"/>
              <w:left w:val="nil"/>
              <w:bottom w:val="single" w:sz="4" w:space="0" w:color="auto"/>
              <w:right w:val="single" w:sz="4" w:space="0" w:color="auto"/>
            </w:tcBorders>
            <w:vAlign w:val="center"/>
            <w:hideMark/>
          </w:tcPr>
          <w:p w14:paraId="4F151CEB"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7.12%</w:t>
            </w:r>
          </w:p>
        </w:tc>
        <w:tc>
          <w:tcPr>
            <w:tcW w:w="1580" w:type="dxa"/>
            <w:tcBorders>
              <w:top w:val="nil"/>
              <w:left w:val="nil"/>
              <w:bottom w:val="single" w:sz="4" w:space="0" w:color="auto"/>
              <w:right w:val="single" w:sz="4" w:space="0" w:color="auto"/>
            </w:tcBorders>
            <w:vAlign w:val="center"/>
            <w:hideMark/>
          </w:tcPr>
          <w:p w14:paraId="780347B2" w14:textId="77777777" w:rsidR="007641C6" w:rsidRPr="007641C6" w:rsidRDefault="007641C6" w:rsidP="007641C6">
            <w:pPr>
              <w:spacing w:after="0" w:line="240" w:lineRule="auto"/>
              <w:jc w:val="center"/>
              <w:rPr>
                <w:rFonts w:ascii="Times New Roman" w:eastAsia="Times New Roman" w:hAnsi="Times New Roman" w:cs="Times New Roman"/>
                <w:color w:val="000000"/>
                <w:kern w:val="0"/>
                <w:lang w:eastAsia="en-IN"/>
                <w14:ligatures w14:val="none"/>
              </w:rPr>
            </w:pPr>
            <w:r w:rsidRPr="007641C6">
              <w:rPr>
                <w:rFonts w:ascii="Times New Roman" w:eastAsia="Times New Roman" w:hAnsi="Times New Roman" w:cs="Times New Roman"/>
                <w:color w:val="000000"/>
                <w:kern w:val="0"/>
                <w:lang w:eastAsia="en-IN"/>
                <w14:ligatures w14:val="none"/>
              </w:rPr>
              <w:t>28</w:t>
            </w:r>
          </w:p>
        </w:tc>
      </w:tr>
      <w:tr w:rsidR="007641C6" w:rsidRPr="007641C6" w14:paraId="14185A89" w14:textId="77777777" w:rsidTr="007641C6">
        <w:trPr>
          <w:trHeight w:val="312"/>
        </w:trPr>
        <w:tc>
          <w:tcPr>
            <w:tcW w:w="2260" w:type="dxa"/>
            <w:tcBorders>
              <w:top w:val="nil"/>
              <w:left w:val="single" w:sz="4" w:space="0" w:color="auto"/>
              <w:bottom w:val="single" w:sz="4" w:space="0" w:color="auto"/>
              <w:right w:val="single" w:sz="4" w:space="0" w:color="auto"/>
            </w:tcBorders>
            <w:vAlign w:val="center"/>
            <w:hideMark/>
          </w:tcPr>
          <w:p w14:paraId="7C5C631D"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Total</w:t>
            </w:r>
          </w:p>
        </w:tc>
        <w:tc>
          <w:tcPr>
            <w:tcW w:w="2140" w:type="dxa"/>
            <w:tcBorders>
              <w:top w:val="nil"/>
              <w:left w:val="nil"/>
              <w:bottom w:val="single" w:sz="4" w:space="0" w:color="auto"/>
              <w:right w:val="single" w:sz="4" w:space="0" w:color="auto"/>
            </w:tcBorders>
            <w:vAlign w:val="center"/>
            <w:hideMark/>
          </w:tcPr>
          <w:p w14:paraId="7F5339C8"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22,825</w:t>
            </w:r>
          </w:p>
        </w:tc>
        <w:tc>
          <w:tcPr>
            <w:tcW w:w="1520" w:type="dxa"/>
            <w:tcBorders>
              <w:top w:val="nil"/>
              <w:left w:val="nil"/>
              <w:bottom w:val="single" w:sz="4" w:space="0" w:color="auto"/>
              <w:right w:val="single" w:sz="4" w:space="0" w:color="auto"/>
            </w:tcBorders>
            <w:vAlign w:val="center"/>
            <w:hideMark/>
          </w:tcPr>
          <w:p w14:paraId="36DC9D60"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100%</w:t>
            </w:r>
          </w:p>
        </w:tc>
        <w:tc>
          <w:tcPr>
            <w:tcW w:w="1580" w:type="dxa"/>
            <w:tcBorders>
              <w:top w:val="nil"/>
              <w:left w:val="nil"/>
              <w:bottom w:val="single" w:sz="4" w:space="0" w:color="auto"/>
              <w:right w:val="single" w:sz="4" w:space="0" w:color="auto"/>
            </w:tcBorders>
            <w:vAlign w:val="center"/>
            <w:hideMark/>
          </w:tcPr>
          <w:p w14:paraId="488E3F1F" w14:textId="77777777" w:rsidR="007641C6" w:rsidRPr="007641C6" w:rsidRDefault="007641C6" w:rsidP="007641C6">
            <w:pPr>
              <w:spacing w:after="0" w:line="240" w:lineRule="auto"/>
              <w:jc w:val="center"/>
              <w:rPr>
                <w:rFonts w:ascii="Times New Roman" w:eastAsia="Times New Roman" w:hAnsi="Times New Roman" w:cs="Times New Roman"/>
                <w:b/>
                <w:bCs/>
                <w:color w:val="000000"/>
                <w:kern w:val="0"/>
                <w:lang w:eastAsia="en-IN"/>
                <w14:ligatures w14:val="none"/>
              </w:rPr>
            </w:pPr>
            <w:r w:rsidRPr="007641C6">
              <w:rPr>
                <w:rFonts w:ascii="Times New Roman" w:eastAsia="Times New Roman" w:hAnsi="Times New Roman" w:cs="Times New Roman"/>
                <w:b/>
                <w:bCs/>
                <w:color w:val="000000"/>
                <w:kern w:val="0"/>
                <w:lang w:eastAsia="en-IN"/>
                <w14:ligatures w14:val="none"/>
              </w:rPr>
              <w:t>393</w:t>
            </w:r>
          </w:p>
        </w:tc>
      </w:tr>
    </w:tbl>
    <w:p w14:paraId="12847075" w14:textId="77777777" w:rsidR="007641C6" w:rsidRDefault="007641C6" w:rsidP="000B1DAD">
      <w:pPr>
        <w:spacing w:line="360" w:lineRule="auto"/>
        <w:jc w:val="both"/>
        <w:rPr>
          <w:rFonts w:ascii="Times New Roman" w:hAnsi="Times New Roman" w:cs="Times New Roman"/>
        </w:rPr>
      </w:pPr>
    </w:p>
    <w:p w14:paraId="3A9CE70E" w14:textId="6F281F99" w:rsidR="000B1DAD" w:rsidRDefault="000B1DAD" w:rsidP="000B1DAD">
      <w:pPr>
        <w:spacing w:line="360" w:lineRule="auto"/>
        <w:jc w:val="both"/>
        <w:rPr>
          <w:rFonts w:ascii="Times New Roman" w:hAnsi="Times New Roman" w:cs="Times New Roman"/>
        </w:rPr>
      </w:pPr>
      <w:r w:rsidRPr="000B1DAD">
        <w:rPr>
          <w:rFonts w:ascii="Times New Roman" w:hAnsi="Times New Roman" w:cs="Times New Roman"/>
        </w:rPr>
        <w:t>This allocation ensured adequate representation of different retailer categories and geographical areas, thereby providing a balanced basis for analysing the impact of organised retailing and consumer preferences in the study area.</w:t>
      </w:r>
    </w:p>
    <w:p w14:paraId="0EBFF26B"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3.10 Sampling Techniques</w:t>
      </w:r>
    </w:p>
    <w:p w14:paraId="74C39A0E"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study employed different sampling techniques for small retailers and consumers based on the nature of the population targeted. The stratified sampling technique was used for small retailers with disproportionate allocation while proportionate sampling was applied to consumers. The eligible respondent was selected from each group based on the inclusion criteria.</w:t>
      </w:r>
    </w:p>
    <w:p w14:paraId="0EFA0B37"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3.10.1 Stratified Sampling</w:t>
      </w:r>
    </w:p>
    <w:p w14:paraId="298D07D6"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The stratified sampling technique was used to identify small retailers based on their business categories. There were seven business categories including grocery, stationery, apparel, kitchen, electronic, kids/gifts, and general merchant/cosmetic shops. The stratified sampling ensured that every eligible small retailer had an equal chance of being selected based on the type of their business. This approach was adopted because different business categories may have responded differently to the emergence of organized retailing due to differences in their product types, customer purchasing </w:t>
      </w:r>
      <w:proofErr w:type="spellStart"/>
      <w:r w:rsidRPr="007641C6">
        <w:rPr>
          <w:rFonts w:ascii="Times New Roman" w:hAnsi="Times New Roman" w:cs="Times New Roman"/>
        </w:rPr>
        <w:t>behavior</w:t>
      </w:r>
      <w:proofErr w:type="spellEnd"/>
      <w:r w:rsidRPr="007641C6">
        <w:rPr>
          <w:rFonts w:ascii="Times New Roman" w:hAnsi="Times New Roman" w:cs="Times New Roman"/>
        </w:rPr>
        <w:t>, pricing strategy, and level of competition among other factors.</w:t>
      </w:r>
    </w:p>
    <w:p w14:paraId="227261D4"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3.10.2 Disproportionate Stratified Sampling</w:t>
      </w:r>
    </w:p>
    <w:p w14:paraId="191FC7A0" w14:textId="2D8E900D"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A disproportionate stratified sampling design was adopted to select 380 small retailers from the seven identified business categories. This approach was used because the target population within the business categories was different in terms of size. A proportional stratified sampling </w:t>
      </w:r>
      <w:r w:rsidRPr="007641C6">
        <w:rPr>
          <w:rFonts w:ascii="Times New Roman" w:hAnsi="Times New Roman" w:cs="Times New Roman"/>
        </w:rPr>
        <w:lastRenderedPageBreak/>
        <w:t xml:space="preserve">technique might have been appropriate if the sample size was distributed to reflect the proportion of each category. However, the minimum number of respondents was taken from each category while considering their population size. This technique allowed the study to take due </w:t>
      </w:r>
      <w:r w:rsidR="00CE6AE5">
        <w:rPr>
          <w:rFonts w:ascii="Times New Roman" w:hAnsi="Times New Roman" w:cs="Times New Roman"/>
        </w:rPr>
        <w:t>consideration</w:t>
      </w:r>
      <w:r w:rsidRPr="007641C6">
        <w:rPr>
          <w:rFonts w:ascii="Times New Roman" w:hAnsi="Times New Roman" w:cs="Times New Roman"/>
        </w:rPr>
        <w:t xml:space="preserve"> of different sizes of the target population and ensured that there was a balance in the sample allocation among the categories in order to facilitate comparative analysis.</w:t>
      </w:r>
    </w:p>
    <w:p w14:paraId="733A1525"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3.10.3 Proportionate Sampling of Consumers</w:t>
      </w:r>
    </w:p>
    <w:p w14:paraId="164A2C59"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A total of 393 respondents were selected from Itanagar, </w:t>
      </w:r>
      <w:proofErr w:type="spellStart"/>
      <w:r w:rsidRPr="007641C6">
        <w:rPr>
          <w:rFonts w:ascii="Times New Roman" w:hAnsi="Times New Roman" w:cs="Times New Roman"/>
        </w:rPr>
        <w:t>Naharlagun</w:t>
      </w:r>
      <w:proofErr w:type="spellEnd"/>
      <w:r w:rsidRPr="007641C6">
        <w:rPr>
          <w:rFonts w:ascii="Times New Roman" w:hAnsi="Times New Roman" w:cs="Times New Roman"/>
        </w:rPr>
        <w:t xml:space="preserve"> and </w:t>
      </w:r>
      <w:proofErr w:type="spellStart"/>
      <w:r w:rsidRPr="007641C6">
        <w:rPr>
          <w:rFonts w:ascii="Times New Roman" w:hAnsi="Times New Roman" w:cs="Times New Roman"/>
        </w:rPr>
        <w:t>Banderdewa</w:t>
      </w:r>
      <w:proofErr w:type="spellEnd"/>
      <w:r w:rsidRPr="007641C6">
        <w:rPr>
          <w:rFonts w:ascii="Times New Roman" w:hAnsi="Times New Roman" w:cs="Times New Roman"/>
        </w:rPr>
        <w:t xml:space="preserve"> according to their population sizes. This was done by applying the proportionate sampling technique to ensure that each area was well represented based on the number of families. This approach was taken because it would allow an equal representation of respondents from the identified areas with regard to their population sizes.</w:t>
      </w:r>
    </w:p>
    <w:p w14:paraId="36940835"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3.10.4 Selection of Individual Respondents</w:t>
      </w:r>
    </w:p>
    <w:p w14:paraId="680BA3BB" w14:textId="7348B7A2"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respondent on behalf of the small retailers was an owner, operator</w:t>
      </w:r>
      <w:r w:rsidR="00CE6AE5">
        <w:rPr>
          <w:rFonts w:ascii="Times New Roman" w:hAnsi="Times New Roman" w:cs="Times New Roman"/>
        </w:rPr>
        <w:t>,</w:t>
      </w:r>
      <w:r w:rsidRPr="007641C6">
        <w:rPr>
          <w:rFonts w:ascii="Times New Roman" w:hAnsi="Times New Roman" w:cs="Times New Roman"/>
        </w:rPr>
        <w:t xml:space="preserve"> or member of an influential body representing the eligible retail-establishment category in the study area. In case of consumers, the respondents were members of households or individuals shopping in the study area. Thus, the sampling process was appropriate because it ensured a mixed but equal representation of </w:t>
      </w:r>
      <w:r w:rsidR="00CE6AE5">
        <w:rPr>
          <w:rFonts w:ascii="Times New Roman" w:hAnsi="Times New Roman" w:cs="Times New Roman"/>
        </w:rPr>
        <w:t xml:space="preserve">the </w:t>
      </w:r>
      <w:r w:rsidRPr="007641C6">
        <w:rPr>
          <w:rFonts w:ascii="Times New Roman" w:hAnsi="Times New Roman" w:cs="Times New Roman"/>
        </w:rPr>
        <w:t>supply side (small retailers) and demand side (consumers).</w:t>
      </w:r>
    </w:p>
    <w:p w14:paraId="72C21721"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3.11 Sources of Data</w:t>
      </w:r>
    </w:p>
    <w:p w14:paraId="1AFE4181"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3.11.1 Primary Data</w:t>
      </w:r>
    </w:p>
    <w:p w14:paraId="2723B6B9" w14:textId="0DA7ED75"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Primary data were collected from small retailers and consumers in the Itanagar Capital Region using questionnaires. The information sought from the retailer respondents included descriptions of their business, implications of organized retailing, sales and profit, strategies for competition, customer relationships, application of technology</w:t>
      </w:r>
      <w:r w:rsidR="00CE6AE5">
        <w:rPr>
          <w:rFonts w:ascii="Times New Roman" w:hAnsi="Times New Roman" w:cs="Times New Roman"/>
        </w:rPr>
        <w:t>,</w:t>
      </w:r>
      <w:r w:rsidRPr="007641C6">
        <w:rPr>
          <w:rFonts w:ascii="Times New Roman" w:hAnsi="Times New Roman" w:cs="Times New Roman"/>
        </w:rPr>
        <w:t xml:space="preserve"> and prospects. Information collected from the consumer respondents focused on their socio-economic profile, level of shopping and store preference, factors influencing their choice of a particular store, and perception towards organized and small-scale retailing. The data collected were used to generate descriptive, comparative</w:t>
      </w:r>
      <w:r w:rsidR="00CE6AE5">
        <w:rPr>
          <w:rFonts w:ascii="Times New Roman" w:hAnsi="Times New Roman" w:cs="Times New Roman"/>
        </w:rPr>
        <w:t>,</w:t>
      </w:r>
      <w:r w:rsidRPr="007641C6">
        <w:rPr>
          <w:rFonts w:ascii="Times New Roman" w:hAnsi="Times New Roman" w:cs="Times New Roman"/>
        </w:rPr>
        <w:t xml:space="preserve"> and inferential statistics.</w:t>
      </w:r>
    </w:p>
    <w:p w14:paraId="2025AE47"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3.11.2 Secondary Data</w:t>
      </w:r>
    </w:p>
    <w:p w14:paraId="609B8FD1" w14:textId="1162732B"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secondary data used in the study were obtained from various published and unpublished reports</w:t>
      </w:r>
      <w:r w:rsidR="00CE6AE5">
        <w:rPr>
          <w:rFonts w:ascii="Times New Roman" w:hAnsi="Times New Roman" w:cs="Times New Roman"/>
        </w:rPr>
        <w:t>,</w:t>
      </w:r>
      <w:r w:rsidRPr="007641C6">
        <w:rPr>
          <w:rFonts w:ascii="Times New Roman" w:hAnsi="Times New Roman" w:cs="Times New Roman"/>
        </w:rPr>
        <w:t xml:space="preserve"> including Census publications, Government publications, and </w:t>
      </w:r>
      <w:r w:rsidR="00CE6AE5">
        <w:rPr>
          <w:rFonts w:ascii="Times New Roman" w:hAnsi="Times New Roman" w:cs="Times New Roman"/>
        </w:rPr>
        <w:t>literature</w:t>
      </w:r>
      <w:r w:rsidRPr="007641C6">
        <w:rPr>
          <w:rFonts w:ascii="Times New Roman" w:hAnsi="Times New Roman" w:cs="Times New Roman"/>
        </w:rPr>
        <w:t xml:space="preserve"> from both </w:t>
      </w:r>
      <w:r w:rsidRPr="007641C6">
        <w:rPr>
          <w:rFonts w:ascii="Times New Roman" w:hAnsi="Times New Roman" w:cs="Times New Roman"/>
        </w:rPr>
        <w:lastRenderedPageBreak/>
        <w:t>authenticated internet sites and books. The secondary data provided background information on the scope and nature of the study. In addition, the information supplemented the primary data gathered from small retailers and consumers.</w:t>
      </w:r>
    </w:p>
    <w:p w14:paraId="6C177954"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3.12 Research Instruments</w:t>
      </w:r>
    </w:p>
    <w:p w14:paraId="5B968CD7" w14:textId="2B1AB32F"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There were two research instruments used in the study</w:t>
      </w:r>
      <w:r w:rsidR="00CE6AE5">
        <w:rPr>
          <w:rFonts w:ascii="Times New Roman" w:hAnsi="Times New Roman" w:cs="Times New Roman"/>
        </w:rPr>
        <w:t>,</w:t>
      </w:r>
      <w:r w:rsidRPr="007641C6">
        <w:rPr>
          <w:rFonts w:ascii="Times New Roman" w:hAnsi="Times New Roman" w:cs="Times New Roman"/>
        </w:rPr>
        <w:t xml:space="preserve"> namely; questionnaire for small retailers and </w:t>
      </w:r>
      <w:r w:rsidR="00CE6AE5">
        <w:rPr>
          <w:rFonts w:ascii="Times New Roman" w:hAnsi="Times New Roman" w:cs="Times New Roman"/>
        </w:rPr>
        <w:t xml:space="preserve">a </w:t>
      </w:r>
      <w:r w:rsidRPr="007641C6">
        <w:rPr>
          <w:rFonts w:ascii="Times New Roman" w:hAnsi="Times New Roman" w:cs="Times New Roman"/>
        </w:rPr>
        <w:t>questionnaire for consumers. The study had different questionnaires for the two groups because they had different objectives for completing the questionnaires.</w:t>
      </w:r>
    </w:p>
    <w:p w14:paraId="39A601BA"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3.12.1 Consumer Questionnaire</w:t>
      </w:r>
    </w:p>
    <w:p w14:paraId="309D0C72" w14:textId="7F8D80CF"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questionnaire comprised sections covering the following aspects:</w:t>
      </w:r>
    </w:p>
    <w:p w14:paraId="13F33D05"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Personal profile including name, location, gender, age, marital status, occupation and level of education;</w:t>
      </w:r>
    </w:p>
    <w:p w14:paraId="7578A6DB"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Monthly income and distance from organized retail stores;</w:t>
      </w:r>
    </w:p>
    <w:p w14:paraId="30A608AF"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Frequency of shopping at small retail stores and organized retail stores;</w:t>
      </w:r>
    </w:p>
    <w:p w14:paraId="6CA7F56B"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Factors influencing store selection;</w:t>
      </w:r>
    </w:p>
    <w:p w14:paraId="027EED88"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Factors influencing shopping at small retail stores;</w:t>
      </w:r>
    </w:p>
    <w:p w14:paraId="5A6B1DFF"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Perception of the respondents towards small and organized retail stores.</w:t>
      </w:r>
    </w:p>
    <w:p w14:paraId="5A6AA431"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Most questions in the questionnaire were closed ended and used rating scales to enable statistical analysis of the results.</w:t>
      </w:r>
    </w:p>
    <w:p w14:paraId="4829D380"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3.12.2 Small-Retailer Questionnaire</w:t>
      </w:r>
    </w:p>
    <w:p w14:paraId="07A3BE54"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small-retailer questionnaire covered the following aspects:</w:t>
      </w:r>
    </w:p>
    <w:p w14:paraId="2FC9546A"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Personal profile, including name, occupation, and business profile such as type of business and its duration;</w:t>
      </w:r>
    </w:p>
    <w:p w14:paraId="59B82D50"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Number of employees, selling price range, and turnover;</w:t>
      </w:r>
    </w:p>
    <w:p w14:paraId="09AF48DB"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Impacts of organized retailing on sales, profit, and customer demand;</w:t>
      </w:r>
    </w:p>
    <w:p w14:paraId="248AB787"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Strategies for combating competition;</w:t>
      </w:r>
    </w:p>
    <w:p w14:paraId="78AF71D5"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Customer relationship and service;</w:t>
      </w:r>
    </w:p>
    <w:p w14:paraId="7DAEF6A1"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lastRenderedPageBreak/>
        <w:t>• Technology and digital payment;</w:t>
      </w:r>
    </w:p>
    <w:p w14:paraId="3C38813D"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Future prospects and competition;</w:t>
      </w:r>
    </w:p>
    <w:p w14:paraId="5EC2D9A6"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Factors influencing competitiveness and future business prospects.</w:t>
      </w:r>
    </w:p>
    <w:p w14:paraId="7424A2FF"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3.12.3 Nature of Questionnaire Items</w:t>
      </w:r>
    </w:p>
    <w:p w14:paraId="3C8E0DD8"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Most of the questions in the questionnaires were closed ended. The questionnaires also had multiple-choice items and categorical items. In addition, items were also presented in range format for ease of respondents’ responses. There were also questions for the respondents to provide open-ended responses. However, the open-ended responses were limited because most of the questions used a five-point Likert scale.</w:t>
      </w:r>
    </w:p>
    <w:p w14:paraId="4C39D4ED"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3.13 Structure of Consumer Questionnaire</w:t>
      </w:r>
    </w:p>
    <w:p w14:paraId="61AA6994" w14:textId="452C39A5"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The questionnaire used to gather information from the consumer respondents had various sections. The sections were aimed at obtaining information from the respondents on their personal profile, shopping </w:t>
      </w:r>
      <w:proofErr w:type="spellStart"/>
      <w:r w:rsidRPr="007641C6">
        <w:rPr>
          <w:rFonts w:ascii="Times New Roman" w:hAnsi="Times New Roman" w:cs="Times New Roman"/>
        </w:rPr>
        <w:t>behavior</w:t>
      </w:r>
      <w:proofErr w:type="spellEnd"/>
      <w:r w:rsidR="00CE6AE5">
        <w:rPr>
          <w:rFonts w:ascii="Times New Roman" w:hAnsi="Times New Roman" w:cs="Times New Roman"/>
        </w:rPr>
        <w:t>,</w:t>
      </w:r>
      <w:r w:rsidRPr="007641C6">
        <w:rPr>
          <w:rFonts w:ascii="Times New Roman" w:hAnsi="Times New Roman" w:cs="Times New Roman"/>
        </w:rPr>
        <w:t xml:space="preserve"> and factors influencing the purchase decision.</w:t>
      </w:r>
    </w:p>
    <w:p w14:paraId="61A138AB"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3.13.1 Section A – Personal Profile</w:t>
      </w:r>
    </w:p>
    <w:p w14:paraId="0107D32A" w14:textId="185DEF32"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Section A aimed at obtaining </w:t>
      </w:r>
      <w:r w:rsidR="00CE6AE5">
        <w:rPr>
          <w:rFonts w:ascii="Times New Roman" w:hAnsi="Times New Roman" w:cs="Times New Roman"/>
        </w:rPr>
        <w:t>demographic</w:t>
      </w:r>
      <w:r w:rsidRPr="007641C6">
        <w:rPr>
          <w:rFonts w:ascii="Times New Roman" w:hAnsi="Times New Roman" w:cs="Times New Roman"/>
        </w:rPr>
        <w:t xml:space="preserve"> information of the consumers such as name, location, gender, age, marital status, occupation and level of education. This information was used to describe the consumer population and enable comparative analysis.</w:t>
      </w:r>
    </w:p>
    <w:p w14:paraId="243C99F9"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3.13.2 Section B – Consumer Behaviour</w:t>
      </w:r>
    </w:p>
    <w:p w14:paraId="43EBA346" w14:textId="7E8D11D6"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Section B comprised questions seeking information on the respondents’ monthly income, distance from the nearest organized retail store, and frequency of shopping at both small retail stores and organized retail stores. This information was relevant in </w:t>
      </w:r>
      <w:proofErr w:type="spellStart"/>
      <w:r w:rsidRPr="007641C6">
        <w:rPr>
          <w:rFonts w:ascii="Times New Roman" w:hAnsi="Times New Roman" w:cs="Times New Roman"/>
        </w:rPr>
        <w:t>analyzing</w:t>
      </w:r>
      <w:proofErr w:type="spellEnd"/>
      <w:r w:rsidRPr="007641C6">
        <w:rPr>
          <w:rFonts w:ascii="Times New Roman" w:hAnsi="Times New Roman" w:cs="Times New Roman"/>
        </w:rPr>
        <w:t xml:space="preserve"> the purchasing </w:t>
      </w:r>
      <w:proofErr w:type="spellStart"/>
      <w:r w:rsidRPr="007641C6">
        <w:rPr>
          <w:rFonts w:ascii="Times New Roman" w:hAnsi="Times New Roman" w:cs="Times New Roman"/>
        </w:rPr>
        <w:t>behavior</w:t>
      </w:r>
      <w:proofErr w:type="spellEnd"/>
      <w:r w:rsidRPr="007641C6">
        <w:rPr>
          <w:rFonts w:ascii="Times New Roman" w:hAnsi="Times New Roman" w:cs="Times New Roman"/>
        </w:rPr>
        <w:t xml:space="preserve"> of the respondents.</w:t>
      </w:r>
    </w:p>
    <w:p w14:paraId="41E39427"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3.13.3 Factors Influencing Store Choice</w:t>
      </w:r>
    </w:p>
    <w:p w14:paraId="52B7648C" w14:textId="0341431C"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The questions sought to establish the importance of factors such as variety in commodities, discounts, </w:t>
      </w:r>
      <w:r w:rsidR="00CE6AE5">
        <w:rPr>
          <w:rFonts w:ascii="Times New Roman" w:hAnsi="Times New Roman" w:cs="Times New Roman"/>
        </w:rPr>
        <w:t>customer-friendly</w:t>
      </w:r>
      <w:r w:rsidRPr="007641C6">
        <w:rPr>
          <w:rFonts w:ascii="Times New Roman" w:hAnsi="Times New Roman" w:cs="Times New Roman"/>
        </w:rPr>
        <w:t xml:space="preserve"> services, convenience</w:t>
      </w:r>
      <w:r w:rsidR="00CE6AE5">
        <w:rPr>
          <w:rFonts w:ascii="Times New Roman" w:hAnsi="Times New Roman" w:cs="Times New Roman"/>
        </w:rPr>
        <w:t>,</w:t>
      </w:r>
      <w:r w:rsidRPr="007641C6">
        <w:rPr>
          <w:rFonts w:ascii="Times New Roman" w:hAnsi="Times New Roman" w:cs="Times New Roman"/>
        </w:rPr>
        <w:t xml:space="preserve"> and availability of branded goods in influencing the consumer’s choice of a particular store.</w:t>
      </w:r>
    </w:p>
    <w:p w14:paraId="60993A88"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3.13.4 Factors Influencing Shopping in Small Retail Stores</w:t>
      </w:r>
    </w:p>
    <w:p w14:paraId="71674DEB" w14:textId="574E1A79"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lastRenderedPageBreak/>
        <w:t xml:space="preserve">The questions targeted factors such as availability of bargaining options, time-saving, </w:t>
      </w:r>
      <w:r w:rsidR="00CE6AE5">
        <w:rPr>
          <w:rFonts w:ascii="Times New Roman" w:hAnsi="Times New Roman" w:cs="Times New Roman"/>
        </w:rPr>
        <w:t>customer-friendly</w:t>
      </w:r>
      <w:r w:rsidRPr="007641C6">
        <w:rPr>
          <w:rFonts w:ascii="Times New Roman" w:hAnsi="Times New Roman" w:cs="Times New Roman"/>
        </w:rPr>
        <w:t xml:space="preserve"> services, support to </w:t>
      </w:r>
      <w:r w:rsidR="00CE6AE5">
        <w:rPr>
          <w:rFonts w:ascii="Times New Roman" w:hAnsi="Times New Roman" w:cs="Times New Roman"/>
        </w:rPr>
        <w:t>small-scale</w:t>
      </w:r>
      <w:r w:rsidRPr="007641C6">
        <w:rPr>
          <w:rFonts w:ascii="Times New Roman" w:hAnsi="Times New Roman" w:cs="Times New Roman"/>
        </w:rPr>
        <w:t xml:space="preserve"> retailers</w:t>
      </w:r>
      <w:r w:rsidR="00CE6AE5">
        <w:rPr>
          <w:rFonts w:ascii="Times New Roman" w:hAnsi="Times New Roman" w:cs="Times New Roman"/>
        </w:rPr>
        <w:t>,</w:t>
      </w:r>
      <w:r w:rsidRPr="007641C6">
        <w:rPr>
          <w:rFonts w:ascii="Times New Roman" w:hAnsi="Times New Roman" w:cs="Times New Roman"/>
        </w:rPr>
        <w:t xml:space="preserve"> and easy payment options in influencing the consumer’s choice of small retail stores.</w:t>
      </w:r>
    </w:p>
    <w:p w14:paraId="23251A66"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3.13.5 Consumer Perception of Organized Retailers</w:t>
      </w:r>
    </w:p>
    <w:p w14:paraId="61726F6E"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questions aimed at determining the perception of the consumer towards organized retail stores. The issues covered included the variety and quality of commodities, competitive prices, customer friendly services and payment options, and availability of discounts.</w:t>
      </w:r>
    </w:p>
    <w:p w14:paraId="7E29A786"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3.13.6 Consumer Perception of Small Retail Stores</w:t>
      </w:r>
    </w:p>
    <w:p w14:paraId="0FFD9BF7" w14:textId="1F0CB458" w:rsidR="000B1DAD"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Similar issues covered in questions 5 were addressed but in relation to small retail stores. This enabled comparison of the perception of the consumers towards organized and small retail stores.</w:t>
      </w:r>
    </w:p>
    <w:p w14:paraId="2E4C0ED1"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 Structure of Small-Retailer Questionnaire</w:t>
      </w:r>
    </w:p>
    <w:p w14:paraId="36E123F2"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small-retailer questionnaire aimed to capture the business characteristics, impact of organised retailing, competitive strategies, technology adoption and future business prospects.</w:t>
      </w:r>
    </w:p>
    <w:p w14:paraId="762CC158"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3.14.1 Section A: Personal and Business Profile</w:t>
      </w:r>
    </w:p>
    <w:p w14:paraId="2E024348"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captured the business name, location, gender, years of experience, age, marital status, level of education and number of employees.</w:t>
      </w:r>
    </w:p>
    <w:p w14:paraId="27DBF3CE"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3.14.2 Section B: Nature of Small-Retail Business</w:t>
      </w:r>
    </w:p>
    <w:p w14:paraId="3C24E6B9" w14:textId="0BE10286"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collected information on the type of retail business, years of experience, minimum and maximum selling prices</w:t>
      </w:r>
      <w:r w:rsidR="00CE6AE5">
        <w:rPr>
          <w:rFonts w:ascii="Times New Roman" w:hAnsi="Times New Roman" w:cs="Times New Roman"/>
        </w:rPr>
        <w:t>,</w:t>
      </w:r>
      <w:r w:rsidRPr="007641C6">
        <w:rPr>
          <w:rFonts w:ascii="Times New Roman" w:hAnsi="Times New Roman" w:cs="Times New Roman"/>
        </w:rPr>
        <w:t xml:space="preserve"> and average monthly turnover.</w:t>
      </w:r>
    </w:p>
    <w:p w14:paraId="6EB42C95"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3.14.3 Section C: Impact of Organised Retailing</w:t>
      </w:r>
    </w:p>
    <w:p w14:paraId="111F471E"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sought to establish the impact of organised retailing, including its effect on sales, profitability, demand for discounts, stock levels, variety and customer relationships.</w:t>
      </w:r>
    </w:p>
    <w:p w14:paraId="77F80E74"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3.14.4 Section D: Competitive Strategies</w:t>
      </w:r>
    </w:p>
    <w:p w14:paraId="024F8011"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evaluated competitive strategies, including offers, differentiation, personalisation of services and credit facilities.</w:t>
      </w:r>
    </w:p>
    <w:p w14:paraId="3EF0AC78"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3.14.5 Pricing Strategies</w:t>
      </w:r>
    </w:p>
    <w:p w14:paraId="32155C73"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lastRenderedPageBreak/>
        <w:t>This section captured information on pricing strategies, including competitive pricing, additional services, price-matching and loyalty discounts.</w:t>
      </w:r>
    </w:p>
    <w:p w14:paraId="788884FC"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3.14.6 Product Differentiation</w:t>
      </w:r>
    </w:p>
    <w:p w14:paraId="2862B641"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evaluated product differentiation, including better quality, local products, customisation and brand.</w:t>
      </w:r>
    </w:p>
    <w:p w14:paraId="6DF69515"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3.14.7 Customer Relationship and Service</w:t>
      </w:r>
    </w:p>
    <w:p w14:paraId="27C22CAF"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measured customer relationships and services, including personalisation, interaction, communication, feedback and unique customer experience.</w:t>
      </w:r>
    </w:p>
    <w:p w14:paraId="5F38F855"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3.14.8 Technology Adoption</w:t>
      </w:r>
    </w:p>
    <w:p w14:paraId="279BCF04"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captured technology-related issues, including adoption, online/digital payments and barriers to technology adoption.</w:t>
      </w:r>
    </w:p>
    <w:p w14:paraId="1F6182C7"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3.14.9 Section E: Future Strategies and Challenges</w:t>
      </w:r>
    </w:p>
    <w:p w14:paraId="7AE2DA37" w14:textId="64D64269"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sought to establish the future strategies of the small-retailer businesses, including expansion of product range, online presence, customer engagement, and adoption of technology and competitive strategies. It also evaluated future challenges, including competition, pricing, market access, inventory management</w:t>
      </w:r>
      <w:r w:rsidR="00CE6AE5">
        <w:rPr>
          <w:rFonts w:ascii="Times New Roman" w:hAnsi="Times New Roman" w:cs="Times New Roman"/>
        </w:rPr>
        <w:t>,</w:t>
      </w:r>
      <w:r w:rsidRPr="007641C6">
        <w:rPr>
          <w:rFonts w:ascii="Times New Roman" w:hAnsi="Times New Roman" w:cs="Times New Roman"/>
        </w:rPr>
        <w:t xml:space="preserve"> and customer acquisition.</w:t>
      </w:r>
    </w:p>
    <w:p w14:paraId="6BDA6C95"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3.14.10 Factors Affecting Competitiveness</w:t>
      </w:r>
    </w:p>
    <w:p w14:paraId="35849308"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section evaluated competitiveness factors, including lack of funds, poor modern marketing knowledge, poor government support, technological barriers and customer-support limitations.</w:t>
      </w:r>
    </w:p>
    <w:p w14:paraId="3A0959F8"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3.14.11 Future Business Outlook</w:t>
      </w:r>
    </w:p>
    <w:p w14:paraId="13CD648D"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Finally, this section captured the respondents’ future business outlook using a five-point scale, ranging from very optimistic to very pessimistic. This enabled the identification of the general perception of the small-retailer businesses’ future competitiveness and sustainability prospects.</w:t>
      </w:r>
    </w:p>
    <w:p w14:paraId="49972673"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This shortened form of the questionnaire retains all the variables, sampling instructions, dimensions and other aspects needed to inform Chapter 3.</w:t>
      </w:r>
    </w:p>
    <w:p w14:paraId="46AAF094"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3.15 Measurement and Scaling Procedure</w:t>
      </w:r>
    </w:p>
    <w:p w14:paraId="26DC3FB3" w14:textId="73C9A0FC"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study employed nominal, ordinal, and five-point rating scales to measure the variables of interest. Nominal scales were used to measure categorical variables, including gender, location</w:t>
      </w:r>
      <w:r w:rsidR="00CE6AE5">
        <w:rPr>
          <w:rFonts w:ascii="Times New Roman" w:hAnsi="Times New Roman" w:cs="Times New Roman"/>
        </w:rPr>
        <w:t>,</w:t>
      </w:r>
      <w:r w:rsidRPr="007641C6">
        <w:rPr>
          <w:rFonts w:ascii="Times New Roman" w:hAnsi="Times New Roman" w:cs="Times New Roman"/>
        </w:rPr>
        <w:t xml:space="preserve"> </w:t>
      </w:r>
      <w:r w:rsidRPr="007641C6">
        <w:rPr>
          <w:rFonts w:ascii="Times New Roman" w:hAnsi="Times New Roman" w:cs="Times New Roman"/>
        </w:rPr>
        <w:lastRenderedPageBreak/>
        <w:t>and type of business. Ordinal scales were used to measure variables such as age, income, education, experience</w:t>
      </w:r>
      <w:r w:rsidR="00CE6AE5">
        <w:rPr>
          <w:rFonts w:ascii="Times New Roman" w:hAnsi="Times New Roman" w:cs="Times New Roman"/>
        </w:rPr>
        <w:t>,</w:t>
      </w:r>
      <w:r w:rsidRPr="007641C6">
        <w:rPr>
          <w:rFonts w:ascii="Times New Roman" w:hAnsi="Times New Roman" w:cs="Times New Roman"/>
        </w:rPr>
        <w:t xml:space="preserve"> and frequency of shopping. Finally, five-point rating scales were used to measure consumer perception, strategies, challenges, technology barriers, and customer service.</w:t>
      </w:r>
    </w:p>
    <w:p w14:paraId="6A847903" w14:textId="4AD3333D"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Likert agreement scales were used to measure perception, with 1 being strongly disagree and 5 being strongly agree. Strategy adoption, future strategy support, challenges</w:t>
      </w:r>
      <w:r w:rsidR="00CE6AE5">
        <w:rPr>
          <w:rFonts w:ascii="Times New Roman" w:hAnsi="Times New Roman" w:cs="Times New Roman"/>
        </w:rPr>
        <w:t>,</w:t>
      </w:r>
      <w:r w:rsidRPr="007641C6">
        <w:rPr>
          <w:rFonts w:ascii="Times New Roman" w:hAnsi="Times New Roman" w:cs="Times New Roman"/>
        </w:rPr>
        <w:t xml:space="preserve"> and customer-service frequency were similarly measured using appropriate five-point scales, with higher scores indicating higher levels of adoption, support, challenges</w:t>
      </w:r>
      <w:r w:rsidR="00CE6AE5">
        <w:rPr>
          <w:rFonts w:ascii="Times New Roman" w:hAnsi="Times New Roman" w:cs="Times New Roman"/>
        </w:rPr>
        <w:t>,</w:t>
      </w:r>
      <w:r w:rsidRPr="007641C6">
        <w:rPr>
          <w:rFonts w:ascii="Times New Roman" w:hAnsi="Times New Roman" w:cs="Times New Roman"/>
        </w:rPr>
        <w:t xml:space="preserve"> and frequency of customer service.</w:t>
      </w:r>
    </w:p>
    <w:p w14:paraId="772350C3"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3.16 Operationalisation of Variables</w:t>
      </w:r>
    </w:p>
    <w:p w14:paraId="20DE3F87"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variables used in the study were operationalised as follows:</w:t>
      </w:r>
    </w:p>
    <w:p w14:paraId="0937ED19"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Organised retailing: Accessibility, variety, discounts and brand value.</w:t>
      </w:r>
    </w:p>
    <w:p w14:paraId="418F7D66"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Business performance: Sales, profitability, turnover, stock levels and customer demand.</w:t>
      </w:r>
    </w:p>
    <w:p w14:paraId="38CA7710"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Consumer behaviour and perception: Shopping frequency, store preference, price, variety, convenience, service and discounts.</w:t>
      </w:r>
    </w:p>
    <w:p w14:paraId="4A4685D1" w14:textId="297EC695"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Social capital and informal credit: Customer </w:t>
      </w:r>
      <w:r>
        <w:rPr>
          <w:rFonts w:ascii="Times New Roman" w:hAnsi="Times New Roman" w:cs="Times New Roman"/>
        </w:rPr>
        <w:t>relationships</w:t>
      </w:r>
      <w:r w:rsidRPr="007641C6">
        <w:rPr>
          <w:rFonts w:ascii="Times New Roman" w:hAnsi="Times New Roman" w:cs="Times New Roman"/>
        </w:rPr>
        <w:t>, loyalty, bargaining and credit facilities.</w:t>
      </w:r>
    </w:p>
    <w:p w14:paraId="0E887713"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Strategic adaptation: Promotion, pricing, product adaptation, customer engagement and technology adoption.</w:t>
      </w:r>
    </w:p>
    <w:p w14:paraId="244CC6B5"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Technology adoption: Online/digital payments, online presence and technology use.</w:t>
      </w:r>
    </w:p>
    <w:p w14:paraId="306FC713"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Competitive challenges: Price competition, market access, stock management, supply chain and funding constraints.</w:t>
      </w:r>
    </w:p>
    <w:p w14:paraId="4B34FC05"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Future strategies: Expansion of product range, online presence, technology adoption and aggressive customer engagement.</w:t>
      </w:r>
    </w:p>
    <w:p w14:paraId="4AB516AB"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3.17 Alignment of Objectives, Variables and Questionnaire Items</w:t>
      </w:r>
    </w:p>
    <w:p w14:paraId="20338992" w14:textId="74CB608A"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The questionnaires were developed in line with the research objectives. Objective 1 focused on business characteristics, including business type, turnover, number of employees, experience, and location. Objective 2 evaluated the impact of organised retailing, including its effect on sales, profitability, customer demand, stock levels and business environment. Objective 3 </w:t>
      </w:r>
      <w:r w:rsidRPr="007641C6">
        <w:rPr>
          <w:rFonts w:ascii="Times New Roman" w:hAnsi="Times New Roman" w:cs="Times New Roman"/>
        </w:rPr>
        <w:lastRenderedPageBreak/>
        <w:t xml:space="preserve">focused on consumer behaviour and perception, as described in the operationalisation section above. Objective 4 measured competitive strategies, including pricing, customer relationship, product adaptation and technology adoption. Finally, </w:t>
      </w:r>
      <w:r w:rsidR="00CE6AE5">
        <w:rPr>
          <w:rFonts w:ascii="Times New Roman" w:hAnsi="Times New Roman" w:cs="Times New Roman"/>
        </w:rPr>
        <w:t>Objective</w:t>
      </w:r>
      <w:r w:rsidRPr="007641C6">
        <w:rPr>
          <w:rFonts w:ascii="Times New Roman" w:hAnsi="Times New Roman" w:cs="Times New Roman"/>
        </w:rPr>
        <w:t xml:space="preserve"> 5 evaluated future strategies, government support and competitiveness challenges.</w:t>
      </w:r>
    </w:p>
    <w:p w14:paraId="74316BA5"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3.18 Alignment of Research Questions, Objectives and Hypotheses</w:t>
      </w:r>
    </w:p>
    <w:p w14:paraId="26FB8F54" w14:textId="26DFEEF5"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research questions were designed in line with the objectives and guided the development of the questionnaire items. Similarly, the hypotheses were developed in line with the research questions and were used to evaluate business performance (H1), consumer preference (H2), social capital and informal credit (H3), strategic adaptation and resilience (H4), product and pricing adaptation (H5)</w:t>
      </w:r>
      <w:r w:rsidR="00CE6AE5">
        <w:rPr>
          <w:rFonts w:ascii="Times New Roman" w:hAnsi="Times New Roman" w:cs="Times New Roman"/>
        </w:rPr>
        <w:t>,</w:t>
      </w:r>
      <w:r w:rsidRPr="007641C6">
        <w:rPr>
          <w:rFonts w:ascii="Times New Roman" w:hAnsi="Times New Roman" w:cs="Times New Roman"/>
        </w:rPr>
        <w:t xml:space="preserve"> and employment and livelihood (H6).</w:t>
      </w:r>
    </w:p>
    <w:p w14:paraId="1BB6630F"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3.19 Development of the Research Instrument</w:t>
      </w:r>
    </w:p>
    <w:p w14:paraId="3F02EC40"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research instruments were developed through extensive literature searches and the identification of key areas and indicators that informed the research objectives, questions, hypotheses and variables. The initial draft of the questionnaire was developed and subjected to expert review, including recommendations for improvements and modifications. A total of two versions of the questionnaires were developed and administered to the selected samples, with one targeting consumers and the other targeting small retailers. Each version underwent extensive development and revision to ensure validity and reliability in capturing the intended information and addressing the research objectives.</w:t>
      </w:r>
    </w:p>
    <w:p w14:paraId="6E2E16C2"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3.20 Pilot Study</w:t>
      </w:r>
    </w:p>
    <w:p w14:paraId="792C0390"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A pilot study was undertaken to examine the relevance, clarity, length, feasibility and reliability of the research instruments. The pilot version of the questionnaires was administered to a small sample of participants, selected from the general target populations. However, the pilot participants were not part of the final sampled population.</w:t>
      </w:r>
    </w:p>
    <w:p w14:paraId="2891AB84"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pilot study assessed the length and relevance of the questions, as well as the general clarity and simplicity of the response options. Recommendations were integrated, including the re-wording of some questions and improvement of the general structure of the questionnaires. Further, preliminary consistency or reliability checks were undertaken by examining Cronbach’s Alpha values for related items. The pilot findings informed the necessary adjustments to the main questionnaires before finalising the versions administered to the main sample.</w:t>
      </w:r>
    </w:p>
    <w:p w14:paraId="776DB8B2"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lastRenderedPageBreak/>
        <w:t>3.21 Validity of the Research Instrument</w:t>
      </w:r>
    </w:p>
    <w:p w14:paraId="47538B63" w14:textId="2BDFDF02"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Validity refers to the extent to which the instrument measures what it is intended to measure. Validity was established in several stages, including content validity, face validity, construct validity</w:t>
      </w:r>
      <w:r w:rsidR="00CE6AE5">
        <w:rPr>
          <w:rFonts w:ascii="Times New Roman" w:hAnsi="Times New Roman" w:cs="Times New Roman"/>
        </w:rPr>
        <w:t>,</w:t>
      </w:r>
      <w:r w:rsidRPr="007641C6">
        <w:rPr>
          <w:rFonts w:ascii="Times New Roman" w:hAnsi="Times New Roman" w:cs="Times New Roman"/>
        </w:rPr>
        <w:t xml:space="preserve"> and expert review. Content validity was ensured by developing items in line with the research objectives, questions, hypotheses and background information. Face validity was established by reviewing the items for clarity and relevance before finalising the version administered to the target populations. Construct validity was established by examining the general structure of the questionnaire, ensuring that items grouped made sense and were consistent. Expert review further supported validity by evaluating the relevance and clarity of the items.</w:t>
      </w:r>
    </w:p>
    <w:p w14:paraId="6B171F37"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3.22 Reliability of the Research Instrument</w:t>
      </w:r>
    </w:p>
    <w:p w14:paraId="71158168"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Reliability refers to the extent to which the instrument yields consistent results upon replication of the study. Reliability was established through internal consistency, which was examined for all items using Cronbach’s Alpha. Reliability was evaluated for major areas of analysis, including consumer perception, impact of organised retailing, competitive strategies, social capital and informal credit, product and pricing adaptation, technology adoption, and competitive challenges. Items with lower Cronbach’s Alpha scores were carefully examined for conceptual consistency before proceeding with the analysis of the final data.</w:t>
      </w:r>
    </w:p>
    <w:p w14:paraId="61125982"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3.23 Data Collection Procedure</w:t>
      </w:r>
    </w:p>
    <w:p w14:paraId="1800AB44"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The data were collected from 380 small retailers and 393 consumers in Itanagar, </w:t>
      </w:r>
      <w:proofErr w:type="spellStart"/>
      <w:r w:rsidRPr="007641C6">
        <w:rPr>
          <w:rFonts w:ascii="Times New Roman" w:hAnsi="Times New Roman" w:cs="Times New Roman"/>
        </w:rPr>
        <w:t>Naharlagun</w:t>
      </w:r>
      <w:proofErr w:type="spellEnd"/>
      <w:r w:rsidRPr="007641C6">
        <w:rPr>
          <w:rFonts w:ascii="Times New Roman" w:hAnsi="Times New Roman" w:cs="Times New Roman"/>
        </w:rPr>
        <w:t xml:space="preserve"> and </w:t>
      </w:r>
      <w:proofErr w:type="spellStart"/>
      <w:r w:rsidRPr="007641C6">
        <w:rPr>
          <w:rFonts w:ascii="Times New Roman" w:hAnsi="Times New Roman" w:cs="Times New Roman"/>
        </w:rPr>
        <w:t>Banderdewa</w:t>
      </w:r>
      <w:proofErr w:type="spellEnd"/>
      <w:r w:rsidRPr="007641C6">
        <w:rPr>
          <w:rFonts w:ascii="Times New Roman" w:hAnsi="Times New Roman" w:cs="Times New Roman"/>
        </w:rPr>
        <w:t>. The respondents were selected using the sampling procedures described in detail in Chapter 3. In this regard, the small-retailer respondents were selected from the final category list, whereas the consumer respondents followed the household-based selection procedure.</w:t>
      </w:r>
    </w:p>
    <w:p w14:paraId="6CB71DC7" w14:textId="77777777"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The respondents received the questionnaires and completed them based on their understanding of the items. On completion, the respondents returned the questionnaires, which were reviewed to ensure that all items had been addressed appropriately. Where necessary, respondents with incomplete or invalid responses were removed from the analysis. The responses were compiled and prepared for analysis.</w:t>
      </w:r>
    </w:p>
    <w:p w14:paraId="47FE3F79" w14:textId="77777777" w:rsidR="007641C6" w:rsidRPr="007641C6" w:rsidRDefault="007641C6" w:rsidP="007641C6">
      <w:pPr>
        <w:spacing w:line="360" w:lineRule="auto"/>
        <w:jc w:val="both"/>
        <w:rPr>
          <w:rFonts w:ascii="Times New Roman" w:hAnsi="Times New Roman" w:cs="Times New Roman"/>
          <w:b/>
          <w:bCs/>
        </w:rPr>
      </w:pPr>
      <w:r w:rsidRPr="007641C6">
        <w:rPr>
          <w:rFonts w:ascii="Times New Roman" w:hAnsi="Times New Roman" w:cs="Times New Roman"/>
          <w:b/>
          <w:bCs/>
        </w:rPr>
        <w:t>3.24 Data Processing and Preparation</w:t>
      </w:r>
    </w:p>
    <w:p w14:paraId="7FD5D93F" w14:textId="7DAD81BD"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lastRenderedPageBreak/>
        <w:t>The collected data were processed, coded and analysed using SPSS statistical software. Initially, the data were edited and cleaned to ensure that all details had been captured correctly and consistently. The numerical codes were then assigned to categorical and ordinal items, with Likert scales indicating the level of agreement or disagreement for the relevant items. The final step involved reviewing the dataset to ensure that there were no duplicates, coding errors</w:t>
      </w:r>
      <w:r w:rsidR="00CE6AE5">
        <w:rPr>
          <w:rFonts w:ascii="Times New Roman" w:hAnsi="Times New Roman" w:cs="Times New Roman"/>
        </w:rPr>
        <w:t>,</w:t>
      </w:r>
      <w:r w:rsidRPr="007641C6">
        <w:rPr>
          <w:rFonts w:ascii="Times New Roman" w:hAnsi="Times New Roman" w:cs="Times New Roman"/>
        </w:rPr>
        <w:t xml:space="preserve"> or inconsistencies in responses.</w:t>
      </w:r>
    </w:p>
    <w:p w14:paraId="6790A231" w14:textId="7878B2A3" w:rsidR="007641C6" w:rsidRPr="007641C6" w:rsidRDefault="007641C6" w:rsidP="007641C6">
      <w:pPr>
        <w:spacing w:line="360" w:lineRule="auto"/>
        <w:jc w:val="both"/>
        <w:rPr>
          <w:rFonts w:ascii="Times New Roman" w:hAnsi="Times New Roman" w:cs="Times New Roman"/>
        </w:rPr>
      </w:pPr>
      <w:r w:rsidRPr="007641C6">
        <w:rPr>
          <w:rFonts w:ascii="Times New Roman" w:hAnsi="Times New Roman" w:cs="Times New Roman"/>
        </w:rPr>
        <w:t xml:space="preserve">Where necessary, negatively worded items were </w:t>
      </w:r>
      <w:r>
        <w:rPr>
          <w:rFonts w:ascii="Times New Roman" w:hAnsi="Times New Roman" w:cs="Times New Roman"/>
        </w:rPr>
        <w:t>reverse-scored</w:t>
      </w:r>
      <w:r w:rsidRPr="007641C6">
        <w:rPr>
          <w:rFonts w:ascii="Times New Roman" w:hAnsi="Times New Roman" w:cs="Times New Roman"/>
        </w:rPr>
        <w:t xml:space="preserve"> before proceeding with the analysis. Further, relevant items were combined to generate composite scores that reflected the key areas of analysis. Finally, the coded dataset was prepared for descriptive analysis, inferential statistics and hypothesis testing.</w:t>
      </w:r>
    </w:p>
    <w:p w14:paraId="396605C9"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 Statistical Tools and Techniques</w:t>
      </w:r>
    </w:p>
    <w:p w14:paraId="19F8BFD2" w14:textId="63E397B4"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information collected was </w:t>
      </w:r>
      <w:proofErr w:type="spellStart"/>
      <w:r w:rsidRPr="00332319">
        <w:rPr>
          <w:rFonts w:ascii="Times New Roman" w:hAnsi="Times New Roman" w:cs="Times New Roman"/>
        </w:rPr>
        <w:t>analyzed</w:t>
      </w:r>
      <w:proofErr w:type="spellEnd"/>
      <w:r w:rsidRPr="00332319">
        <w:rPr>
          <w:rFonts w:ascii="Times New Roman" w:hAnsi="Times New Roman" w:cs="Times New Roman"/>
        </w:rPr>
        <w:t xml:space="preserve"> using appropriate statistical tools and techniques depending on the type of data, research objectives</w:t>
      </w:r>
      <w:r w:rsidR="00CE6AE5">
        <w:rPr>
          <w:rFonts w:ascii="Times New Roman" w:hAnsi="Times New Roman" w:cs="Times New Roman"/>
        </w:rPr>
        <w:t>,</w:t>
      </w:r>
      <w:r w:rsidRPr="00332319">
        <w:rPr>
          <w:rFonts w:ascii="Times New Roman" w:hAnsi="Times New Roman" w:cs="Times New Roman"/>
        </w:rPr>
        <w:t xml:space="preserve"> and research questions. Both descriptive and inferential statistics were applied to evaluate the study variables and their relationships.</w:t>
      </w:r>
    </w:p>
    <w:p w14:paraId="76E39FEC"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3.25.1 Descriptive Statistics</w:t>
      </w:r>
    </w:p>
    <w:p w14:paraId="157B0943" w14:textId="28F5E9B5"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Descriptive statistics were primarily used to describe the respondents’ characteristics and pertinent aspects of the retail environment. Frequency and percentage distributions were used to depict categorical and ordinal data</w:t>
      </w:r>
      <w:r w:rsidR="00CE6AE5">
        <w:rPr>
          <w:rFonts w:ascii="Times New Roman" w:hAnsi="Times New Roman" w:cs="Times New Roman"/>
        </w:rPr>
        <w:t>,</w:t>
      </w:r>
      <w:r w:rsidRPr="00332319">
        <w:rPr>
          <w:rFonts w:ascii="Times New Roman" w:hAnsi="Times New Roman" w:cs="Times New Roman"/>
        </w:rPr>
        <w:t xml:space="preserve"> including socio-demographic characteristics, types of retailers, shopping frequency</w:t>
      </w:r>
      <w:r w:rsidR="00CE6AE5">
        <w:rPr>
          <w:rFonts w:ascii="Times New Roman" w:hAnsi="Times New Roman" w:cs="Times New Roman"/>
        </w:rPr>
        <w:t>,</w:t>
      </w:r>
      <w:r w:rsidRPr="00332319">
        <w:rPr>
          <w:rFonts w:ascii="Times New Roman" w:hAnsi="Times New Roman" w:cs="Times New Roman"/>
        </w:rPr>
        <w:t xml:space="preserve"> and technology adoption. On the other hand, means and standard deviations were reported for appropriate interval and ratio data. The mean was used to indicate the central tendency of the data, whereas standard deviation was reported to represent the spread of the data.</w:t>
      </w:r>
    </w:p>
    <w:p w14:paraId="2C1F11CE"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3.25.2 Reliability Analysis</w:t>
      </w:r>
    </w:p>
    <w:p w14:paraId="3EFAC3BC"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reliability analysis was performed to establish the reliability and consistency of the items used in this study. The Cronbach’s Alpha test was used to test the reliability of the composite items. Items with Cronbach’s Alpha scores greater than 0.7 were considered reliable for further analysis.</w:t>
      </w:r>
    </w:p>
    <w:p w14:paraId="3533CA1B"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3.25.3 Normality Assessment</w:t>
      </w:r>
    </w:p>
    <w:p w14:paraId="1EDD3A3D"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A normality assessment was performed to ascertain the distribution properties of the study data. The assessment was done using relevant descriptive statistics such as skewness and kurtosis. </w:t>
      </w:r>
      <w:r w:rsidRPr="00332319">
        <w:rPr>
          <w:rFonts w:ascii="Times New Roman" w:hAnsi="Times New Roman" w:cs="Times New Roman"/>
        </w:rPr>
        <w:lastRenderedPageBreak/>
        <w:t>This step was undertaken to determine whether data were distributed normally so that appropriate statistical techniques could be used.</w:t>
      </w:r>
    </w:p>
    <w:p w14:paraId="280FF421"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3.25.4 Chi-Square Test</w:t>
      </w:r>
    </w:p>
    <w:p w14:paraId="071551C9" w14:textId="05F39822"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chi-square test was used to examine the association between different variables. This test was appropriate for assessing the association between retailer characteristics and categorical variables related to technology </w:t>
      </w:r>
      <w:r w:rsidR="00CE6AE5">
        <w:rPr>
          <w:rFonts w:ascii="Times New Roman" w:hAnsi="Times New Roman" w:cs="Times New Roman"/>
        </w:rPr>
        <w:t>adoption</w:t>
      </w:r>
      <w:r w:rsidRPr="00332319">
        <w:rPr>
          <w:rFonts w:ascii="Times New Roman" w:hAnsi="Times New Roman" w:cs="Times New Roman"/>
        </w:rPr>
        <w:t xml:space="preserve"> and business characteristics. Likewise, the test was used to establish the relationship between selected business characteristics and adoption practices. In this study, the chi-square test was used to determine whether there were significant associations between retailer categories and adoptions or between business characteristics and adoption practices. In general, the test assessed whether the observed distribution of responses was different from the expected distribution.</w:t>
      </w:r>
    </w:p>
    <w:p w14:paraId="57EF3D8C"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3.25.5 Independent-Samples t-Test</w:t>
      </w:r>
    </w:p>
    <w:p w14:paraId="1019002D"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An independent-samples t-test was used to establish whether the mean values of respondents’ responses differed significantly across two independent groups. This test was appropriate for comparing the mean scores of respondents categorized into two groups depending on their responses to selected questions. In some cases, the test was used to compare the mean responses of respondents depending on their business characteristics. Therefore, the statistical test was used to examine whether the mean differences between the two groups were statistically significant.</w:t>
      </w:r>
    </w:p>
    <w:p w14:paraId="2A28696F"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3.25.6 One-Way ANOVA</w:t>
      </w:r>
    </w:p>
    <w:p w14:paraId="6B618BCE"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One-way Analysis of Variance (ANOVA) was used to compare the mean responses of the respondents’ responses to selected questions. The test was appropriate for comparing the responses of respondents depending on their business characteristics or categories. Therefore, this test was used to establish whether there were significant differences among the mean responses of the respondents depending on their business categories. The post-hoc analysis was performed to examine the nature of the differences in the means if the overall differences were found to be significant.</w:t>
      </w:r>
    </w:p>
    <w:p w14:paraId="183D5ECA"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3.25.7 Pearson Correlation</w:t>
      </w:r>
    </w:p>
    <w:p w14:paraId="056A3617"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Pearson’s correlation coefficient was used to assess the degree of linear relationship between two variables. This technique was appropriate to examine the relationship between variables </w:t>
      </w:r>
      <w:r w:rsidRPr="00332319">
        <w:rPr>
          <w:rFonts w:ascii="Times New Roman" w:hAnsi="Times New Roman" w:cs="Times New Roman"/>
        </w:rPr>
        <w:lastRenderedPageBreak/>
        <w:t>measuring organised retail competition and business performance indicators, competitive strategies and business resilience, and consumer perception and store preference. In this study, the correlation coefficient was used to determine whether the examined variables were related and to evaluate the nature and strength of the relationships. The results were interpreted in terms of the research questions and theoretical framework.</w:t>
      </w:r>
    </w:p>
    <w:p w14:paraId="56A9C780"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3.25.8 Regression Analysis</w:t>
      </w:r>
    </w:p>
    <w:p w14:paraId="4A576DB7"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Regression analysis was used to examine the influence of various factors on different aspects of the retail environment in the study area. This technique was appropriate for establishing the predictive influence of selected variables on business performance, consumer preference, and other relevant outcome variables. Organised retailing and competition factors were assessed as predictors of the performance of small retailers. On the other hand, regression analysis was used to evaluate the influence of strategic adaptations, pricing and product mix, and consumer perceptions on business performance and consumer preference. Relevant business aspects such as product variety, price, and convenience were also evaluated as predictors of consumer preference.</w:t>
      </w:r>
    </w:p>
    <w:p w14:paraId="1718D4C2"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3.25.9 Post-Hoc Analysis</w:t>
      </w:r>
    </w:p>
    <w:p w14:paraId="2EA6D0B2" w14:textId="51E03AB2"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post-hoc analysis was performed to determine which of the compared groups had significant differences, if the overall ANOVA analysis indicated significant differences in the group mean responses. The test helped in interpreting the results of the ANOVA test and </w:t>
      </w:r>
      <w:r w:rsidR="00CE6AE5">
        <w:rPr>
          <w:rFonts w:ascii="Times New Roman" w:hAnsi="Times New Roman" w:cs="Times New Roman"/>
        </w:rPr>
        <w:t>determining</w:t>
      </w:r>
      <w:r w:rsidRPr="00332319">
        <w:rPr>
          <w:rFonts w:ascii="Times New Roman" w:hAnsi="Times New Roman" w:cs="Times New Roman"/>
        </w:rPr>
        <w:t xml:space="preserve"> the nature of the differences in the mean responses between the compared groups.</w:t>
      </w:r>
    </w:p>
    <w:p w14:paraId="50A11BAC"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3.26 Hypothesis Testing Framework</w:t>
      </w:r>
    </w:p>
    <w:p w14:paraId="4FAF7B9C"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hypothesis-testing framework was developed to evaluate the conceptual relationships specified in the hypotheses. Both descriptive statistical techniques and inferential statistical techniques were used to examine the relationships between the study variables depending on their level of measurement and specific research questions.</w:t>
      </w:r>
    </w:p>
    <w:p w14:paraId="1A25FF9E"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3.26.1 Hypothesis 1: Impact on Business Performance</w:t>
      </w:r>
    </w:p>
    <w:p w14:paraId="3ECC121C"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Hypothesis 1 assumed that organised retailing significantly affected the business performance of small retailers. Business performance was reflected in the level of sales, profit margins, monthly turnover, stock turnover, and consumer demand for goods and services. Therefore, the analysis focused on examining whether increased exposure or competition from organised </w:t>
      </w:r>
      <w:r w:rsidRPr="00332319">
        <w:rPr>
          <w:rFonts w:ascii="Times New Roman" w:hAnsi="Times New Roman" w:cs="Times New Roman"/>
        </w:rPr>
        <w:lastRenderedPageBreak/>
        <w:t>retailers resulted in significant changes in business performance indicators. The relationships between business performance and competition were assessed using appropriate correlation and regression analysis.</w:t>
      </w:r>
    </w:p>
    <w:p w14:paraId="35DFA17A"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3.26.2 Hypothesis 2: Consumer Behaviour and Preferences</w:t>
      </w:r>
    </w:p>
    <w:p w14:paraId="5F428EF9" w14:textId="08E6616E"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Hypothesis 2 stated that consumer behaviour and preferences significantly predicted the likelihood of shopping at any of the retail formats. Relevant factors affecting consumer preferences were evaluated</w:t>
      </w:r>
      <w:r w:rsidR="00CE6AE5">
        <w:rPr>
          <w:rFonts w:ascii="Times New Roman" w:hAnsi="Times New Roman" w:cs="Times New Roman"/>
        </w:rPr>
        <w:t>,</w:t>
      </w:r>
      <w:r w:rsidRPr="00332319">
        <w:rPr>
          <w:rFonts w:ascii="Times New Roman" w:hAnsi="Times New Roman" w:cs="Times New Roman"/>
        </w:rPr>
        <w:t xml:space="preserve"> including the variety of goods, pricing, convenience, amenities, customer service, discounts, and ease of payment. Therefore, the analysis assessed whether these factors were significant predictors of consumer preferences for either retail format. Descriptive analysis was performed to report general observations on consumer preferences and behaviour. In addition, the relationship between the various consumer characteristics and their preferences was examined using the appropriate statistical techniques.</w:t>
      </w:r>
    </w:p>
    <w:p w14:paraId="1773D581"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3.26.3 Hypothesis 3: Social Capital and Credit</w:t>
      </w:r>
    </w:p>
    <w:p w14:paraId="51D270AE"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Hypothesis 3 examined the relationships between social capital and credit and the likelihood that a given retail shop would survive. Social capital included informal credit and customer loyalty, whereas credit referred to credit facilities extended to ordinary customers. Therefore, the analysis focused on examining whether these social factors predicted the survival of small retail shops while withstanding competition from other established retailers. The analysis evaluated the role of social capital and credit in promoting customer loyalty and supporting the survival of small retail shops.</w:t>
      </w:r>
    </w:p>
    <w:p w14:paraId="1139B39B"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3.26.4 Hypothesis 4: Strategic Adaptation and Resilience</w:t>
      </w:r>
    </w:p>
    <w:p w14:paraId="6DAC0677"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Hypothesis 4 stated that strategic adaptation had a significant positive effect on the resilience of small retailers. Strategic adaptation included adapting to new technologies, adopting digital modes of payments, introducing mobile and online ordering and delivery systems, engaging in promotional campaigns and special offers, and other similar strategies aimed at enhancing competitiveness. Therefore, the analysis examined whether such strategic adaptations as adopted by small retailers significantly predicted business resilience or business performance. The aforementioned relationship was tested using appropriate correlation and regression analysis.</w:t>
      </w:r>
    </w:p>
    <w:p w14:paraId="7B80F62B"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3.26.5 Hypothesis 5: Product Assortment and Pricing</w:t>
      </w:r>
    </w:p>
    <w:p w14:paraId="1D70C20A"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lastRenderedPageBreak/>
        <w:t>Hypothesis 5 assumed that product assortment and pricing significantly predicted the competitiveness of small retailers. Factors affecting product assortment included the variety of goods and services, local production, customisation of goods and services, and brand differentiation. In terms of pricing, pricing strategies such as competitive pricing, price-matching, and loyalty schemes were examined. Therefore, the analysis focused on examining whether the specified factors were significant predictors of the competitiveness of small retailers.</w:t>
      </w:r>
    </w:p>
    <w:p w14:paraId="09D0BB33"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3.26.6 Hypothesis 6: Employment and Livelihood</w:t>
      </w:r>
    </w:p>
    <w:p w14:paraId="645D7082" w14:textId="04D6E707" w:rsidR="007641C6" w:rsidRDefault="00332319" w:rsidP="000B1DAD">
      <w:pPr>
        <w:spacing w:line="360" w:lineRule="auto"/>
        <w:jc w:val="both"/>
        <w:rPr>
          <w:rFonts w:ascii="Times New Roman" w:hAnsi="Times New Roman" w:cs="Times New Roman"/>
        </w:rPr>
      </w:pPr>
      <w:r w:rsidRPr="00332319">
        <w:rPr>
          <w:rFonts w:ascii="Times New Roman" w:hAnsi="Times New Roman" w:cs="Times New Roman"/>
        </w:rPr>
        <w:t>Hypothesis 6 examined the effect of organised-retail competition on employment and livelihood. Employment and livelihood were reflected by the level of employment, number of employees, and general wellbeing of the community as measured by household income. Therefore, this hypothesis was tested to establish whether the competition level of retail shops influenced employment and livelihood in the study area. The findings were used to examine the impact of organised retailing on employment and livelihood in addition to general wellbeing.</w:t>
      </w:r>
    </w:p>
    <w:p w14:paraId="40DBB936"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3.27 Level of Significance and Decision Rule</w:t>
      </w:r>
    </w:p>
    <w:p w14:paraId="485D23E9"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3.27.1 Level of Significance</w:t>
      </w:r>
    </w:p>
    <w:p w14:paraId="38376C93"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A 5 per cent significance level was adopted for hypothesis testing. Thus, the level of significance was set at α = 0.05. This criterion was applied to determine if the statistical evidence obtained from the sample was sufficient to conclude that an observed relationship or difference was unlikely to occur by chance alone.</w:t>
      </w:r>
    </w:p>
    <w:p w14:paraId="414D0F74"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5 per cent significance level was applied consistently across the primary inferential statistical procedures used in the study, subject to the assumptions and requirements of the individual tests.</w:t>
      </w:r>
    </w:p>
    <w:p w14:paraId="4456BCFE"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3.27.2 Hypothesis Decision Rule</w:t>
      </w:r>
    </w:p>
    <w:p w14:paraId="4E9D2CAC" w14:textId="5588DF29"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decision regarding the null hypothesis was primarily guided by the obtained p-value. Where the p-value was less than 0.05, the result was deemed statistically significant</w:t>
      </w:r>
      <w:r w:rsidR="00CE6AE5">
        <w:rPr>
          <w:rFonts w:ascii="Times New Roman" w:hAnsi="Times New Roman" w:cs="Times New Roman"/>
        </w:rPr>
        <w:t>,</w:t>
      </w:r>
      <w:r w:rsidRPr="00332319">
        <w:rPr>
          <w:rFonts w:ascii="Times New Roman" w:hAnsi="Times New Roman" w:cs="Times New Roman"/>
        </w:rPr>
        <w:t xml:space="preserve"> and the null hypothesis was rejected in favour of the alternative hypothesis.</w:t>
      </w:r>
    </w:p>
    <w:p w14:paraId="7EC79880" w14:textId="2F498EDB"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lastRenderedPageBreak/>
        <w:t>Where the p-value was equal to or greater than 0.05, the result was statistically non-significant</w:t>
      </w:r>
      <w:r w:rsidR="00CE6AE5">
        <w:rPr>
          <w:rFonts w:ascii="Times New Roman" w:hAnsi="Times New Roman" w:cs="Times New Roman"/>
        </w:rPr>
        <w:t>,</w:t>
      </w:r>
      <w:r w:rsidRPr="00332319">
        <w:rPr>
          <w:rFonts w:ascii="Times New Roman" w:hAnsi="Times New Roman" w:cs="Times New Roman"/>
        </w:rPr>
        <w:t xml:space="preserve"> and the null hypothesis was not rejected. Statistical decisions were made in relation to the specific hypothesis under test and the relevant statistical procedure.</w:t>
      </w:r>
    </w:p>
    <w:p w14:paraId="4A32546B"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3.27.3 Interpretation of Statistical Results</w:t>
      </w:r>
    </w:p>
    <w:p w14:paraId="07DD78B2" w14:textId="309E1ADD"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Statistical findings were interpreted in relation to the direction, strength and significance of relationships or differences. Statistical significance was not considered as evidence of substantive importance; rather</w:t>
      </w:r>
      <w:r w:rsidR="00CE6AE5">
        <w:rPr>
          <w:rFonts w:ascii="Times New Roman" w:hAnsi="Times New Roman" w:cs="Times New Roman"/>
        </w:rPr>
        <w:t>,</w:t>
      </w:r>
      <w:r w:rsidRPr="00332319">
        <w:rPr>
          <w:rFonts w:ascii="Times New Roman" w:hAnsi="Times New Roman" w:cs="Times New Roman"/>
        </w:rPr>
        <w:t xml:space="preserve"> the magnitude and direction of the observed association were taken into account.</w:t>
      </w:r>
    </w:p>
    <w:p w14:paraId="566C06C0" w14:textId="625EA3C8"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interpretation was made within the specific context of organised and small retailing in the Itanagar Capital Region. The statistical results were tied </w:t>
      </w:r>
      <w:r w:rsidR="00CE6AE5">
        <w:rPr>
          <w:rFonts w:ascii="Times New Roman" w:hAnsi="Times New Roman" w:cs="Times New Roman"/>
        </w:rPr>
        <w:t>to</w:t>
      </w:r>
      <w:r w:rsidRPr="00332319">
        <w:rPr>
          <w:rFonts w:ascii="Times New Roman" w:hAnsi="Times New Roman" w:cs="Times New Roman"/>
        </w:rPr>
        <w:t xml:space="preserve"> the theoretical framework, research objectives and practical conditions of the study area to develop meaningful conclusions regarding competition, consumer behaviour, business performance and strategic adaptation.</w:t>
      </w:r>
    </w:p>
    <w:p w14:paraId="094BD589"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 Ethical Considerations</w:t>
      </w:r>
    </w:p>
    <w:p w14:paraId="3D4B9DD2"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Ethical principles were followed throughout the research process to protect the rights, privacy and interests of all participants. Since the study involved collecting information from consumers and small retailers, attention was paid to informed participation, confidentiality and the protection of potentially sensitive business information.</w:t>
      </w:r>
    </w:p>
    <w:p w14:paraId="18F24BD8"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3.28.1 Voluntary Participation</w:t>
      </w:r>
    </w:p>
    <w:p w14:paraId="22546D0B"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Participation in the study was voluntary. Respondents were informed that their participation was based on their willingness to contribute to the research and that they were not under any obligation to participate.</w:t>
      </w:r>
    </w:p>
    <w:p w14:paraId="1BE81517"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Participants were also able to refuse to participate or discontinue their involvement where they did not wish to provide further information. No coercion or undue pressure was used to obtain responses.</w:t>
      </w:r>
    </w:p>
    <w:p w14:paraId="317DE1E2"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3.28.2 Informed Consent</w:t>
      </w:r>
    </w:p>
    <w:p w14:paraId="454F5C5D"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Respondents were provided with appropriate information regarding the academic purpose of the study and the nature of their participation before completing the questionnaire. They were informed about the general purpose of the questions and the intended academic use of the information collected.</w:t>
      </w:r>
    </w:p>
    <w:p w14:paraId="10973DA5" w14:textId="59DC1FFA"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lastRenderedPageBreak/>
        <w:t xml:space="preserve">Participation in the questionnaire was considered informed consent, subject to the procedures followed during field administration. Respondents were </w:t>
      </w:r>
      <w:r w:rsidR="00CE6AE5">
        <w:rPr>
          <w:rFonts w:ascii="Times New Roman" w:hAnsi="Times New Roman" w:cs="Times New Roman"/>
        </w:rPr>
        <w:t>allowed</w:t>
      </w:r>
      <w:r w:rsidRPr="00332319">
        <w:rPr>
          <w:rFonts w:ascii="Times New Roman" w:hAnsi="Times New Roman" w:cs="Times New Roman"/>
        </w:rPr>
        <w:t xml:space="preserve"> to seek clarification about the research process before their responses were provided.</w:t>
      </w:r>
    </w:p>
    <w:p w14:paraId="15249EF6"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3.28.3 Confidentiality of Information</w:t>
      </w:r>
    </w:p>
    <w:p w14:paraId="38F309CD"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information provided by respondents was treated as confidential. No individual responses were disclosed to other respondents, businesses or third parties. Data collected from retailers regarding sales, turnover, profitability, pricing and competitive challenges were handled with particular care as the information could be commercially sensitive.</w:t>
      </w:r>
    </w:p>
    <w:p w14:paraId="5ECBCD6B" w14:textId="406F45EB"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findings were presented mainly in aggregated form so that individual responses could </w:t>
      </w:r>
      <w:r w:rsidR="00CE6AE5">
        <w:rPr>
          <w:rFonts w:ascii="Times New Roman" w:hAnsi="Times New Roman" w:cs="Times New Roman"/>
        </w:rPr>
        <w:t>not normally be</w:t>
      </w:r>
      <w:r w:rsidRPr="00332319">
        <w:rPr>
          <w:rFonts w:ascii="Times New Roman" w:hAnsi="Times New Roman" w:cs="Times New Roman"/>
        </w:rPr>
        <w:t xml:space="preserve"> associated with particular respondents or businesses.</w:t>
      </w:r>
    </w:p>
    <w:p w14:paraId="4B947ACE"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3.28.4 Anonymity of Respondents</w:t>
      </w:r>
    </w:p>
    <w:p w14:paraId="1A38111F"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Wherever possible, respondent identities were not incorporated into the analytical dataset as substantive research variables. Individual respondents were represented by identification codes rather than their names in the statistical dataset.</w:t>
      </w:r>
    </w:p>
    <w:p w14:paraId="73F59565"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reporting of findings was based on aggregate patterns, group characteristics and statistical relationships rather than on identifying individual consumers or retailers. This helped protect respondent privacy while allowing the data to be used for academic analysis.</w:t>
      </w:r>
    </w:p>
    <w:p w14:paraId="2F713A4E"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3.28.5 Protection of Business and Financial Information</w:t>
      </w:r>
    </w:p>
    <w:p w14:paraId="25D68A7E"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Special consideration was given to information relating to business turnover, sales, profitability, employee numbers, pricing and financial challenges. Respondents were not required to disclose information beyond what was necessary for achieving the objectives of the study.</w:t>
      </w:r>
    </w:p>
    <w:p w14:paraId="328BDA8B"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Business-specific information was treated as confidential and was not presented in a manner that divulged the financial position or competitive information of an individual retailer. Where financial information was collected in categories or ranges, those categories were used for analytical purposes rather than reporting identifiable individual values.</w:t>
      </w:r>
    </w:p>
    <w:p w14:paraId="3A4BC703"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3.28.6 Academic Use of Collected Data</w:t>
      </w:r>
    </w:p>
    <w:p w14:paraId="081E80A1" w14:textId="1441223A"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lastRenderedPageBreak/>
        <w:t>The data collected through the questionnaires were used for the academic purposes of the research. The information was analysed in accordance with the research objectives and was not intended for commercial, promotional</w:t>
      </w:r>
      <w:r w:rsidR="00CE6AE5">
        <w:rPr>
          <w:rFonts w:ascii="Times New Roman" w:hAnsi="Times New Roman" w:cs="Times New Roman"/>
        </w:rPr>
        <w:t>,</w:t>
      </w:r>
      <w:r w:rsidRPr="00332319">
        <w:rPr>
          <w:rFonts w:ascii="Times New Roman" w:hAnsi="Times New Roman" w:cs="Times New Roman"/>
        </w:rPr>
        <w:t xml:space="preserve"> or individual business evaluation.</w:t>
      </w:r>
    </w:p>
    <w:p w14:paraId="15395F5B"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results were reported objectively and without deliberate manipulation to support any predetermined conclusion. Statistical findings were interpreted on the basis of the evidence generated from the collected data.</w:t>
      </w:r>
    </w:p>
    <w:p w14:paraId="550BE8BE"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3.28.7 Secure Storage of Research Data</w:t>
      </w:r>
    </w:p>
    <w:p w14:paraId="44ECB430" w14:textId="3D06F68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completed questionnaires, coded datasets</w:t>
      </w:r>
      <w:r w:rsidR="00CE6AE5">
        <w:rPr>
          <w:rFonts w:ascii="Times New Roman" w:hAnsi="Times New Roman" w:cs="Times New Roman"/>
        </w:rPr>
        <w:t>,</w:t>
      </w:r>
      <w:r w:rsidRPr="00332319">
        <w:rPr>
          <w:rFonts w:ascii="Times New Roman" w:hAnsi="Times New Roman" w:cs="Times New Roman"/>
        </w:rPr>
        <w:t xml:space="preserve"> and analytical files were maintained during the research process. Access to the research data was restricted to the researcher and legitimate academic purposes.</w:t>
      </w:r>
    </w:p>
    <w:p w14:paraId="47C9763F"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Electronic datasets were maintained in protected storage, while physical questionnaires, where applicable, were kept in a secure location. Data were retained for legitimate academic and research requirements and were handled in accordance with the principles of confidentiality and responsible research practice.</w:t>
      </w:r>
    </w:p>
    <w:p w14:paraId="16CA1C71"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 Methodological Limitations</w:t>
      </w:r>
    </w:p>
    <w:p w14:paraId="62B1CE73"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3.29.1 Geographical Limitation</w:t>
      </w:r>
    </w:p>
    <w:p w14:paraId="5A4A02D8"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study was geographically limited to selected locations within the Itanagar Capital Region, namely Itanagar, </w:t>
      </w:r>
      <w:proofErr w:type="spellStart"/>
      <w:r w:rsidRPr="00332319">
        <w:rPr>
          <w:rFonts w:ascii="Times New Roman" w:hAnsi="Times New Roman" w:cs="Times New Roman"/>
        </w:rPr>
        <w:t>Naharlagun</w:t>
      </w:r>
      <w:proofErr w:type="spellEnd"/>
      <w:r w:rsidRPr="00332319">
        <w:rPr>
          <w:rFonts w:ascii="Times New Roman" w:hAnsi="Times New Roman" w:cs="Times New Roman"/>
        </w:rPr>
        <w:t xml:space="preserve"> and </w:t>
      </w:r>
      <w:proofErr w:type="spellStart"/>
      <w:r w:rsidRPr="00332319">
        <w:rPr>
          <w:rFonts w:ascii="Times New Roman" w:hAnsi="Times New Roman" w:cs="Times New Roman"/>
        </w:rPr>
        <w:t>Banderdewa</w:t>
      </w:r>
      <w:proofErr w:type="spellEnd"/>
      <w:r w:rsidRPr="00332319">
        <w:rPr>
          <w:rFonts w:ascii="Times New Roman" w:hAnsi="Times New Roman" w:cs="Times New Roman"/>
        </w:rPr>
        <w:t>. Although these locations have important representation of the retail environment in the ICR, the findings may not necessarily be generalisable to the entire Arunachal Pradesh or other regions of India.</w:t>
      </w:r>
    </w:p>
    <w:p w14:paraId="645BF5FA"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geographical focus was necessary to maintain consistency with the research objectives, available population information and fieldwork requirements. Therefore, the findings should be interpreted within the context of the selected study area.</w:t>
      </w:r>
    </w:p>
    <w:p w14:paraId="36F86C09"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3.29.2 Cross-Sectional Nature of the Research</w:t>
      </w:r>
    </w:p>
    <w:p w14:paraId="7355648A" w14:textId="71B112FF"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study adopted a cross-sectional research design with data collection taking place during a designated study period. Consequently, the research is an </w:t>
      </w:r>
      <w:r w:rsidR="00CE6AE5">
        <w:rPr>
          <w:rFonts w:ascii="Times New Roman" w:hAnsi="Times New Roman" w:cs="Times New Roman"/>
        </w:rPr>
        <w:t>assessment</w:t>
      </w:r>
      <w:r w:rsidRPr="00332319">
        <w:rPr>
          <w:rFonts w:ascii="Times New Roman" w:hAnsi="Times New Roman" w:cs="Times New Roman"/>
        </w:rPr>
        <w:t xml:space="preserve"> snapshot of the retail environment and respondent perceptions at a particular time.</w:t>
      </w:r>
    </w:p>
    <w:p w14:paraId="2DFF0915"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design does not permit observing long-term changes in retailer performance, consumer preferences or competitive conditions. Changes in organised retailing, technology, consumer </w:t>
      </w:r>
      <w:r w:rsidRPr="00332319">
        <w:rPr>
          <w:rFonts w:ascii="Times New Roman" w:hAnsi="Times New Roman" w:cs="Times New Roman"/>
        </w:rPr>
        <w:lastRenderedPageBreak/>
        <w:t>preference and market conditions over subsequent periods may therefore not be captured by the present study.</w:t>
      </w:r>
    </w:p>
    <w:p w14:paraId="2C0C235A"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3.29.3 Self-Reported Information</w:t>
      </w:r>
    </w:p>
    <w:p w14:paraId="68B4FA6D"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A large amount of the primary data was based on self-reported information provided by retailers and consumers. Responses regarding business performance, consumer preferences, customer relationships, technology adoption and competitive practices may therefore be influenced by respondents' perceptions, memory and personal judgement.</w:t>
      </w:r>
    </w:p>
    <w:p w14:paraId="01F8136C" w14:textId="34768A1D"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Although respondents were encouraged to provide accurate information, it is unlikely to be eliminated.</w:t>
      </w:r>
    </w:p>
    <w:p w14:paraId="250DD853"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3.29.4 Difficulty in Obtaining Exact Financial Information</w:t>
      </w:r>
    </w:p>
    <w:p w14:paraId="1F30A393" w14:textId="29849272"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Small retailers may be reluctant or unable to provide exact information relating to sales, profit margins, turnover and other financial indicators. Therefore</w:t>
      </w:r>
      <w:r w:rsidR="00CE6AE5">
        <w:rPr>
          <w:rFonts w:ascii="Times New Roman" w:hAnsi="Times New Roman" w:cs="Times New Roman"/>
        </w:rPr>
        <w:t>,</w:t>
      </w:r>
      <w:r w:rsidRPr="00332319">
        <w:rPr>
          <w:rFonts w:ascii="Times New Roman" w:hAnsi="Times New Roman" w:cs="Times New Roman"/>
        </w:rPr>
        <w:t xml:space="preserve"> some business-related variables may need to be measured through ranges, categories or respondent perceptions rather than precise financial records.</w:t>
      </w:r>
    </w:p>
    <w:p w14:paraId="28000A75"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This could limit the precision with which financial performance can be measured. However, using categorical and perception-based measures allows for a practical approach to collecting information in the field where detailed financial records may not be available.</w:t>
      </w:r>
    </w:p>
    <w:p w14:paraId="249DEBFE"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3.29.5 Potential Response Bias</w:t>
      </w:r>
    </w:p>
    <w:p w14:paraId="59733FAC"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Response bias can occur when respondents provide answers that they believe are socially desirable, commercially attractive or expected by the researcher. Retailers may understate or overstate the effect of organised retailing on their businesses, while consumers may report shopping preferences differently from their actual purchasing behaviour.</w:t>
      </w:r>
    </w:p>
    <w:p w14:paraId="355E7F81" w14:textId="762BFEC2"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Efforts were made to </w:t>
      </w:r>
      <w:r w:rsidR="00CE6AE5">
        <w:rPr>
          <w:rFonts w:ascii="Times New Roman" w:hAnsi="Times New Roman" w:cs="Times New Roman"/>
        </w:rPr>
        <w:t>minimise</w:t>
      </w:r>
      <w:r w:rsidRPr="00332319">
        <w:rPr>
          <w:rFonts w:ascii="Times New Roman" w:hAnsi="Times New Roman" w:cs="Times New Roman"/>
        </w:rPr>
        <w:t xml:space="preserve"> response bias by maintaining confidentiality, explaining the academic purpose and allowing respondents to provide independent responses. However, the potential for some response bias is a methodological limitation.</w:t>
      </w:r>
    </w:p>
    <w:p w14:paraId="054E3F6C"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3.29.6 Changing Retail Environment</w:t>
      </w:r>
    </w:p>
    <w:p w14:paraId="25E3D79F"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retail environment is dynamic and changing with the emergence of new organised retailers, digital payment systems, e-commerce, varying consumer preferences, improving infrastructure and varying purchasing power.</w:t>
      </w:r>
    </w:p>
    <w:p w14:paraId="30D3A9E2" w14:textId="30499562"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lastRenderedPageBreak/>
        <w:t>Consequently, the findings represent the conditions prevailing during the period of data collection</w:t>
      </w:r>
      <w:r w:rsidR="00CE6AE5">
        <w:rPr>
          <w:rFonts w:ascii="Times New Roman" w:hAnsi="Times New Roman" w:cs="Times New Roman"/>
        </w:rPr>
        <w:t>,</w:t>
      </w:r>
      <w:r w:rsidRPr="00332319">
        <w:rPr>
          <w:rFonts w:ascii="Times New Roman" w:hAnsi="Times New Roman" w:cs="Times New Roman"/>
        </w:rPr>
        <w:t xml:space="preserve"> and the future development of organised retailing and digital commerce may change the competitive environment and the strategies adopted by small retailers.</w:t>
      </w:r>
    </w:p>
    <w:p w14:paraId="432902A4"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3.29.7 Limitations Associated with Consumer Perception Measurement</w:t>
      </w:r>
    </w:p>
    <w:p w14:paraId="1757289E"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Consumer perceptions are subjective and may vary depending on individual experiences, income, shopping habits, accessibility, preferences and exposure to different retail formats. Therefore, perception-based measures may not always align with actual purchasing behaviour.</w:t>
      </w:r>
    </w:p>
    <w:p w14:paraId="05BE037A"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study addresses this limitation by combining behavioural indicators such as shopping frequency and store preference with perception-based measures relating to product variety, pricing, convenience, customer service, discounts and payment facilities. Nevertheless, consumer perceptions are subjective and should be interpreted accordingly.</w:t>
      </w:r>
    </w:p>
    <w:p w14:paraId="65981D22" w14:textId="77777777"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t>3.30 Chapter Summary</w:t>
      </w:r>
    </w:p>
    <w:p w14:paraId="17A29BF0"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This chapter presented the methodological framework adopted for examining organised retailing and its implications for small retailers and consumers in the Itanagar Capital Region. The study followed a positivist research philosophy, a deductive, quantitative approach with an empirical, descriptive, analytical and cross-sectional research design.</w:t>
      </w:r>
    </w:p>
    <w:p w14:paraId="5444FFF5"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chapter described the study area, target population and sampling framework. The population covered 6,426 small retailers from which a final sample of 380 small retailers was selected. The consumer population was represented by a household population of 22,825, from which 393 consumer respondents were selected. Thus, the overall sample covered 773 respondents. Stratified sampling was applied to the small-retailer population with representation of different retail categories, while consumer respondents were assigned proportionately across Itanagar, </w:t>
      </w:r>
      <w:proofErr w:type="spellStart"/>
      <w:r w:rsidRPr="00332319">
        <w:rPr>
          <w:rFonts w:ascii="Times New Roman" w:hAnsi="Times New Roman" w:cs="Times New Roman"/>
        </w:rPr>
        <w:t>Naharlagun</w:t>
      </w:r>
      <w:proofErr w:type="spellEnd"/>
      <w:r w:rsidRPr="00332319">
        <w:rPr>
          <w:rFonts w:ascii="Times New Roman" w:hAnsi="Times New Roman" w:cs="Times New Roman"/>
        </w:rPr>
        <w:t xml:space="preserve"> and </w:t>
      </w:r>
      <w:proofErr w:type="spellStart"/>
      <w:r w:rsidRPr="00332319">
        <w:rPr>
          <w:rFonts w:ascii="Times New Roman" w:hAnsi="Times New Roman" w:cs="Times New Roman"/>
        </w:rPr>
        <w:t>Banderdewa</w:t>
      </w:r>
      <w:proofErr w:type="spellEnd"/>
      <w:r w:rsidRPr="00332319">
        <w:rPr>
          <w:rFonts w:ascii="Times New Roman" w:hAnsi="Times New Roman" w:cs="Times New Roman"/>
        </w:rPr>
        <w:t>.</w:t>
      </w:r>
    </w:p>
    <w:p w14:paraId="761C3590"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chapter detailed the sources of primary and secondary data and described the two structured research instruments. The consumer questionnaire covered demographic characteristics, shopping behaviour, store-choice factors and perceptions of organised and small retailers. The small-retailer questionnaire covered personal and business characteristics, the impact of organised retailing, competitive strategies, pricing and product adaptation, customer relationships, technology adoption, challenges and future business strategies.</w:t>
      </w:r>
    </w:p>
    <w:p w14:paraId="333FD42B"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lastRenderedPageBreak/>
        <w:t>The measurement and scaling procedures were explained, including nominal and ordinal measures with a variety of five-point rating scales. The operationalisation of the principal variables was also established, covering organised retailing, business performance, consumer behaviour, consumer perception, social capital and informal credit, strategic adaptation, product and pricing adaptation, employment and livelihood, technology adoption, competitive challenges and future business strategies.</w:t>
      </w:r>
    </w:p>
    <w:p w14:paraId="32BB3D07" w14:textId="2F3B6DF9"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 xml:space="preserve">The procedure for </w:t>
      </w:r>
      <w:r w:rsidR="00CE6AE5">
        <w:rPr>
          <w:rFonts w:ascii="Times New Roman" w:hAnsi="Times New Roman" w:cs="Times New Roman"/>
        </w:rPr>
        <w:t xml:space="preserve">the </w:t>
      </w:r>
      <w:r w:rsidRPr="00332319">
        <w:rPr>
          <w:rFonts w:ascii="Times New Roman" w:hAnsi="Times New Roman" w:cs="Times New Roman"/>
        </w:rPr>
        <w:t xml:space="preserve">pilot study, validity and reliability </w:t>
      </w:r>
      <w:proofErr w:type="gramStart"/>
      <w:r w:rsidRPr="00332319">
        <w:rPr>
          <w:rFonts w:ascii="Times New Roman" w:hAnsi="Times New Roman" w:cs="Times New Roman"/>
        </w:rPr>
        <w:t>were</w:t>
      </w:r>
      <w:proofErr w:type="gramEnd"/>
      <w:r w:rsidRPr="00332319">
        <w:rPr>
          <w:rFonts w:ascii="Times New Roman" w:hAnsi="Times New Roman" w:cs="Times New Roman"/>
        </w:rPr>
        <w:t xml:space="preserve"> subsequently described. Pilot testing was undertaken to examine the clarity, comprehensibility and practical applicability of the questionnaires. Content validity, face validity, construct validity and expert validation were considered, while Cronbach's Alpha was used to assess the internal consistency of relevant multi-item constructs.</w:t>
      </w:r>
    </w:p>
    <w:p w14:paraId="5421135A" w14:textId="77777777"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The procedures for data collection, editing, coding, entry, cleaning and preparing the final dataset were also outlined. The statistical framework included descriptive statistics, reliability analysis, normality assessment, Chi-Square testing, independent-samples t-test, One-Way ANOVA, Pearson correlation, regression analysis and post-hoc comparisons where appropriate. These were selected according to the nature of the variables and the requirements of the research questions and hypotheses.</w:t>
      </w:r>
    </w:p>
    <w:p w14:paraId="19D6FC08" w14:textId="13F04D6C" w:rsidR="00332319" w:rsidRPr="00332319" w:rsidRDefault="00332319" w:rsidP="00332319">
      <w:pPr>
        <w:spacing w:line="360" w:lineRule="auto"/>
        <w:jc w:val="both"/>
        <w:rPr>
          <w:rFonts w:ascii="Times New Roman" w:hAnsi="Times New Roman" w:cs="Times New Roman"/>
        </w:rPr>
      </w:pPr>
      <w:r w:rsidRPr="00332319">
        <w:rPr>
          <w:rFonts w:ascii="Times New Roman" w:hAnsi="Times New Roman" w:cs="Times New Roman"/>
        </w:rPr>
        <w:t>Finally, the hypothesis-testing framework, with a significance level of α = 0.05 and corresponding decision rules based on p-values were established. Ethical considerations relating to voluntary participation, informed consent, confidentiality, anonymity, protection of business and financial information, academic use of data and secure data storage were addressed. The chapter concluded by acknowledging the principal methodological limitations relating to geographical coverage, cross-sectional design, self-reported information, financial-data availability, response bias, changing retail environment and the subjective nature of consumer perception measurement. Together, these methodological procedures provided the foundation for the empirical analysis and interpretation presented in the subsequent chapters.</w:t>
      </w:r>
    </w:p>
    <w:p w14:paraId="1B622FE3" w14:textId="77777777" w:rsidR="007641C6" w:rsidRDefault="007641C6" w:rsidP="000B1DAD">
      <w:pPr>
        <w:spacing w:line="360" w:lineRule="auto"/>
        <w:jc w:val="both"/>
        <w:rPr>
          <w:rFonts w:ascii="Times New Roman" w:hAnsi="Times New Roman" w:cs="Times New Roman"/>
          <w:b/>
          <w:bCs/>
        </w:rPr>
      </w:pPr>
    </w:p>
    <w:p w14:paraId="7742DB0C" w14:textId="77777777" w:rsidR="007641C6" w:rsidRDefault="007641C6" w:rsidP="000B1DAD">
      <w:pPr>
        <w:spacing w:line="360" w:lineRule="auto"/>
        <w:jc w:val="both"/>
        <w:rPr>
          <w:rFonts w:ascii="Times New Roman" w:hAnsi="Times New Roman" w:cs="Times New Roman"/>
          <w:b/>
          <w:bCs/>
        </w:rPr>
      </w:pPr>
    </w:p>
    <w:p w14:paraId="06D7AAFA" w14:textId="77777777" w:rsidR="007641C6" w:rsidRDefault="007641C6" w:rsidP="000B1DAD">
      <w:pPr>
        <w:spacing w:line="360" w:lineRule="auto"/>
        <w:jc w:val="both"/>
        <w:rPr>
          <w:rFonts w:ascii="Times New Roman" w:hAnsi="Times New Roman" w:cs="Times New Roman"/>
          <w:b/>
          <w:bCs/>
        </w:rPr>
      </w:pPr>
    </w:p>
    <w:p w14:paraId="3669B364" w14:textId="77777777" w:rsidR="007641C6" w:rsidRDefault="007641C6" w:rsidP="000B1DAD">
      <w:pPr>
        <w:spacing w:line="360" w:lineRule="auto"/>
        <w:jc w:val="both"/>
        <w:rPr>
          <w:rFonts w:ascii="Times New Roman" w:hAnsi="Times New Roman" w:cs="Times New Roman"/>
          <w:b/>
          <w:bCs/>
        </w:rPr>
      </w:pPr>
    </w:p>
    <w:p w14:paraId="6478B019" w14:textId="4F26A30C" w:rsidR="00332319" w:rsidRPr="00332319" w:rsidRDefault="00332319" w:rsidP="00332319">
      <w:pPr>
        <w:spacing w:line="360" w:lineRule="auto"/>
        <w:jc w:val="both"/>
        <w:rPr>
          <w:rFonts w:ascii="Times New Roman" w:hAnsi="Times New Roman" w:cs="Times New Roman"/>
          <w:b/>
          <w:bCs/>
        </w:rPr>
      </w:pPr>
      <w:r w:rsidRPr="00332319">
        <w:rPr>
          <w:rFonts w:ascii="Times New Roman" w:hAnsi="Times New Roman" w:cs="Times New Roman"/>
          <w:b/>
          <w:bCs/>
        </w:rPr>
        <w:lastRenderedPageBreak/>
        <w:t>References</w:t>
      </w:r>
    </w:p>
    <w:p w14:paraId="0508A326"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Creswell, J. W., &amp; Creswell, J. D. (2018). </w:t>
      </w:r>
      <w:r w:rsidRPr="00332319">
        <w:rPr>
          <w:rFonts w:ascii="Times New Roman" w:hAnsi="Times New Roman" w:cs="Times New Roman"/>
          <w:i/>
          <w:iCs/>
        </w:rPr>
        <w:t>Research Design: Qualitative, Quantitative, and Mixed Methods Approaches</w:t>
      </w:r>
      <w:r w:rsidRPr="00332319">
        <w:rPr>
          <w:rFonts w:ascii="Times New Roman" w:hAnsi="Times New Roman" w:cs="Times New Roman"/>
        </w:rPr>
        <w:t xml:space="preserve"> (5th ed.). SAGE Publications. </w:t>
      </w:r>
    </w:p>
    <w:p w14:paraId="3767AA25"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Kothari, C. R., &amp; Garg, G. (2019). </w:t>
      </w:r>
      <w:r w:rsidRPr="00332319">
        <w:rPr>
          <w:rFonts w:ascii="Times New Roman" w:hAnsi="Times New Roman" w:cs="Times New Roman"/>
          <w:i/>
          <w:iCs/>
        </w:rPr>
        <w:t>Research Methodology: Methods and Techniques</w:t>
      </w:r>
      <w:r w:rsidRPr="00332319">
        <w:rPr>
          <w:rFonts w:ascii="Times New Roman" w:hAnsi="Times New Roman" w:cs="Times New Roman"/>
        </w:rPr>
        <w:t xml:space="preserve"> (4th ed.). New Age International Publishers. </w:t>
      </w:r>
    </w:p>
    <w:p w14:paraId="1EF70FE8"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Sekaran, U., &amp; Bougie, R. (2016). </w:t>
      </w:r>
      <w:r w:rsidRPr="00332319">
        <w:rPr>
          <w:rFonts w:ascii="Times New Roman" w:hAnsi="Times New Roman" w:cs="Times New Roman"/>
          <w:i/>
          <w:iCs/>
        </w:rPr>
        <w:t>Research Methods for Business: A Skill-Building Approach</w:t>
      </w:r>
      <w:r w:rsidRPr="00332319">
        <w:rPr>
          <w:rFonts w:ascii="Times New Roman" w:hAnsi="Times New Roman" w:cs="Times New Roman"/>
        </w:rPr>
        <w:t xml:space="preserve"> (7th ed.). John Wiley &amp; Sons. </w:t>
      </w:r>
    </w:p>
    <w:p w14:paraId="0729EF2E"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Saunders, M., Lewis, P., &amp; Thornhill, A. (2019). </w:t>
      </w:r>
      <w:r w:rsidRPr="00332319">
        <w:rPr>
          <w:rFonts w:ascii="Times New Roman" w:hAnsi="Times New Roman" w:cs="Times New Roman"/>
          <w:i/>
          <w:iCs/>
        </w:rPr>
        <w:t>Research Methods for Business Students</w:t>
      </w:r>
      <w:r w:rsidRPr="00332319">
        <w:rPr>
          <w:rFonts w:ascii="Times New Roman" w:hAnsi="Times New Roman" w:cs="Times New Roman"/>
        </w:rPr>
        <w:t xml:space="preserve"> (8th ed.). Pearson. </w:t>
      </w:r>
    </w:p>
    <w:p w14:paraId="6EC97E84"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Kumar, R. (2019). </w:t>
      </w:r>
      <w:r w:rsidRPr="00332319">
        <w:rPr>
          <w:rFonts w:ascii="Times New Roman" w:hAnsi="Times New Roman" w:cs="Times New Roman"/>
          <w:i/>
          <w:iCs/>
        </w:rPr>
        <w:t>Research Methodology: A Step-by-Step Guide for Beginners</w:t>
      </w:r>
      <w:r w:rsidRPr="00332319">
        <w:rPr>
          <w:rFonts w:ascii="Times New Roman" w:hAnsi="Times New Roman" w:cs="Times New Roman"/>
        </w:rPr>
        <w:t xml:space="preserve"> (5th ed.). SAGE Publications. </w:t>
      </w:r>
    </w:p>
    <w:p w14:paraId="430780BE"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Bryman, A. (2016). </w:t>
      </w:r>
      <w:r w:rsidRPr="00332319">
        <w:rPr>
          <w:rFonts w:ascii="Times New Roman" w:hAnsi="Times New Roman" w:cs="Times New Roman"/>
          <w:i/>
          <w:iCs/>
        </w:rPr>
        <w:t>Social Research Methods</w:t>
      </w:r>
      <w:r w:rsidRPr="00332319">
        <w:rPr>
          <w:rFonts w:ascii="Times New Roman" w:hAnsi="Times New Roman" w:cs="Times New Roman"/>
        </w:rPr>
        <w:t xml:space="preserve"> (5th ed.). Oxford University Press. </w:t>
      </w:r>
    </w:p>
    <w:p w14:paraId="11E2DD5B"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Field, A. (2018). </w:t>
      </w:r>
      <w:r w:rsidRPr="00332319">
        <w:rPr>
          <w:rFonts w:ascii="Times New Roman" w:hAnsi="Times New Roman" w:cs="Times New Roman"/>
          <w:i/>
          <w:iCs/>
        </w:rPr>
        <w:t>Discovering Statistics Using IBM SPSS Statistics</w:t>
      </w:r>
      <w:r w:rsidRPr="00332319">
        <w:rPr>
          <w:rFonts w:ascii="Times New Roman" w:hAnsi="Times New Roman" w:cs="Times New Roman"/>
        </w:rPr>
        <w:t xml:space="preserve"> (5th ed.). SAGE Publications. </w:t>
      </w:r>
    </w:p>
    <w:p w14:paraId="4752A7DA"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Pallant, J. (2020). </w:t>
      </w:r>
      <w:r w:rsidRPr="00332319">
        <w:rPr>
          <w:rFonts w:ascii="Times New Roman" w:hAnsi="Times New Roman" w:cs="Times New Roman"/>
          <w:i/>
          <w:iCs/>
        </w:rPr>
        <w:t xml:space="preserve">SPSS Survival Manual: A </w:t>
      </w:r>
      <w:proofErr w:type="gramStart"/>
      <w:r w:rsidRPr="00332319">
        <w:rPr>
          <w:rFonts w:ascii="Times New Roman" w:hAnsi="Times New Roman" w:cs="Times New Roman"/>
          <w:i/>
          <w:iCs/>
        </w:rPr>
        <w:t>Step by Step</w:t>
      </w:r>
      <w:proofErr w:type="gramEnd"/>
      <w:r w:rsidRPr="00332319">
        <w:rPr>
          <w:rFonts w:ascii="Times New Roman" w:hAnsi="Times New Roman" w:cs="Times New Roman"/>
          <w:i/>
          <w:iCs/>
        </w:rPr>
        <w:t xml:space="preserve"> Guide to Data Analysis Using IBM SPSS</w:t>
      </w:r>
      <w:r w:rsidRPr="00332319">
        <w:rPr>
          <w:rFonts w:ascii="Times New Roman" w:hAnsi="Times New Roman" w:cs="Times New Roman"/>
        </w:rPr>
        <w:t xml:space="preserve"> (7th ed.). McGraw-Hill Education. </w:t>
      </w:r>
    </w:p>
    <w:p w14:paraId="48FE2E16"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proofErr w:type="spellStart"/>
      <w:r w:rsidRPr="00332319">
        <w:rPr>
          <w:rFonts w:ascii="Times New Roman" w:hAnsi="Times New Roman" w:cs="Times New Roman"/>
        </w:rPr>
        <w:t>Tavakol</w:t>
      </w:r>
      <w:proofErr w:type="spellEnd"/>
      <w:r w:rsidRPr="00332319">
        <w:rPr>
          <w:rFonts w:ascii="Times New Roman" w:hAnsi="Times New Roman" w:cs="Times New Roman"/>
        </w:rPr>
        <w:t xml:space="preserve">, M., &amp; Dennick, R. (2011). Making sense of Cronbach's alpha. </w:t>
      </w:r>
      <w:r w:rsidRPr="00332319">
        <w:rPr>
          <w:rFonts w:ascii="Times New Roman" w:hAnsi="Times New Roman" w:cs="Times New Roman"/>
          <w:i/>
          <w:iCs/>
        </w:rPr>
        <w:t>International Journal of Medical Education, 2</w:t>
      </w:r>
      <w:r w:rsidRPr="00332319">
        <w:rPr>
          <w:rFonts w:ascii="Times New Roman" w:hAnsi="Times New Roman" w:cs="Times New Roman"/>
        </w:rPr>
        <w:t xml:space="preserve">, 53–55. </w:t>
      </w:r>
      <w:hyperlink r:id="rId5" w:tgtFrame="_new" w:history="1">
        <w:r w:rsidRPr="00332319">
          <w:rPr>
            <w:rStyle w:val="Hyperlink"/>
            <w:rFonts w:ascii="Times New Roman" w:hAnsi="Times New Roman" w:cs="Times New Roman"/>
          </w:rPr>
          <w:t>https://doi.org/10.5116/ijme.4dfb.8dfd</w:t>
        </w:r>
      </w:hyperlink>
      <w:r w:rsidRPr="00332319">
        <w:rPr>
          <w:rFonts w:ascii="Times New Roman" w:hAnsi="Times New Roman" w:cs="Times New Roman"/>
        </w:rPr>
        <w:t xml:space="preserve"> </w:t>
      </w:r>
    </w:p>
    <w:p w14:paraId="5A3ADE4D"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Nunnally, J. C., &amp; Bernstein, I. H. (1994). </w:t>
      </w:r>
      <w:r w:rsidRPr="00332319">
        <w:rPr>
          <w:rFonts w:ascii="Times New Roman" w:hAnsi="Times New Roman" w:cs="Times New Roman"/>
          <w:i/>
          <w:iCs/>
        </w:rPr>
        <w:t>Psychometric Theory</w:t>
      </w:r>
      <w:r w:rsidRPr="00332319">
        <w:rPr>
          <w:rFonts w:ascii="Times New Roman" w:hAnsi="Times New Roman" w:cs="Times New Roman"/>
        </w:rPr>
        <w:t xml:space="preserve"> (3rd ed.). McGraw-Hill. </w:t>
      </w:r>
    </w:p>
    <w:p w14:paraId="1F6F27C9"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DeVellis, R. F., &amp; Thorpe, C. T. (2021). </w:t>
      </w:r>
      <w:r w:rsidRPr="00332319">
        <w:rPr>
          <w:rFonts w:ascii="Times New Roman" w:hAnsi="Times New Roman" w:cs="Times New Roman"/>
          <w:i/>
          <w:iCs/>
        </w:rPr>
        <w:t>Scale Development: Theory and Applications</w:t>
      </w:r>
      <w:r w:rsidRPr="00332319">
        <w:rPr>
          <w:rFonts w:ascii="Times New Roman" w:hAnsi="Times New Roman" w:cs="Times New Roman"/>
        </w:rPr>
        <w:t xml:space="preserve"> (5th ed.). SAGE Publications. </w:t>
      </w:r>
    </w:p>
    <w:p w14:paraId="06560E82" w14:textId="77777777" w:rsidR="00332319" w:rsidRPr="00332319" w:rsidRDefault="00332319" w:rsidP="00332319">
      <w:pPr>
        <w:pStyle w:val="ListParagraph"/>
        <w:numPr>
          <w:ilvl w:val="0"/>
          <w:numId w:val="43"/>
        </w:numPr>
        <w:spacing w:line="360" w:lineRule="auto"/>
        <w:jc w:val="both"/>
        <w:rPr>
          <w:rFonts w:ascii="Times New Roman" w:hAnsi="Times New Roman" w:cs="Times New Roman"/>
        </w:rPr>
      </w:pPr>
      <w:r w:rsidRPr="00332319">
        <w:rPr>
          <w:rFonts w:ascii="Times New Roman" w:hAnsi="Times New Roman" w:cs="Times New Roman"/>
        </w:rPr>
        <w:t xml:space="preserve">Yamane, T. (1967). </w:t>
      </w:r>
      <w:r w:rsidRPr="00332319">
        <w:rPr>
          <w:rFonts w:ascii="Times New Roman" w:hAnsi="Times New Roman" w:cs="Times New Roman"/>
          <w:i/>
          <w:iCs/>
        </w:rPr>
        <w:t>Statistics: An Introductory Analysis</w:t>
      </w:r>
      <w:r w:rsidRPr="00332319">
        <w:rPr>
          <w:rFonts w:ascii="Times New Roman" w:hAnsi="Times New Roman" w:cs="Times New Roman"/>
        </w:rPr>
        <w:t xml:space="preserve"> (2nd ed.). Harper &amp; Row. </w:t>
      </w:r>
    </w:p>
    <w:p w14:paraId="61F69060" w14:textId="77777777" w:rsidR="007641C6" w:rsidRPr="00332319" w:rsidRDefault="007641C6" w:rsidP="00332319">
      <w:pPr>
        <w:spacing w:line="360" w:lineRule="auto"/>
        <w:jc w:val="both"/>
        <w:rPr>
          <w:rFonts w:ascii="Times New Roman" w:hAnsi="Times New Roman" w:cs="Times New Roman"/>
        </w:rPr>
      </w:pPr>
    </w:p>
    <w:p w14:paraId="619FBCDE" w14:textId="77777777" w:rsidR="007641C6" w:rsidRDefault="007641C6" w:rsidP="000B1DAD">
      <w:pPr>
        <w:spacing w:line="360" w:lineRule="auto"/>
        <w:jc w:val="both"/>
        <w:rPr>
          <w:rFonts w:ascii="Times New Roman" w:hAnsi="Times New Roman" w:cs="Times New Roman"/>
          <w:b/>
          <w:bCs/>
        </w:rPr>
      </w:pPr>
    </w:p>
    <w:p w14:paraId="2CF25EEB" w14:textId="77777777" w:rsidR="007641C6" w:rsidRDefault="007641C6" w:rsidP="000B1DAD">
      <w:pPr>
        <w:spacing w:line="360" w:lineRule="auto"/>
        <w:jc w:val="both"/>
        <w:rPr>
          <w:rFonts w:ascii="Times New Roman" w:hAnsi="Times New Roman" w:cs="Times New Roman"/>
          <w:b/>
          <w:bCs/>
        </w:rPr>
      </w:pPr>
    </w:p>
    <w:p w14:paraId="773C2162" w14:textId="77777777" w:rsidR="007641C6" w:rsidRDefault="007641C6" w:rsidP="000B1DAD">
      <w:pPr>
        <w:spacing w:line="360" w:lineRule="auto"/>
        <w:jc w:val="both"/>
        <w:rPr>
          <w:rFonts w:ascii="Times New Roman" w:hAnsi="Times New Roman" w:cs="Times New Roman"/>
          <w:b/>
          <w:bCs/>
        </w:rPr>
      </w:pPr>
    </w:p>
    <w:p w14:paraId="32B00209" w14:textId="77777777" w:rsidR="007641C6" w:rsidRDefault="007641C6" w:rsidP="000B1DAD">
      <w:pPr>
        <w:spacing w:line="360" w:lineRule="auto"/>
        <w:jc w:val="both"/>
        <w:rPr>
          <w:rFonts w:ascii="Times New Roman" w:hAnsi="Times New Roman" w:cs="Times New Roman"/>
          <w:b/>
          <w:bCs/>
        </w:rPr>
      </w:pPr>
    </w:p>
    <w:p w14:paraId="69A4E4D2" w14:textId="77777777" w:rsidR="007641C6" w:rsidRDefault="007641C6" w:rsidP="000B1DAD">
      <w:pPr>
        <w:spacing w:line="360" w:lineRule="auto"/>
        <w:jc w:val="both"/>
        <w:rPr>
          <w:rFonts w:ascii="Times New Roman" w:hAnsi="Times New Roman" w:cs="Times New Roman"/>
          <w:b/>
          <w:bCs/>
        </w:rPr>
      </w:pPr>
    </w:p>
    <w:sectPr w:rsidR="00764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122"/>
    <w:multiLevelType w:val="multilevel"/>
    <w:tmpl w:val="7CF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5C96"/>
    <w:multiLevelType w:val="multilevel"/>
    <w:tmpl w:val="500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C5A7C"/>
    <w:multiLevelType w:val="multilevel"/>
    <w:tmpl w:val="310E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906BA"/>
    <w:multiLevelType w:val="multilevel"/>
    <w:tmpl w:val="9B8A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71541"/>
    <w:multiLevelType w:val="multilevel"/>
    <w:tmpl w:val="395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A0C7D"/>
    <w:multiLevelType w:val="multilevel"/>
    <w:tmpl w:val="A71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44BC"/>
    <w:multiLevelType w:val="multilevel"/>
    <w:tmpl w:val="222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4E5B"/>
    <w:multiLevelType w:val="multilevel"/>
    <w:tmpl w:val="823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15C65"/>
    <w:multiLevelType w:val="hybridMultilevel"/>
    <w:tmpl w:val="9362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E30770"/>
    <w:multiLevelType w:val="multilevel"/>
    <w:tmpl w:val="15D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0175F"/>
    <w:multiLevelType w:val="multilevel"/>
    <w:tmpl w:val="97E0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8A06FA"/>
    <w:multiLevelType w:val="multilevel"/>
    <w:tmpl w:val="AB1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C3413"/>
    <w:multiLevelType w:val="multilevel"/>
    <w:tmpl w:val="E68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17F66"/>
    <w:multiLevelType w:val="multilevel"/>
    <w:tmpl w:val="5C9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B14D5"/>
    <w:multiLevelType w:val="multilevel"/>
    <w:tmpl w:val="CA6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D30B9"/>
    <w:multiLevelType w:val="multilevel"/>
    <w:tmpl w:val="E94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E64B0"/>
    <w:multiLevelType w:val="multilevel"/>
    <w:tmpl w:val="EA2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63497"/>
    <w:multiLevelType w:val="multilevel"/>
    <w:tmpl w:val="6A34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A71D4"/>
    <w:multiLevelType w:val="multilevel"/>
    <w:tmpl w:val="378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62210"/>
    <w:multiLevelType w:val="multilevel"/>
    <w:tmpl w:val="FE5A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A60E8"/>
    <w:multiLevelType w:val="multilevel"/>
    <w:tmpl w:val="DC3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B55DE"/>
    <w:multiLevelType w:val="multilevel"/>
    <w:tmpl w:val="E66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C63E0"/>
    <w:multiLevelType w:val="multilevel"/>
    <w:tmpl w:val="B47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8752E"/>
    <w:multiLevelType w:val="multilevel"/>
    <w:tmpl w:val="5A2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C2253"/>
    <w:multiLevelType w:val="multilevel"/>
    <w:tmpl w:val="123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77D68"/>
    <w:multiLevelType w:val="multilevel"/>
    <w:tmpl w:val="87AE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40B8C"/>
    <w:multiLevelType w:val="multilevel"/>
    <w:tmpl w:val="78B2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D4BE4"/>
    <w:multiLevelType w:val="multilevel"/>
    <w:tmpl w:val="41C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96C05"/>
    <w:multiLevelType w:val="multilevel"/>
    <w:tmpl w:val="83B8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8C642B"/>
    <w:multiLevelType w:val="multilevel"/>
    <w:tmpl w:val="3BE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97183"/>
    <w:multiLevelType w:val="multilevel"/>
    <w:tmpl w:val="D8D8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62AE4"/>
    <w:multiLevelType w:val="multilevel"/>
    <w:tmpl w:val="3BC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76C1C"/>
    <w:multiLevelType w:val="multilevel"/>
    <w:tmpl w:val="983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60FB9"/>
    <w:multiLevelType w:val="multilevel"/>
    <w:tmpl w:val="A31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E3920"/>
    <w:multiLevelType w:val="multilevel"/>
    <w:tmpl w:val="77E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21BD5"/>
    <w:multiLevelType w:val="multilevel"/>
    <w:tmpl w:val="E44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3286F"/>
    <w:multiLevelType w:val="multilevel"/>
    <w:tmpl w:val="AE34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7122D0"/>
    <w:multiLevelType w:val="multilevel"/>
    <w:tmpl w:val="6BD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A5583"/>
    <w:multiLevelType w:val="multilevel"/>
    <w:tmpl w:val="A77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4374A"/>
    <w:multiLevelType w:val="multilevel"/>
    <w:tmpl w:val="AE74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3C2938"/>
    <w:multiLevelType w:val="multilevel"/>
    <w:tmpl w:val="0D84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870FA"/>
    <w:multiLevelType w:val="multilevel"/>
    <w:tmpl w:val="CA7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07F4A"/>
    <w:multiLevelType w:val="multilevel"/>
    <w:tmpl w:val="412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467899">
    <w:abstractNumId w:val="28"/>
  </w:num>
  <w:num w:numId="2" w16cid:durableId="409546953">
    <w:abstractNumId w:val="1"/>
  </w:num>
  <w:num w:numId="3" w16cid:durableId="1389962995">
    <w:abstractNumId w:val="15"/>
  </w:num>
  <w:num w:numId="4" w16cid:durableId="577861733">
    <w:abstractNumId w:val="36"/>
  </w:num>
  <w:num w:numId="5" w16cid:durableId="1317224600">
    <w:abstractNumId w:val="6"/>
  </w:num>
  <w:num w:numId="6" w16cid:durableId="1822118167">
    <w:abstractNumId w:val="26"/>
  </w:num>
  <w:num w:numId="7" w16cid:durableId="195582962">
    <w:abstractNumId w:val="11"/>
  </w:num>
  <w:num w:numId="8" w16cid:durableId="2046830395">
    <w:abstractNumId w:val="18"/>
  </w:num>
  <w:num w:numId="9" w16cid:durableId="1590500317">
    <w:abstractNumId w:val="40"/>
  </w:num>
  <w:num w:numId="10" w16cid:durableId="1162351886">
    <w:abstractNumId w:val="20"/>
  </w:num>
  <w:num w:numId="11" w16cid:durableId="1910265737">
    <w:abstractNumId w:val="39"/>
  </w:num>
  <w:num w:numId="12" w16cid:durableId="1246913255">
    <w:abstractNumId w:val="35"/>
  </w:num>
  <w:num w:numId="13" w16cid:durableId="1535658631">
    <w:abstractNumId w:val="7"/>
  </w:num>
  <w:num w:numId="14" w16cid:durableId="826166772">
    <w:abstractNumId w:val="25"/>
  </w:num>
  <w:num w:numId="15" w16cid:durableId="2108689330">
    <w:abstractNumId w:val="23"/>
  </w:num>
  <w:num w:numId="16" w16cid:durableId="1918200957">
    <w:abstractNumId w:val="32"/>
  </w:num>
  <w:num w:numId="17" w16cid:durableId="235943441">
    <w:abstractNumId w:val="16"/>
  </w:num>
  <w:num w:numId="18" w16cid:durableId="1988121097">
    <w:abstractNumId w:val="31"/>
  </w:num>
  <w:num w:numId="19" w16cid:durableId="2106488761">
    <w:abstractNumId w:val="37"/>
  </w:num>
  <w:num w:numId="20" w16cid:durableId="1902594580">
    <w:abstractNumId w:val="22"/>
  </w:num>
  <w:num w:numId="21" w16cid:durableId="383412571">
    <w:abstractNumId w:val="17"/>
  </w:num>
  <w:num w:numId="22" w16cid:durableId="1861895426">
    <w:abstractNumId w:val="5"/>
  </w:num>
  <w:num w:numId="23" w16cid:durableId="1455128060">
    <w:abstractNumId w:val="14"/>
  </w:num>
  <w:num w:numId="24" w16cid:durableId="76831046">
    <w:abstractNumId w:val="3"/>
  </w:num>
  <w:num w:numId="25" w16cid:durableId="1016351435">
    <w:abstractNumId w:val="4"/>
  </w:num>
  <w:num w:numId="26" w16cid:durableId="1351688241">
    <w:abstractNumId w:val="12"/>
  </w:num>
  <w:num w:numId="27" w16cid:durableId="1666010779">
    <w:abstractNumId w:val="19"/>
  </w:num>
  <w:num w:numId="28" w16cid:durableId="1609661776">
    <w:abstractNumId w:val="29"/>
  </w:num>
  <w:num w:numId="29" w16cid:durableId="1560744822">
    <w:abstractNumId w:val="13"/>
  </w:num>
  <w:num w:numId="30" w16cid:durableId="803044103">
    <w:abstractNumId w:val="24"/>
  </w:num>
  <w:num w:numId="31" w16cid:durableId="792209069">
    <w:abstractNumId w:val="42"/>
  </w:num>
  <w:num w:numId="32" w16cid:durableId="1561093404">
    <w:abstractNumId w:val="38"/>
  </w:num>
  <w:num w:numId="33" w16cid:durableId="1674722124">
    <w:abstractNumId w:val="21"/>
  </w:num>
  <w:num w:numId="34" w16cid:durableId="125780194">
    <w:abstractNumId w:val="2"/>
  </w:num>
  <w:num w:numId="35" w16cid:durableId="2018187597">
    <w:abstractNumId w:val="27"/>
  </w:num>
  <w:num w:numId="36" w16cid:durableId="539826716">
    <w:abstractNumId w:val="33"/>
  </w:num>
  <w:num w:numId="37" w16cid:durableId="1036352649">
    <w:abstractNumId w:val="30"/>
  </w:num>
  <w:num w:numId="38" w16cid:durableId="1469972492">
    <w:abstractNumId w:val="34"/>
  </w:num>
  <w:num w:numId="39" w16cid:durableId="1647007699">
    <w:abstractNumId w:val="0"/>
  </w:num>
  <w:num w:numId="40" w16cid:durableId="526718006">
    <w:abstractNumId w:val="9"/>
  </w:num>
  <w:num w:numId="41" w16cid:durableId="877399752">
    <w:abstractNumId w:val="41"/>
  </w:num>
  <w:num w:numId="42" w16cid:durableId="1656373358">
    <w:abstractNumId w:val="10"/>
  </w:num>
  <w:num w:numId="43" w16cid:durableId="8939766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1E6"/>
    <w:rsid w:val="00036D00"/>
    <w:rsid w:val="000B1DAD"/>
    <w:rsid w:val="00332319"/>
    <w:rsid w:val="007641C6"/>
    <w:rsid w:val="00A871E6"/>
    <w:rsid w:val="00B60EFE"/>
    <w:rsid w:val="00CE6AE5"/>
    <w:rsid w:val="00CF5814"/>
    <w:rsid w:val="00D35CF1"/>
    <w:rsid w:val="00E05470"/>
    <w:rsid w:val="00EC62C7"/>
    <w:rsid w:val="00EF0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6E8BB"/>
  <w15:chartTrackingRefBased/>
  <w15:docId w15:val="{FD2E89AF-5975-4B54-9CFE-10228D5C1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1E6"/>
    <w:rPr>
      <w:rFonts w:eastAsiaTheme="majorEastAsia" w:cstheme="majorBidi"/>
      <w:color w:val="272727" w:themeColor="text1" w:themeTint="D8"/>
    </w:rPr>
  </w:style>
  <w:style w:type="paragraph" w:styleId="Title">
    <w:name w:val="Title"/>
    <w:basedOn w:val="Normal"/>
    <w:next w:val="Normal"/>
    <w:link w:val="TitleChar"/>
    <w:uiPriority w:val="10"/>
    <w:qFormat/>
    <w:rsid w:val="00A87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1E6"/>
    <w:pPr>
      <w:spacing w:before="160"/>
      <w:jc w:val="center"/>
    </w:pPr>
    <w:rPr>
      <w:i/>
      <w:iCs/>
      <w:color w:val="404040" w:themeColor="text1" w:themeTint="BF"/>
    </w:rPr>
  </w:style>
  <w:style w:type="character" w:customStyle="1" w:styleId="QuoteChar">
    <w:name w:val="Quote Char"/>
    <w:basedOn w:val="DefaultParagraphFont"/>
    <w:link w:val="Quote"/>
    <w:uiPriority w:val="29"/>
    <w:rsid w:val="00A871E6"/>
    <w:rPr>
      <w:i/>
      <w:iCs/>
      <w:color w:val="404040" w:themeColor="text1" w:themeTint="BF"/>
    </w:rPr>
  </w:style>
  <w:style w:type="paragraph" w:styleId="ListParagraph">
    <w:name w:val="List Paragraph"/>
    <w:basedOn w:val="Normal"/>
    <w:uiPriority w:val="34"/>
    <w:qFormat/>
    <w:rsid w:val="00A871E6"/>
    <w:pPr>
      <w:ind w:left="720"/>
      <w:contextualSpacing/>
    </w:pPr>
  </w:style>
  <w:style w:type="character" w:styleId="IntenseEmphasis">
    <w:name w:val="Intense Emphasis"/>
    <w:basedOn w:val="DefaultParagraphFont"/>
    <w:uiPriority w:val="21"/>
    <w:qFormat/>
    <w:rsid w:val="00A871E6"/>
    <w:rPr>
      <w:i/>
      <w:iCs/>
      <w:color w:val="0F4761" w:themeColor="accent1" w:themeShade="BF"/>
    </w:rPr>
  </w:style>
  <w:style w:type="paragraph" w:styleId="IntenseQuote">
    <w:name w:val="Intense Quote"/>
    <w:basedOn w:val="Normal"/>
    <w:next w:val="Normal"/>
    <w:link w:val="IntenseQuoteChar"/>
    <w:uiPriority w:val="30"/>
    <w:qFormat/>
    <w:rsid w:val="00A87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1E6"/>
    <w:rPr>
      <w:i/>
      <w:iCs/>
      <w:color w:val="0F4761" w:themeColor="accent1" w:themeShade="BF"/>
    </w:rPr>
  </w:style>
  <w:style w:type="character" w:styleId="IntenseReference">
    <w:name w:val="Intense Reference"/>
    <w:basedOn w:val="DefaultParagraphFont"/>
    <w:uiPriority w:val="32"/>
    <w:qFormat/>
    <w:rsid w:val="00A871E6"/>
    <w:rPr>
      <w:b/>
      <w:bCs/>
      <w:smallCaps/>
      <w:color w:val="0F4761" w:themeColor="accent1" w:themeShade="BF"/>
      <w:spacing w:val="5"/>
    </w:rPr>
  </w:style>
  <w:style w:type="character" w:styleId="Hyperlink">
    <w:name w:val="Hyperlink"/>
    <w:basedOn w:val="DefaultParagraphFont"/>
    <w:uiPriority w:val="99"/>
    <w:unhideWhenUsed/>
    <w:rsid w:val="00332319"/>
    <w:rPr>
      <w:color w:val="467886" w:themeColor="hyperlink"/>
      <w:u w:val="single"/>
    </w:rPr>
  </w:style>
  <w:style w:type="character" w:styleId="UnresolvedMention">
    <w:name w:val="Unresolved Mention"/>
    <w:basedOn w:val="DefaultParagraphFont"/>
    <w:uiPriority w:val="99"/>
    <w:semiHidden/>
    <w:unhideWhenUsed/>
    <w:rsid w:val="00332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5116/ijme.4dfb.8df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33</Pages>
  <Words>10005</Words>
  <Characters>57031</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16</cp:revision>
  <dcterms:created xsi:type="dcterms:W3CDTF">2026-08-31T17:26:00Z</dcterms:created>
  <dcterms:modified xsi:type="dcterms:W3CDTF">2026-08-31T18:29:00Z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10a175f0-5d88-407b-a4ea-664da43e630a</vt:lpwstr>
  </property>
</Properties>
</file>