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A2691E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1. Introduction</w:t>
      </w:r>
    </w:p>
    <w:p w14:paraId="67A788F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1.1 Background of School Education in Nagaland</w:t>
      </w:r>
      <w:r w:rsidRPr="00C948F0">
        <w:rPr>
          <w:rFonts w:ascii="Times New Roman" w:hAnsi="Times New Roman" w:cs="Times New Roman"/>
        </w:rPr>
        <w:br/>
        <w:t>1.2 Changing Government–Private School Landscape</w:t>
      </w:r>
      <w:r w:rsidRPr="00C948F0">
        <w:rPr>
          <w:rFonts w:ascii="Times New Roman" w:hAnsi="Times New Roman" w:cs="Times New Roman"/>
        </w:rPr>
        <w:br/>
        <w:t>1.3 Problem of Fragmented Education Governance</w:t>
      </w:r>
      <w:r w:rsidRPr="00C948F0">
        <w:rPr>
          <w:rFonts w:ascii="Times New Roman" w:hAnsi="Times New Roman" w:cs="Times New Roman"/>
        </w:rPr>
        <w:br/>
        <w:t>1.4 Rationale for Government–Private–Community Synergy</w:t>
      </w:r>
      <w:r w:rsidRPr="00C948F0">
        <w:rPr>
          <w:rFonts w:ascii="Times New Roman" w:hAnsi="Times New Roman" w:cs="Times New Roman"/>
        </w:rPr>
        <w:br/>
        <w:t>1.5 Research Objectives</w:t>
      </w:r>
      <w:r w:rsidRPr="00C948F0">
        <w:rPr>
          <w:rFonts w:ascii="Times New Roman" w:hAnsi="Times New Roman" w:cs="Times New Roman"/>
        </w:rPr>
        <w:br/>
        <w:t>1.6 Research Questions</w:t>
      </w:r>
      <w:r w:rsidRPr="00C948F0">
        <w:rPr>
          <w:rFonts w:ascii="Times New Roman" w:hAnsi="Times New Roman" w:cs="Times New Roman"/>
        </w:rPr>
        <w:br/>
        <w:t>1.7 Significance, Scope and Contribution</w:t>
      </w:r>
    </w:p>
    <w:p w14:paraId="213EBA03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2. Literature Review</w:t>
      </w:r>
    </w:p>
    <w:p w14:paraId="7E72BABC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2.1 Public–Private Partnerships in Education</w:t>
      </w:r>
      <w:r w:rsidRPr="00C948F0">
        <w:rPr>
          <w:rFonts w:ascii="Times New Roman" w:hAnsi="Times New Roman" w:cs="Times New Roman"/>
        </w:rPr>
        <w:br/>
        <w:t>2.2 Private School Growth and Government School Decline in India</w:t>
      </w:r>
      <w:r w:rsidRPr="00C948F0">
        <w:rPr>
          <w:rFonts w:ascii="Times New Roman" w:hAnsi="Times New Roman" w:cs="Times New Roman"/>
        </w:rPr>
        <w:br/>
        <w:t>2.3 Collaborative and Network Governance in Education</w:t>
      </w:r>
      <w:r w:rsidRPr="00C948F0">
        <w:rPr>
          <w:rFonts w:ascii="Times New Roman" w:hAnsi="Times New Roman" w:cs="Times New Roman"/>
        </w:rPr>
        <w:br/>
        <w:t xml:space="preserve">2.4 Community Participation and </w:t>
      </w:r>
      <w:proofErr w:type="spellStart"/>
      <w:r w:rsidRPr="00C948F0">
        <w:rPr>
          <w:rFonts w:ascii="Times New Roman" w:hAnsi="Times New Roman" w:cs="Times New Roman"/>
        </w:rPr>
        <w:t>Communitisation</w:t>
      </w:r>
      <w:proofErr w:type="spellEnd"/>
      <w:r w:rsidRPr="00C948F0">
        <w:rPr>
          <w:rFonts w:ascii="Times New Roman" w:hAnsi="Times New Roman" w:cs="Times New Roman"/>
        </w:rPr>
        <w:t xml:space="preserve"> in Nagaland</w:t>
      </w:r>
      <w:r w:rsidRPr="00C948F0">
        <w:rPr>
          <w:rFonts w:ascii="Times New Roman" w:hAnsi="Times New Roman" w:cs="Times New Roman"/>
        </w:rPr>
        <w:br/>
        <w:t>2.5 NEP 2020, School Complexes and Education Regulation</w:t>
      </w:r>
      <w:r w:rsidRPr="00C948F0">
        <w:rPr>
          <w:rFonts w:ascii="Times New Roman" w:hAnsi="Times New Roman" w:cs="Times New Roman"/>
        </w:rPr>
        <w:br/>
        <w:t>2.6 Research Gap</w:t>
      </w:r>
    </w:p>
    <w:p w14:paraId="1272C09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3. Theoretical and Conceptual Framework</w:t>
      </w:r>
    </w:p>
    <w:p w14:paraId="575382A0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3.1 Collaborative Governance Theory</w:t>
      </w:r>
      <w:r w:rsidRPr="00C948F0">
        <w:rPr>
          <w:rFonts w:ascii="Times New Roman" w:hAnsi="Times New Roman" w:cs="Times New Roman"/>
        </w:rPr>
        <w:br/>
        <w:t>3.2 Network Governance and Social Capital</w:t>
      </w:r>
      <w:r w:rsidRPr="00C948F0">
        <w:rPr>
          <w:rFonts w:ascii="Times New Roman" w:hAnsi="Times New Roman" w:cs="Times New Roman"/>
        </w:rPr>
        <w:br/>
        <w:t>3.3 Government–Private–Community Synergy Continuum</w:t>
      </w:r>
      <w:r w:rsidRPr="00C948F0">
        <w:rPr>
          <w:rFonts w:ascii="Times New Roman" w:hAnsi="Times New Roman" w:cs="Times New Roman"/>
        </w:rPr>
        <w:br/>
      </w:r>
      <w:r w:rsidRPr="00C948F0">
        <w:rPr>
          <w:rFonts w:ascii="Times New Roman" w:hAnsi="Times New Roman" w:cs="Times New Roman"/>
          <w:b/>
          <w:bCs/>
        </w:rPr>
        <w:t>Coexistence → Coordination → Collaboration → Co-creation</w:t>
      </w:r>
      <w:r w:rsidRPr="00C948F0">
        <w:rPr>
          <w:rFonts w:ascii="Times New Roman" w:hAnsi="Times New Roman" w:cs="Times New Roman"/>
        </w:rPr>
        <w:br/>
        <w:t>3.4 Proposed Conceptual Model</w:t>
      </w:r>
      <w:r w:rsidRPr="00C948F0">
        <w:rPr>
          <w:rFonts w:ascii="Times New Roman" w:hAnsi="Times New Roman" w:cs="Times New Roman"/>
        </w:rPr>
        <w:br/>
        <w:t>3.5 Research Hypotheses / Propositions</w:t>
      </w:r>
    </w:p>
    <w:p w14:paraId="39C7142F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4. Methodology</w:t>
      </w:r>
    </w:p>
    <w:p w14:paraId="255E23AC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4.1 Research Design</w:t>
      </w:r>
      <w:r w:rsidRPr="00C948F0">
        <w:rPr>
          <w:rFonts w:ascii="Times New Roman" w:hAnsi="Times New Roman" w:cs="Times New Roman"/>
        </w:rPr>
        <w:br/>
        <w:t>4.2 Data Sources and Study Context</w:t>
      </w:r>
      <w:r w:rsidRPr="00C948F0">
        <w:rPr>
          <w:rFonts w:ascii="Times New Roman" w:hAnsi="Times New Roman" w:cs="Times New Roman"/>
        </w:rPr>
        <w:br/>
        <w:t>4.3 Sampling and Data Collection</w:t>
      </w:r>
      <w:r w:rsidRPr="00C948F0">
        <w:rPr>
          <w:rFonts w:ascii="Times New Roman" w:hAnsi="Times New Roman" w:cs="Times New Roman"/>
        </w:rPr>
        <w:br/>
        <w:t>4.4 Variables / Analytical Dimensions</w:t>
      </w:r>
      <w:r w:rsidRPr="00C948F0">
        <w:rPr>
          <w:rFonts w:ascii="Times New Roman" w:hAnsi="Times New Roman" w:cs="Times New Roman"/>
        </w:rPr>
        <w:br/>
        <w:t>4.5 Data Analysis</w:t>
      </w:r>
      <w:r w:rsidRPr="00C948F0">
        <w:rPr>
          <w:rFonts w:ascii="Times New Roman" w:hAnsi="Times New Roman" w:cs="Times New Roman"/>
        </w:rPr>
        <w:br/>
        <w:t>4.6 Reliability, Validity and Ethics</w:t>
      </w:r>
    </w:p>
    <w:p w14:paraId="278B33BC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5. Status of School Education in Nagaland</w:t>
      </w:r>
    </w:p>
    <w:p w14:paraId="224C7A42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lastRenderedPageBreak/>
        <w:t>5.1 Institutional Structure</w:t>
      </w:r>
      <w:r w:rsidRPr="00C948F0">
        <w:rPr>
          <w:rFonts w:ascii="Times New Roman" w:hAnsi="Times New Roman" w:cs="Times New Roman"/>
        </w:rPr>
        <w:br/>
        <w:t>5.2 Government–Private Enrolment Trends</w:t>
      </w:r>
      <w:r w:rsidRPr="00C948F0">
        <w:rPr>
          <w:rFonts w:ascii="Times New Roman" w:hAnsi="Times New Roman" w:cs="Times New Roman"/>
        </w:rPr>
        <w:br/>
        <w:t>5.3 Teachers, PTR and Infrastructure</w:t>
      </w:r>
      <w:r w:rsidRPr="00C948F0">
        <w:rPr>
          <w:rFonts w:ascii="Times New Roman" w:hAnsi="Times New Roman" w:cs="Times New Roman"/>
        </w:rPr>
        <w:br/>
        <w:t>5.4 Government–Private Learning Outcomes</w:t>
      </w:r>
      <w:r w:rsidRPr="00C948F0">
        <w:rPr>
          <w:rFonts w:ascii="Times New Roman" w:hAnsi="Times New Roman" w:cs="Times New Roman"/>
        </w:rPr>
        <w:br/>
        <w:t>5.5 Major Government Initiatives and NECTAR</w:t>
      </w:r>
    </w:p>
    <w:p w14:paraId="6AFAE9F9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6. Existing Government–Private–Community Synergy</w:t>
      </w:r>
    </w:p>
    <w:p w14:paraId="36EEF7E8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6.1 Regulatory and Institutional Interaction</w:t>
      </w:r>
      <w:r w:rsidRPr="00C948F0">
        <w:rPr>
          <w:rFonts w:ascii="Times New Roman" w:hAnsi="Times New Roman" w:cs="Times New Roman"/>
        </w:rPr>
        <w:br/>
        <w:t>6.2 Curriculum, Assessment and Teacher Development</w:t>
      </w:r>
      <w:r w:rsidRPr="00C948F0">
        <w:rPr>
          <w:rFonts w:ascii="Times New Roman" w:hAnsi="Times New Roman" w:cs="Times New Roman"/>
        </w:rPr>
        <w:br/>
        <w:t>6.3 Community Participation</w:t>
      </w:r>
      <w:r w:rsidRPr="00C948F0">
        <w:rPr>
          <w:rFonts w:ascii="Times New Roman" w:hAnsi="Times New Roman" w:cs="Times New Roman"/>
        </w:rPr>
        <w:br/>
        <w:t>6.4 Digital and Infrastructure Partnerships</w:t>
      </w:r>
      <w:r w:rsidRPr="00C948F0">
        <w:rPr>
          <w:rFonts w:ascii="Times New Roman" w:hAnsi="Times New Roman" w:cs="Times New Roman"/>
        </w:rPr>
        <w:br/>
        <w:t>6.5 Existing Position on the Synergy Continuum</w:t>
      </w:r>
    </w:p>
    <w:p w14:paraId="08A96244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7. Challenges to Effective Synergy</w:t>
      </w:r>
    </w:p>
    <w:p w14:paraId="652B7C27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7.1 Regulatory Fragmentation</w:t>
      </w:r>
      <w:r w:rsidRPr="00C948F0">
        <w:rPr>
          <w:rFonts w:ascii="Times New Roman" w:hAnsi="Times New Roman" w:cs="Times New Roman"/>
        </w:rPr>
        <w:br/>
        <w:t>7.2 Trust and Perception Gaps</w:t>
      </w:r>
      <w:r w:rsidRPr="00C948F0">
        <w:rPr>
          <w:rFonts w:ascii="Times New Roman" w:hAnsi="Times New Roman" w:cs="Times New Roman"/>
        </w:rPr>
        <w:br/>
        <w:t>7.3 Capacity and Resource Asymmetry</w:t>
      </w:r>
      <w:r w:rsidRPr="00C948F0">
        <w:rPr>
          <w:rFonts w:ascii="Times New Roman" w:hAnsi="Times New Roman" w:cs="Times New Roman"/>
        </w:rPr>
        <w:br/>
        <w:t>7.4 Financial and Administrative Constraints</w:t>
      </w:r>
      <w:r w:rsidRPr="00C948F0">
        <w:rPr>
          <w:rFonts w:ascii="Times New Roman" w:hAnsi="Times New Roman" w:cs="Times New Roman"/>
        </w:rPr>
        <w:br/>
        <w:t>7.5 Geographical and Digital Constraints</w:t>
      </w:r>
      <w:r w:rsidRPr="00C948F0">
        <w:rPr>
          <w:rFonts w:ascii="Times New Roman" w:hAnsi="Times New Roman" w:cs="Times New Roman"/>
        </w:rPr>
        <w:br/>
        <w:t>7.6 Quality-Assurance Gaps</w:t>
      </w:r>
    </w:p>
    <w:p w14:paraId="5046DFE0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8. Proposed Government–Private–Community Synergy Framework</w:t>
      </w:r>
    </w:p>
    <w:p w14:paraId="4A0769F1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8.1 Regulatory Governance and SSSA</w:t>
      </w:r>
      <w:r w:rsidRPr="00C948F0">
        <w:rPr>
          <w:rFonts w:ascii="Times New Roman" w:hAnsi="Times New Roman" w:cs="Times New Roman"/>
        </w:rPr>
        <w:br/>
        <w:t>8.2 Collaborative School Complexes and Twinning</w:t>
      </w:r>
      <w:r w:rsidRPr="00C948F0">
        <w:rPr>
          <w:rFonts w:ascii="Times New Roman" w:hAnsi="Times New Roman" w:cs="Times New Roman"/>
        </w:rPr>
        <w:br/>
        <w:t>8.3 Resource and Infrastructure Sharing</w:t>
      </w:r>
      <w:r w:rsidRPr="00C948F0">
        <w:rPr>
          <w:rFonts w:ascii="Times New Roman" w:hAnsi="Times New Roman" w:cs="Times New Roman"/>
        </w:rPr>
        <w:br/>
        <w:t>8.4 Teacher Training and Knowledge Exchange</w:t>
      </w:r>
      <w:r w:rsidRPr="00C948F0">
        <w:rPr>
          <w:rFonts w:ascii="Times New Roman" w:hAnsi="Times New Roman" w:cs="Times New Roman"/>
        </w:rPr>
        <w:br/>
        <w:t>8.5 Community and Civil Society Participation</w:t>
      </w:r>
      <w:r w:rsidRPr="00C948F0">
        <w:rPr>
          <w:rFonts w:ascii="Times New Roman" w:hAnsi="Times New Roman" w:cs="Times New Roman"/>
        </w:rPr>
        <w:br/>
        <w:t>8.6 Data-Driven Monitoring and Accountability</w:t>
      </w:r>
    </w:p>
    <w:p w14:paraId="19782D07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9. Discussion</w:t>
      </w:r>
    </w:p>
    <w:p w14:paraId="32641D4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9.1 Findings in Relation to Collaborative Governance</w:t>
      </w:r>
      <w:r w:rsidRPr="00C948F0">
        <w:rPr>
          <w:rFonts w:ascii="Times New Roman" w:hAnsi="Times New Roman" w:cs="Times New Roman"/>
        </w:rPr>
        <w:br/>
        <w:t xml:space="preserve">9.2 </w:t>
      </w:r>
      <w:proofErr w:type="spellStart"/>
      <w:r w:rsidRPr="00C948F0">
        <w:rPr>
          <w:rFonts w:ascii="Times New Roman" w:hAnsi="Times New Roman" w:cs="Times New Roman"/>
        </w:rPr>
        <w:t>Communitisation</w:t>
      </w:r>
      <w:proofErr w:type="spellEnd"/>
      <w:r w:rsidRPr="00C948F0">
        <w:rPr>
          <w:rFonts w:ascii="Times New Roman" w:hAnsi="Times New Roman" w:cs="Times New Roman"/>
        </w:rPr>
        <w:t xml:space="preserve"> and Social Capital</w:t>
      </w:r>
      <w:r w:rsidRPr="00C948F0">
        <w:rPr>
          <w:rFonts w:ascii="Times New Roman" w:hAnsi="Times New Roman" w:cs="Times New Roman"/>
        </w:rPr>
        <w:br/>
        <w:t>9.3 Implications for NEP 2020</w:t>
      </w:r>
      <w:r w:rsidRPr="00C948F0">
        <w:rPr>
          <w:rFonts w:ascii="Times New Roman" w:hAnsi="Times New Roman" w:cs="Times New Roman"/>
        </w:rPr>
        <w:br/>
      </w:r>
      <w:r w:rsidRPr="00C948F0">
        <w:rPr>
          <w:rFonts w:ascii="Times New Roman" w:hAnsi="Times New Roman" w:cs="Times New Roman"/>
        </w:rPr>
        <w:lastRenderedPageBreak/>
        <w:t>9.4 Comparison with Indian PPP Evidence</w:t>
      </w:r>
      <w:r w:rsidRPr="00C948F0">
        <w:rPr>
          <w:rFonts w:ascii="Times New Roman" w:hAnsi="Times New Roman" w:cs="Times New Roman"/>
        </w:rPr>
        <w:br/>
        <w:t>9.5 Theoretical and Policy Contribution</w:t>
      </w:r>
    </w:p>
    <w:p w14:paraId="45C47F1E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10. Policy Recommendations</w:t>
      </w:r>
    </w:p>
    <w:p w14:paraId="1E4D7692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Independent State School Standards Authority </w:t>
      </w:r>
    </w:p>
    <w:p w14:paraId="1CCA7C42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Context-specific PPP guidelines </w:t>
      </w:r>
    </w:p>
    <w:p w14:paraId="1F0DB2D1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Government–private dialogue platform </w:t>
      </w:r>
    </w:p>
    <w:p w14:paraId="6B91B04C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School twinning and resource sharing </w:t>
      </w:r>
    </w:p>
    <w:p w14:paraId="4F25528A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Joint teacher-development programmes </w:t>
      </w:r>
    </w:p>
    <w:p w14:paraId="65DC4695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Community strengthening </w:t>
      </w:r>
    </w:p>
    <w:p w14:paraId="4E8CA2C9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Outcome-based accountability </w:t>
      </w:r>
    </w:p>
    <w:p w14:paraId="044DDF00" w14:textId="77777777" w:rsidR="0011669E" w:rsidRPr="00C948F0" w:rsidRDefault="0011669E" w:rsidP="00426FF1">
      <w:pPr>
        <w:numPr>
          <w:ilvl w:val="0"/>
          <w:numId w:val="1"/>
        </w:num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 xml:space="preserve">Strengthened EMIS and monitoring </w:t>
      </w:r>
    </w:p>
    <w:p w14:paraId="3A70BEA5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11. Conclusion</w:t>
      </w:r>
    </w:p>
    <w:p w14:paraId="7EF36758" w14:textId="608765C4" w:rsidR="00D23BB2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</w:rPr>
        <w:t>11.1 Key Findings</w:t>
      </w:r>
      <w:r w:rsidRPr="00C948F0">
        <w:rPr>
          <w:rFonts w:ascii="Times New Roman" w:hAnsi="Times New Roman" w:cs="Times New Roman"/>
        </w:rPr>
        <w:br/>
        <w:t>11.2 Theoretical Contribution</w:t>
      </w:r>
      <w:r w:rsidRPr="00C948F0">
        <w:rPr>
          <w:rFonts w:ascii="Times New Roman" w:hAnsi="Times New Roman" w:cs="Times New Roman"/>
        </w:rPr>
        <w:br/>
        <w:t>11.3 Policy Contribution</w:t>
      </w:r>
      <w:r w:rsidRPr="00C948F0">
        <w:rPr>
          <w:rFonts w:ascii="Times New Roman" w:hAnsi="Times New Roman" w:cs="Times New Roman"/>
        </w:rPr>
        <w:br/>
        <w:t>11.4 Implications for Other Northeast/Tribal States</w:t>
      </w:r>
      <w:r w:rsidRPr="00C948F0">
        <w:rPr>
          <w:rFonts w:ascii="Times New Roman" w:hAnsi="Times New Roman" w:cs="Times New Roman"/>
        </w:rPr>
        <w:br/>
        <w:t>11.5 Future Research</w:t>
      </w:r>
    </w:p>
    <w:p w14:paraId="0811BC8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Research Objectives</w:t>
      </w:r>
    </w:p>
    <w:p w14:paraId="2B7ABCE6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RO1:</w:t>
      </w:r>
      <w:r w:rsidRPr="00C948F0">
        <w:rPr>
          <w:rFonts w:ascii="Times New Roman" w:hAnsi="Times New Roman" w:cs="Times New Roman"/>
        </w:rPr>
        <w:t xml:space="preserve"> To examine the current landscape of government and private school education in Nagaland, with reference to enrolment, infrastructure, teachers and educational outcomes.</w:t>
      </w:r>
    </w:p>
    <w:p w14:paraId="1EAD7F57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RO2:</w:t>
      </w:r>
      <w:r w:rsidRPr="00C948F0">
        <w:rPr>
          <w:rFonts w:ascii="Times New Roman" w:hAnsi="Times New Roman" w:cs="Times New Roman"/>
        </w:rPr>
        <w:t xml:space="preserve"> To analyse the existing forms of interaction and collaboration among government schools, private schools and community institutions in Nagaland.</w:t>
      </w:r>
    </w:p>
    <w:p w14:paraId="00FAF541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RO3:</w:t>
      </w:r>
      <w:r w:rsidRPr="00C948F0">
        <w:rPr>
          <w:rFonts w:ascii="Times New Roman" w:hAnsi="Times New Roman" w:cs="Times New Roman"/>
        </w:rPr>
        <w:t xml:space="preserve"> To identify the major regulatory, institutional, financial, geographical and capacity-related barriers to effective government–private collaboration.</w:t>
      </w:r>
    </w:p>
    <w:p w14:paraId="369F62C4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RO4:</w:t>
      </w:r>
      <w:r w:rsidRPr="00C948F0">
        <w:rPr>
          <w:rFonts w:ascii="Times New Roman" w:hAnsi="Times New Roman" w:cs="Times New Roman"/>
        </w:rPr>
        <w:t xml:space="preserve"> To examine the potential of resource sharing, school complexes, teacher development, digital partnerships and community participation for strengthening school education.</w:t>
      </w:r>
    </w:p>
    <w:p w14:paraId="1B9CD87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lastRenderedPageBreak/>
        <w:t>RO5:</w:t>
      </w:r>
      <w:r w:rsidRPr="00C948F0">
        <w:rPr>
          <w:rFonts w:ascii="Times New Roman" w:hAnsi="Times New Roman" w:cs="Times New Roman"/>
        </w:rPr>
        <w:t xml:space="preserve"> To develop a context-specific </w:t>
      </w:r>
      <w:r w:rsidRPr="00C948F0">
        <w:rPr>
          <w:rFonts w:ascii="Times New Roman" w:hAnsi="Times New Roman" w:cs="Times New Roman"/>
          <w:b/>
          <w:bCs/>
        </w:rPr>
        <w:t>Government–Private–Community Synergy Framework</w:t>
      </w:r>
      <w:r w:rsidRPr="00C948F0">
        <w:rPr>
          <w:rFonts w:ascii="Times New Roman" w:hAnsi="Times New Roman" w:cs="Times New Roman"/>
        </w:rPr>
        <w:t xml:space="preserve"> aligned with </w:t>
      </w:r>
      <w:r w:rsidRPr="00C948F0">
        <w:rPr>
          <w:rFonts w:ascii="Times New Roman" w:hAnsi="Times New Roman" w:cs="Times New Roman"/>
          <w:b/>
          <w:bCs/>
        </w:rPr>
        <w:t>NEP 2020 and SDG 4</w:t>
      </w:r>
      <w:r w:rsidRPr="00C948F0">
        <w:rPr>
          <w:rFonts w:ascii="Times New Roman" w:hAnsi="Times New Roman" w:cs="Times New Roman"/>
        </w:rPr>
        <w:t xml:space="preserve"> for improving educational quality, equity, efficiency and accountability.</w:t>
      </w:r>
    </w:p>
    <w:p w14:paraId="4DC5CD65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  <w:b/>
          <w:bCs/>
        </w:rPr>
      </w:pPr>
      <w:r w:rsidRPr="00C948F0">
        <w:rPr>
          <w:rFonts w:ascii="Times New Roman" w:hAnsi="Times New Roman" w:cs="Times New Roman"/>
          <w:b/>
          <w:bCs/>
        </w:rPr>
        <w:t>Research Hypotheses</w:t>
      </w:r>
    </w:p>
    <w:p w14:paraId="3865790E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H1:</w:t>
      </w:r>
      <w:r w:rsidRPr="00C948F0">
        <w:rPr>
          <w:rFonts w:ascii="Times New Roman" w:hAnsi="Times New Roman" w:cs="Times New Roman"/>
        </w:rPr>
        <w:t xml:space="preserve"> Regulatory coherence has a positive and significant effect on government–private collaboration in school education in Nagaland.</w:t>
      </w:r>
    </w:p>
    <w:p w14:paraId="27E1CE00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H2:</w:t>
      </w:r>
      <w:r w:rsidRPr="00C948F0">
        <w:rPr>
          <w:rFonts w:ascii="Times New Roman" w:hAnsi="Times New Roman" w:cs="Times New Roman"/>
        </w:rPr>
        <w:t xml:space="preserve"> Institutional trust has a positive and significant effect on government–private collaboration in school education in Nagaland.</w:t>
      </w:r>
    </w:p>
    <w:p w14:paraId="1CA8AD85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H3:</w:t>
      </w:r>
      <w:r w:rsidRPr="00C948F0">
        <w:rPr>
          <w:rFonts w:ascii="Times New Roman" w:hAnsi="Times New Roman" w:cs="Times New Roman"/>
        </w:rPr>
        <w:t xml:space="preserve"> Resource-sharing capacity has a positive and significant effect on government–private collaboration in school education in Nagaland.</w:t>
      </w:r>
    </w:p>
    <w:p w14:paraId="0E1580C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H4:</w:t>
      </w:r>
      <w:r w:rsidRPr="00C948F0">
        <w:rPr>
          <w:rFonts w:ascii="Times New Roman" w:hAnsi="Times New Roman" w:cs="Times New Roman"/>
        </w:rPr>
        <w:t xml:space="preserve"> Community participation has a positive and significant effect on government–private collaboration in school education in Nagaland.</w:t>
      </w:r>
    </w:p>
    <w:p w14:paraId="69FA8512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H5:</w:t>
      </w:r>
      <w:r w:rsidRPr="00C948F0">
        <w:rPr>
          <w:rFonts w:ascii="Times New Roman" w:hAnsi="Times New Roman" w:cs="Times New Roman"/>
        </w:rPr>
        <w:t xml:space="preserve"> Government–private collaboration has a positive and significant effect on educational quality.</w:t>
      </w:r>
    </w:p>
    <w:p w14:paraId="4ACFEC83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H6:</w:t>
      </w:r>
      <w:r w:rsidRPr="00C948F0">
        <w:rPr>
          <w:rFonts w:ascii="Times New Roman" w:hAnsi="Times New Roman" w:cs="Times New Roman"/>
        </w:rPr>
        <w:t xml:space="preserve"> Government–private collaboration has a positive and significant effect on educational equity.</w:t>
      </w:r>
    </w:p>
    <w:p w14:paraId="25B149CA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H7:</w:t>
      </w:r>
      <w:r w:rsidRPr="00C948F0">
        <w:rPr>
          <w:rFonts w:ascii="Times New Roman" w:hAnsi="Times New Roman" w:cs="Times New Roman"/>
        </w:rPr>
        <w:t xml:space="preserve"> Government–private collaboration has a positive and significant effect on institutional accountability.</w:t>
      </w:r>
    </w:p>
    <w:p w14:paraId="1D6888F3" w14:textId="77777777" w:rsidR="0011669E" w:rsidRPr="00C948F0" w:rsidRDefault="0011669E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b/>
          <w:bCs/>
        </w:rPr>
        <w:t>H8:</w:t>
      </w:r>
      <w:r w:rsidRPr="00C948F0">
        <w:rPr>
          <w:rFonts w:ascii="Times New Roman" w:hAnsi="Times New Roman" w:cs="Times New Roman"/>
        </w:rPr>
        <w:t xml:space="preserve"> Community participation positively moderates the relationship between government–private collaboration and educational outcomes.</w:t>
      </w:r>
    </w:p>
    <w:p w14:paraId="1969DE13" w14:textId="55DD2278" w:rsidR="0011669E" w:rsidRPr="00C948F0" w:rsidRDefault="00C948F0" w:rsidP="00C948F0">
      <w:pPr>
        <w:spacing w:line="360" w:lineRule="auto"/>
        <w:rPr>
          <w:rFonts w:ascii="Times New Roman" w:hAnsi="Times New Roman" w:cs="Times New Roman"/>
        </w:rPr>
      </w:pPr>
      <w:r w:rsidRPr="00C948F0">
        <w:rPr>
          <w:rFonts w:ascii="Times New Roman" w:hAnsi="Times New Roman" w:cs="Times New Roman"/>
          <w:noProof/>
        </w:rPr>
        <w:lastRenderedPageBreak/>
        <w:t>a</w:t>
      </w:r>
      <w:r w:rsidR="007163CD" w:rsidRPr="00C948F0">
        <w:rPr>
          <w:rFonts w:ascii="Times New Roman" w:hAnsi="Times New Roman" w:cs="Times New Roman"/>
          <w:noProof/>
        </w:rPr>
        <w:drawing>
          <wp:inline distT="0" distB="0" distL="0" distR="0" wp14:anchorId="4D634945" wp14:editId="13C7F7F2">
            <wp:extent cx="6309360" cy="4206240"/>
            <wp:effectExtent l="0" t="0" r="0" b="3810"/>
            <wp:docPr id="126517604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9360" cy="42062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11669E" w:rsidRPr="00C94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3766A0"/>
    <w:multiLevelType w:val="multilevel"/>
    <w:tmpl w:val="88386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79545576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669E"/>
    <w:rsid w:val="0011669E"/>
    <w:rsid w:val="00426FF1"/>
    <w:rsid w:val="00507CEA"/>
    <w:rsid w:val="007163CD"/>
    <w:rsid w:val="0075779D"/>
    <w:rsid w:val="00B85695"/>
    <w:rsid w:val="00C948F0"/>
    <w:rsid w:val="00CC4708"/>
    <w:rsid w:val="00CF2699"/>
    <w:rsid w:val="00D23BB2"/>
    <w:rsid w:val="00FC71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1BF4B"/>
  <w15:chartTrackingRefBased/>
  <w15:docId w15:val="{A3C965BC-0541-4D91-B4AF-D396F837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B85695"/>
    <w:pPr>
      <w:keepNext/>
      <w:keepLines/>
      <w:spacing w:before="360" w:after="80"/>
      <w:jc w:val="both"/>
      <w:outlineLvl w:val="0"/>
    </w:pPr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B85695"/>
    <w:pPr>
      <w:keepNext/>
      <w:keepLines/>
      <w:spacing w:before="160" w:after="80"/>
      <w:jc w:val="both"/>
      <w:outlineLvl w:val="1"/>
    </w:pPr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paragraph" w:styleId="Heading3">
    <w:name w:val="heading 3"/>
    <w:basedOn w:val="Normal"/>
    <w:next w:val="Normal"/>
    <w:link w:val="Heading3Char"/>
    <w:autoRedefine/>
    <w:uiPriority w:val="9"/>
    <w:semiHidden/>
    <w:unhideWhenUsed/>
    <w:qFormat/>
    <w:rsid w:val="00B85695"/>
    <w:pPr>
      <w:keepNext/>
      <w:keepLines/>
      <w:spacing w:before="160" w:after="80"/>
      <w:outlineLvl w:val="2"/>
    </w:pPr>
    <w:rPr>
      <w:rFonts w:ascii="Times New Roman" w:eastAsiaTheme="majorEastAsia" w:hAnsi="Times New Roman" w:cstheme="majorBidi"/>
      <w:b/>
      <w:color w:val="000000" w:themeColor="text1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66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66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66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66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66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66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85695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 w:val="28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85695"/>
    <w:rPr>
      <w:rFonts w:ascii="Times New Roman" w:eastAsiaTheme="majorEastAsia" w:hAnsi="Times New Roman" w:cstheme="majorBidi"/>
      <w:b/>
      <w:color w:val="000000" w:themeColor="text1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66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66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66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66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66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66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166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66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66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66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166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66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166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66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66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66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166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703</Words>
  <Characters>4009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Kaushal Ankita</dc:creator>
  <cp:keywords/>
  <dc:description/>
  <cp:lastModifiedBy>Kaushal Ankita</cp:lastModifiedBy>
  <cp:revision>3</cp:revision>
  <dcterms:created xsi:type="dcterms:W3CDTF">2026-08-13T15:59:00Z</dcterms:created>
  <dcterms:modified xsi:type="dcterms:W3CDTF">2026-08-13T16:14:00Z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ce5a9fca-1240-41b8-b895-c6777c097600</vt:lpwstr>
  </property>
</Properties>
</file>