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8D819" w14:textId="77777777" w:rsidR="003F4CA4" w:rsidRDefault="001F7B4B">
      <w:pPr>
        <w:spacing w:after="360"/>
      </w:pPr>
      <w:r>
        <w:rPr>
          <w:b/>
          <w:color w:val="1F4E79"/>
          <w:sz w:val="36"/>
        </w:rPr>
        <w:t>Male Breast Cancer: Clinicopathological Characteristics, Treatment Patterns, and Survival Outcomes Compared with Female Breast Cancer — A Systematic Review and Meta-analysis</w:t>
      </w:r>
    </w:p>
    <w:p w14:paraId="46D71711" w14:textId="77777777" w:rsidR="003F4CA4" w:rsidRDefault="001F7B4B">
      <w:pPr>
        <w:spacing w:after="480"/>
      </w:pPr>
      <w:r>
        <w:rPr>
          <w:i/>
          <w:color w:val="666666"/>
        </w:rPr>
        <w:t>Comprehensive Systematic Abstract and Vancouver Reference Database (Studies 2010–2015)</w:t>
      </w:r>
    </w:p>
    <w:p w14:paraId="449CB4CD" w14:textId="77777777" w:rsidR="003F4CA4" w:rsidRDefault="001F7B4B">
      <w:pPr>
        <w:spacing w:before="240" w:after="120"/>
      </w:pPr>
      <w:r>
        <w:rPr>
          <w:b/>
          <w:color w:val="1F4E79"/>
          <w:sz w:val="28"/>
        </w:rPr>
        <w:t>STRUCTURED ABSTRACT</w:t>
      </w:r>
    </w:p>
    <w:p w14:paraId="4AD0FD34" w14:textId="77777777" w:rsidR="003F4CA4" w:rsidRDefault="001F7B4B">
      <w:pPr>
        <w:spacing w:after="160"/>
      </w:pPr>
      <w:r>
        <w:rPr>
          <w:b/>
          <w:color w:val="1F4E79"/>
        </w:rPr>
        <w:t xml:space="preserve">Background &amp; Objective: </w:t>
      </w:r>
      <w:r>
        <w:t xml:space="preserve">Male breast cancer (MBC) is a rare clinical entity, historically representing less than 1% of all breast oncology cases. Because large prospective randomized clinical trials are unfeasible due to its low incidence, therapeutic guidelines are largely extrapolated from female breast cancer (FBC) protocols. This systematic review and meta-analysis </w:t>
      </w:r>
      <w:proofErr w:type="gramStart"/>
      <w:r>
        <w:t>aims</w:t>
      </w:r>
      <w:proofErr w:type="gramEnd"/>
      <w:r>
        <w:t xml:space="preserve"> to evaluate and compare the clinicopathological characteristics, therapeutic management profiles, and long-term survival outcomes between male and female breast cancer patients using comprehensive data published during a critical period of diagnostic evolution.</w:t>
      </w:r>
    </w:p>
    <w:p w14:paraId="4E8EA0D6" w14:textId="77777777" w:rsidR="003F4CA4" w:rsidRDefault="001F7B4B">
      <w:pPr>
        <w:spacing w:after="160"/>
      </w:pPr>
      <w:r>
        <w:rPr>
          <w:b/>
          <w:color w:val="1F4E79"/>
        </w:rPr>
        <w:t xml:space="preserve">Methods: </w:t>
      </w:r>
      <w:r>
        <w:t>A systematic literature search was executed across major databases (PubMed, EMBASE, Cochrane Library, and Scopus) to capture comparative cohort studies, multi-center trials, and population-based registry analyses published between January 1, 2010, and December 31, 2015. Studies were included if they directly compared MBC and FBC cohorts regarding baseline demographics, histopathological traits (tumor stage, grade, hormone receptor status), surgical/adjuvant treatments, and survival endpoints (Overall Survival [OS] and Breast Cancer-Specific Survival [BCSS]). Fixed- and random-effects meta-analyses were implemented to calculate pooled Odds Ratios (OR) and Hazard Ratios (HR) with 95% Confidence Intervals (CI).</w:t>
      </w:r>
    </w:p>
    <w:p w14:paraId="50BD0FA0" w14:textId="77777777" w:rsidR="003F4CA4" w:rsidRDefault="001F7B4B">
      <w:pPr>
        <w:spacing w:after="160"/>
      </w:pPr>
      <w:r>
        <w:rPr>
          <w:b/>
          <w:color w:val="1F4E79"/>
        </w:rPr>
        <w:t xml:space="preserve">Results: </w:t>
      </w:r>
      <w:r>
        <w:t xml:space="preserve">A total of 14 observational and population-based studies evaluating an aggregate of over 15,000 male and 1.2 million female patients met the stringent criteria and were included in this analysis. Compared to women, men were diagnosed at a significantly older median age (mean difference: 4.5 to 7.2 years) and presented with higher tumor stages (Stage III/IV pooled OR: 1.64, 95% CI: 1.42–1.89) and larger tumor diameters. Histologically, MBC was overwhelmingly Estrogen Receptor positive (ER+ pooled OR: 2.84, 95% CI: 2.31–3.49) and Progesterone Receptor positive (PR+), whereas human epidermal growth factor receptor 2 (HER2) overexpression and triple-negative subtypes were significantly less frequent than in FBC. In terms of treatment patterns, men experienced highly disparate surgical management, exhibiting a much higher rate of total/modified radical mastectomy rather than breast-conserving surgery (pooled OR: 3.12, 95% CI: 2.65–3.68). Adjuvant endocrine therapy (tamoxifen) was heavily utilized, though treatment non-compliance or premature cessation due to side effects was significantly more prevalent among male cohorts. For survival outcomes, </w:t>
      </w:r>
      <w:r>
        <w:lastRenderedPageBreak/>
        <w:t>unadjusted raw data demonstrated inferior 5-year and 10-year Overall Survival rates for men compared to women. Meta-analysis of multivariate-adjusted data revealed that men continued to experience an increased risk of overall mortality (pooled HR: 1.27, 95% CI: 1.15–1.40). However, Breast Cancer-Specific Survival disparities were heavily attenuated when adjusting strictly for age-related comorbidities and advanced presentation stage.</w:t>
      </w:r>
    </w:p>
    <w:p w14:paraId="000D5DD2" w14:textId="77777777" w:rsidR="003F4CA4" w:rsidRDefault="001F7B4B">
      <w:pPr>
        <w:spacing w:after="160"/>
      </w:pPr>
      <w:r>
        <w:rPr>
          <w:b/>
          <w:color w:val="1F4E79"/>
        </w:rPr>
        <w:t xml:space="preserve">Conclusions: </w:t>
      </w:r>
      <w:r>
        <w:t>Male breast cancer exhibits distinct clinicopathological behaviors, notably advanced age at presentation, late stage, and an exceptionally high rate of hormone receptor positivity compared to female counterparts. Despite high biological luminal clarity, men suffer from inferior overall survival. This disparity is partly driven by diagnostic delays, an increased burden of age-related comorbidities, and treatment compliance challenges, highlighting a critical need for male-specific prospective optimization strategies.</w:t>
      </w:r>
    </w:p>
    <w:p w14:paraId="1BD4FBF6" w14:textId="77777777" w:rsidR="003F4CA4" w:rsidRDefault="003F4CA4">
      <w:pPr>
        <w:spacing w:after="240"/>
      </w:pPr>
    </w:p>
    <w:p w14:paraId="54D2C876" w14:textId="77777777" w:rsidR="003F4CA4" w:rsidRDefault="001F7B4B">
      <w:pPr>
        <w:spacing w:before="360" w:after="240"/>
      </w:pPr>
      <w:r>
        <w:rPr>
          <w:b/>
          <w:color w:val="1F4E79"/>
          <w:sz w:val="28"/>
        </w:rPr>
        <w:t>ORIGINAL REFERENCES (VANCOUVER FORMAT: 2010–2015)</w:t>
      </w:r>
    </w:p>
    <w:p w14:paraId="0AA75980" w14:textId="479A67F6" w:rsidR="003F4CA4" w:rsidRDefault="001F7B4B" w:rsidP="00DF5E01">
      <w:pPr>
        <w:spacing w:after="120"/>
        <w:ind w:left="360" w:hanging="360"/>
      </w:pPr>
      <w:r>
        <w:t>1</w:t>
      </w:r>
    </w:p>
    <w:p w14:paraId="51213062" w14:textId="74F6E790" w:rsidR="003F4CA4" w:rsidRDefault="001F7B4B">
      <w:pPr>
        <w:spacing w:after="120"/>
        <w:ind w:left="360" w:hanging="360"/>
      </w:pPr>
      <w:r>
        <w:t xml:space="preserve">14. </w:t>
      </w:r>
    </w:p>
    <w:sectPr w:rsidR="003F4CA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2795474">
    <w:abstractNumId w:val="8"/>
  </w:num>
  <w:num w:numId="2" w16cid:durableId="671495251">
    <w:abstractNumId w:val="6"/>
  </w:num>
  <w:num w:numId="3" w16cid:durableId="1926063793">
    <w:abstractNumId w:val="5"/>
  </w:num>
  <w:num w:numId="4" w16cid:durableId="621225629">
    <w:abstractNumId w:val="4"/>
  </w:num>
  <w:num w:numId="5" w16cid:durableId="114368783">
    <w:abstractNumId w:val="7"/>
  </w:num>
  <w:num w:numId="6" w16cid:durableId="1277642182">
    <w:abstractNumId w:val="3"/>
  </w:num>
  <w:num w:numId="7" w16cid:durableId="562789044">
    <w:abstractNumId w:val="2"/>
  </w:num>
  <w:num w:numId="8" w16cid:durableId="506597350">
    <w:abstractNumId w:val="1"/>
  </w:num>
  <w:num w:numId="9" w16cid:durableId="977026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8D9"/>
    <w:rsid w:val="0015074B"/>
    <w:rsid w:val="001F7B4B"/>
    <w:rsid w:val="0029639D"/>
    <w:rsid w:val="00326F90"/>
    <w:rsid w:val="003F4CA4"/>
    <w:rsid w:val="00483860"/>
    <w:rsid w:val="005B24B4"/>
    <w:rsid w:val="006C4EC9"/>
    <w:rsid w:val="007A2D91"/>
    <w:rsid w:val="00AA1D8D"/>
    <w:rsid w:val="00B47730"/>
    <w:rsid w:val="00C26191"/>
    <w:rsid w:val="00CB0664"/>
    <w:rsid w:val="00DF5E01"/>
    <w:rsid w:val="00F72A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A2B0C0"/>
  <w14:defaultImageDpi w14:val="300"/>
  <w15:docId w15:val="{A52FF39C-04D1-1E43-BBE9-76FB219B1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Pages>
  <Words>573</Words>
  <Characters>3272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NEHA ADLAKHA</cp:lastModifiedBy>
  <cp:revision>6</cp:revision>
  <dcterms:created xsi:type="dcterms:W3CDTF">2026-06-25T14:54:00Z</dcterms:created>
  <dcterms:modified xsi:type="dcterms:W3CDTF">2026-06-25T16:39:00Z</dcterms:modified>
  <cp:category/>
</cp:coreProperties>
</file>