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Navigation &amp; Five-Study Comparison</w:t>
      </w:r>
    </w:p>
    <w:p>
      <w:pPr>
        <w:pStyle w:val="Subtitle"/>
      </w:pPr>
      <w:r>
        <w:t>Selected title: Psychological Distress and Adjustment Difficulties Among Nursing Students: A Cross-Sectional Study in Rajasthan, India</w:t>
      </w:r>
    </w:p>
    <w:p>
      <w:r>
        <w:t>Prepared October 2026 | Working research planning document | Literature details drawn from public publication records; Scopus indexing must be independently checked.</w:t>
      </w:r>
    </w:p>
    <w:p>
      <w:pPr>
        <w:pStyle w:val="Heading1"/>
      </w:pPr>
      <w:r>
        <w:t>1. Research focus and boundaries</w:t>
      </w:r>
    </w:p>
    <w:p>
      <w:r>
        <w:t>Population: undergraduate nursing students studying in Rajasthan, India. Primary constructs: psychological distress and adjustment difficulties. Proposed design: institution-based analytical cross-sectional survey. Specify the city, colleges, course years, and eligibility criteria before data collection. This plan is a proposal, not a report of completed research.</w:t>
      </w:r>
    </w:p>
    <w:p>
      <w:pPr>
        <w:pStyle w:val="Heading1"/>
      </w:pPr>
      <w:r>
        <w:t>2. Five relevant published studies: comparison</w:t>
      </w:r>
    </w:p>
    <w:p>
      <w:pPr>
        <w:pStyle w:val="Heading2"/>
      </w:pPr>
      <w:r>
        <w:t>Study 1 (2021) — Academic performance, adaptation and mental health of nursing students: A cross-sectional study</w:t>
      </w:r>
    </w:p>
    <w:p>
      <w:r>
        <w:rPr>
          <w:b/>
        </w:rPr>
        <w:t xml:space="preserve">Design/sample: </w:t>
      </w:r>
      <w:r>
        <w:t>Cross-sectional; academic records n=348; questionnaire n=88</w:t>
      </w:r>
    </w:p>
    <w:p>
      <w:r>
        <w:rPr>
          <w:b/>
        </w:rPr>
        <w:t xml:space="preserve">Measures/focus: </w:t>
      </w:r>
      <w:r>
        <w:t>Academic adaptation (ALEQ-r), performance, depressive symptoms</w:t>
      </w:r>
    </w:p>
    <w:p>
      <w:r>
        <w:rPr>
          <w:b/>
        </w:rPr>
        <w:t xml:space="preserve">Reported finding: </w:t>
      </w:r>
      <w:r>
        <w:t>Depressive symptoms 60.2%; academic performance and adaptation predicted depressive symptoms.</w:t>
      </w:r>
    </w:p>
    <w:p>
      <w:r>
        <w:rPr>
          <w:b/>
        </w:rPr>
        <w:t xml:space="preserve">Use and limitation: </w:t>
      </w:r>
      <w:r>
        <w:t>Closest conceptual match: jointly measures adaptation and mental health; small questionnaire subgroup.</w:t>
      </w:r>
    </w:p>
    <w:p>
      <w:r>
        <w:rPr>
          <w:b/>
        </w:rPr>
        <w:t xml:space="preserve">Source: </w:t>
      </w:r>
      <w:r>
        <w:t>https://pubmed.ncbi.nlm.nih.gov/34273732/</w:t>
      </w:r>
    </w:p>
    <w:p>
      <w:pPr>
        <w:pStyle w:val="Heading2"/>
      </w:pPr>
      <w:r>
        <w:t>Study 2 (2024) — Psychological Distress, Academic Stress, and Burnout among Saudi Undergraduate Nursing Students</w:t>
      </w:r>
    </w:p>
    <w:p>
      <w:r>
        <w:rPr>
          <w:b/>
        </w:rPr>
        <w:t xml:space="preserve">Design/sample: </w:t>
      </w:r>
      <w:r>
        <w:t>Cross-sectional; 237 nursing students in Riyadh</w:t>
      </w:r>
    </w:p>
    <w:p>
      <w:r>
        <w:rPr>
          <w:b/>
        </w:rPr>
        <w:t xml:space="preserve">Measures/focus: </w:t>
      </w:r>
      <w:r>
        <w:t>DASS, Academic Stress Inventory, Maslach Burnout Inventory</w:t>
      </w:r>
    </w:p>
    <w:p>
      <w:r>
        <w:rPr>
          <w:b/>
        </w:rPr>
        <w:t xml:space="preserve">Reported finding: </w:t>
      </w:r>
      <w:r>
        <w:t>Academic stress and burnout variables predicted distress; model explained 52.1% of variance.</w:t>
      </w:r>
    </w:p>
    <w:p>
      <w:r>
        <w:rPr>
          <w:b/>
        </w:rPr>
        <w:t xml:space="preserve">Use and limitation: </w:t>
      </w:r>
      <w:r>
        <w:t>Shows multivariable analysis but academic stress/burnout are not identical to adjustment difficulties.</w:t>
      </w:r>
    </w:p>
    <w:p>
      <w:r>
        <w:rPr>
          <w:b/>
        </w:rPr>
        <w:t xml:space="preserve">Source: </w:t>
      </w:r>
      <w:r>
        <w:t>https://pubmed.ncbi.nlm.nih.gov/38929886/</w:t>
      </w:r>
    </w:p>
    <w:p>
      <w:pPr>
        <w:pStyle w:val="Heading2"/>
      </w:pPr>
      <w:r>
        <w:t>Study 3 (2023) — Factors contributing to depressive symptoms among undergraduate nursing students: A cross-sectional study</w:t>
      </w:r>
    </w:p>
    <w:p>
      <w:r>
        <w:rPr>
          <w:b/>
        </w:rPr>
        <w:t xml:space="preserve">Design/sample: </w:t>
      </w:r>
      <w:r>
        <w:t>Cross-sectional; 230 nursing students in Myanmar</w:t>
      </w:r>
    </w:p>
    <w:p>
      <w:r>
        <w:rPr>
          <w:b/>
        </w:rPr>
        <w:t xml:space="preserve">Measures/focus: </w:t>
      </w:r>
      <w:r>
        <w:t>Depressive symptoms, stress, self-efficacy, coping, academic year</w:t>
      </w:r>
    </w:p>
    <w:p>
      <w:r>
        <w:rPr>
          <w:b/>
        </w:rPr>
        <w:t xml:space="preserve">Reported finding: </w:t>
      </w:r>
      <w:r>
        <w:t>Examines potentially relevant psychosocial predictors of depressive symptoms.</w:t>
      </w:r>
    </w:p>
    <w:p>
      <w:r>
        <w:rPr>
          <w:b/>
        </w:rPr>
        <w:t xml:space="preserve">Use and limitation: </w:t>
      </w:r>
      <w:r>
        <w:t>Useful covariate selection; depression alone is narrower than overall distress.</w:t>
      </w:r>
    </w:p>
    <w:p>
      <w:r>
        <w:rPr>
          <w:b/>
        </w:rPr>
        <w:t xml:space="preserve">Source: </w:t>
      </w:r>
      <w:r>
        <w:t>https://pubmed.ncbi.nlm.nih.gov/36842294/</w:t>
      </w:r>
    </w:p>
    <w:p>
      <w:pPr>
        <w:pStyle w:val="Heading2"/>
      </w:pPr>
      <w:r>
        <w:t>Study 4 (2020) — Nursing students’ resilience, depression, well-being, and academic distress: Testing a moderated mediation model</w:t>
      </w:r>
    </w:p>
    <w:p>
      <w:r>
        <w:rPr>
          <w:b/>
        </w:rPr>
        <w:t xml:space="preserve">Design/sample: </w:t>
      </w:r>
      <w:r>
        <w:t>Correlational cross-sectional; 933 nursing students from Healthy Minds Study</w:t>
      </w:r>
    </w:p>
    <w:p>
      <w:r>
        <w:rPr>
          <w:b/>
        </w:rPr>
        <w:t xml:space="preserve">Measures/focus: </w:t>
      </w:r>
      <w:r>
        <w:t>Resilience, depression, belonging, flourishing, academic distress</w:t>
      </w:r>
    </w:p>
    <w:p>
      <w:r>
        <w:rPr>
          <w:b/>
        </w:rPr>
        <w:t xml:space="preserve">Reported finding: </w:t>
      </w:r>
      <w:r>
        <w:t>Resilience–academic distress links were largely explained by depression; campus climate moderated patterns.</w:t>
      </w:r>
    </w:p>
    <w:p>
      <w:r>
        <w:rPr>
          <w:b/>
        </w:rPr>
        <w:t xml:space="preserve">Use and limitation: </w:t>
      </w:r>
      <w:r>
        <w:t>Provides theoretical pathway; cross-sectional mediation does not establish causality.</w:t>
      </w:r>
    </w:p>
    <w:p>
      <w:r>
        <w:rPr>
          <w:b/>
        </w:rPr>
        <w:t xml:space="preserve">Source: </w:t>
      </w:r>
      <w:r>
        <w:t>https://pubmed.ncbi.nlm.nih.gov/33009859/</w:t>
      </w:r>
    </w:p>
    <w:p>
      <w:pPr>
        <w:pStyle w:val="Heading2"/>
      </w:pPr>
      <w:r>
        <w:t>Study 5 (2025) — The prevalence of mental health issues among nursing students: An umbrella review synthesis of meta-analytic evidence</w:t>
      </w:r>
    </w:p>
    <w:p>
      <w:r>
        <w:rPr>
          <w:b/>
        </w:rPr>
        <w:t xml:space="preserve">Design/sample: </w:t>
      </w:r>
      <w:r>
        <w:t>Umbrella review; 25 meta-analyses; 375 primary studies; 171,828 students</w:t>
      </w:r>
    </w:p>
    <w:p>
      <w:r>
        <w:rPr>
          <w:b/>
        </w:rPr>
        <w:t xml:space="preserve">Measures/focus: </w:t>
      </w:r>
      <w:r>
        <w:t>Multiple mental-health outcomes and pooled prevalence</w:t>
      </w:r>
    </w:p>
    <w:p>
      <w:r>
        <w:rPr>
          <w:b/>
        </w:rPr>
        <w:t xml:space="preserve">Reported finding: </w:t>
      </w:r>
      <w:r>
        <w:t>Overall pooled mental-health issue prevalence 27%; considerable heterogeneity.</w:t>
      </w:r>
    </w:p>
    <w:p>
      <w:r>
        <w:rPr>
          <w:b/>
        </w:rPr>
        <w:t xml:space="preserve">Use and limitation: </w:t>
      </w:r>
      <w:r>
        <w:t>Strong global background, but not an original student-level adjustment study.</w:t>
      </w:r>
    </w:p>
    <w:p>
      <w:r>
        <w:rPr>
          <w:b/>
        </w:rPr>
        <w:t xml:space="preserve">Source: </w:t>
      </w:r>
      <w:r>
        <w:t>https://pubmed.ncbi.nlm.nih.gov/39809132/</w:t>
      </w:r>
    </w:p>
    <w:p>
      <w:pPr>
        <w:pStyle w:val="Heading1"/>
      </w:pPr>
      <w:r>
        <w:t>3. Cross-study synthesis and research gap</w:t>
      </w:r>
    </w:p>
    <w:p>
      <w:r>
        <w:t>Across these five papers, nursing-student mental health is repeatedly linked to academic experience, stress, coping, resilience, and contextual factors. However, the five selected studies do not directly establish the magnitude or pattern of psychological distress together with multidimensional adjustment difficulties among nursing students in Rajasthan. This is a proposed local evidence gap, not proof that no Rajasthan studies exist. Conduct a dedicated Scopus and Indian-database search before making a novelty claim.</w:t>
      </w:r>
    </w:p>
    <w:p>
      <w:pPr>
        <w:pStyle w:val="Heading1"/>
      </w:pPr>
      <w:r>
        <w:t>4. Objectives and hypotheses</w:t>
      </w:r>
    </w:p>
    <w:p>
      <w:pPr>
        <w:pStyle w:val="ListBullet"/>
      </w:pPr>
      <w:r>
        <w:t>Estimate the prevalence and severity distribution of psychological distress.</w:t>
      </w:r>
    </w:p>
    <w:p>
      <w:pPr>
        <w:pStyle w:val="ListBullet"/>
      </w:pPr>
      <w:r>
        <w:t>Describe academic, social, emotional, and institutional adjustment difficulties (subject to chosen validated scale).</w:t>
      </w:r>
    </w:p>
    <w:p>
      <w:pPr>
        <w:pStyle w:val="ListBullet"/>
      </w:pPr>
      <w:r>
        <w:t>Assess the association between distress scores and adjustment scores.</w:t>
      </w:r>
    </w:p>
    <w:p>
      <w:pPr>
        <w:pStyle w:val="ListBullet"/>
      </w:pPr>
      <w:r>
        <w:t>Examine associations with year of study, age, gender, residence, financial stress, and other prespecified covariates.</w:t>
      </w:r>
    </w:p>
    <w:p>
      <w:pPr>
        <w:pStyle w:val="ListBullet"/>
      </w:pPr>
      <w:r>
        <w:t>H1: Greater adjustment difficulties are associated with higher psychological distress scores; H0: no association.</w:t>
      </w:r>
    </w:p>
    <w:p>
      <w:pPr>
        <w:pStyle w:val="Heading1"/>
      </w:pPr>
      <w:r>
        <w:t>5. Proposed study methods</w:t>
      </w:r>
    </w:p>
    <w:p>
      <w:r>
        <w:rPr>
          <w:b/>
        </w:rPr>
        <w:t xml:space="preserve">Design: </w:t>
      </w:r>
      <w:r>
        <w:t>Analytical cross-sectional survey in selected nursing colleges in Rajasthan.</w:t>
      </w:r>
    </w:p>
    <w:p>
      <w:r>
        <w:rPr>
          <w:b/>
        </w:rPr>
        <w:t xml:space="preserve">Sampling: </w:t>
      </w:r>
      <w:r>
        <w:t>Define sampling frame, college selection, strata by year, and random or consecutive recruitment. Calculate sample size from primary outcome and precision; adjust for clustering and non-response if applicable.</w:t>
      </w:r>
    </w:p>
    <w:p>
      <w:r>
        <w:rPr>
          <w:b/>
        </w:rPr>
        <w:t xml:space="preserve">Measurement: </w:t>
      </w:r>
      <w:r>
        <w:t>Select a validated psychological distress measure (e.g., K10 or DASS-21, depending on construct) and a validated student-adjustment instrument. Verify permission, local language validity, cut-offs, scoring direction, and pilot reliability. Do not treat stress, depression, and global distress as interchangeable.</w:t>
      </w:r>
    </w:p>
    <w:p>
      <w:r>
        <w:rPr>
          <w:b/>
        </w:rPr>
        <w:t xml:space="preserve">Ethics: </w:t>
      </w:r>
      <w:r>
        <w:t>Institutional ethics approval, college permissions, voluntary informed consent, anonymous IDs, confidential storage, and referral information for students reporting significant distress.</w:t>
      </w:r>
    </w:p>
    <w:p>
      <w:r>
        <w:rPr>
          <w:b/>
        </w:rPr>
        <w:t xml:space="preserve">Statistics: </w:t>
      </w:r>
      <w:r>
        <w:t>Descriptive statistics; prevalence with 95% confidence intervals; reliability (e.g., Cronbach alpha); correlations matched to distribution; group comparisons; adjusted regression with prespecified confounders and assumption checks. Report effect sizes and confidence intervals, not only p-values.</w:t>
      </w:r>
    </w:p>
    <w:p>
      <w:r>
        <w:rPr>
          <w:b/>
        </w:rPr>
        <w:t xml:space="preserve">Reporting: </w:t>
      </w:r>
      <w:r>
        <w:t>Use STROBE checklist; explain missing data, selection bias, self-report bias, cross-sectional non-causality, and generalizability.</w:t>
      </w:r>
    </w:p>
    <w:p>
      <w:pPr>
        <w:pStyle w:val="Heading1"/>
      </w:pPr>
      <w:r>
        <w:t>6. Manuscript navigation: writing order</w:t>
      </w:r>
    </w:p>
    <w:p>
      <w:r>
        <w:rPr>
          <w:b/>
        </w:rPr>
        <w:t xml:space="preserve">Introduction: </w:t>
      </w:r>
      <w:r>
        <w:t>Problem context → psychological distress → adjustment difficulties → international evidence → India/Rajasthan context → gap → aim and hypotheses.</w:t>
      </w:r>
    </w:p>
    <w:p>
      <w:r>
        <w:rPr>
          <w:b/>
        </w:rPr>
        <w:t xml:space="preserve">Literature review: </w:t>
      </w:r>
      <w:r>
        <w:t>Build a synthesis matrix: author/year, country, design, sample, instruments, key result, limitation, relevance. Group studies by distress prevalence, adjustment, and associated factors.</w:t>
      </w:r>
    </w:p>
    <w:p>
      <w:r>
        <w:rPr>
          <w:b/>
        </w:rPr>
        <w:t xml:space="preserve">Methods: </w:t>
      </w:r>
      <w:r>
        <w:t>Setting, dates, participants, eligibility, sample size, sampling, instruments, data collection, ethics, analysis plan.</w:t>
      </w:r>
    </w:p>
    <w:p>
      <w:r>
        <w:rPr>
          <w:b/>
        </w:rPr>
        <w:t xml:space="preserve">Results: </w:t>
      </w:r>
      <w:r>
        <w:t>Table 1 demographics; Table 2 distress and adjustment distributions; Table 3 bivariate relationships; Table 4 adjusted regression. Insert only actual results after data collection.</w:t>
      </w:r>
    </w:p>
    <w:p>
      <w:r>
        <w:rPr>
          <w:b/>
        </w:rPr>
        <w:t xml:space="preserve">Discussion: </w:t>
      </w:r>
      <w:r>
        <w:t>Compare your observed findings with the five studies and additional India-specific studies; discuss plausible mechanisms, strengths, limitations, and educational implications.</w:t>
      </w:r>
    </w:p>
    <w:p>
      <w:r>
        <w:rPr>
          <w:b/>
        </w:rPr>
        <w:t xml:space="preserve">Conclusion: </w:t>
      </w:r>
      <w:r>
        <w:t>Concise answer to objectives, cautious implications, and directions for longitudinal/intervention studies.</w:t>
      </w:r>
    </w:p>
    <w:p>
      <w:pPr>
        <w:pStyle w:val="Heading1"/>
      </w:pPr>
      <w:r>
        <w:t>7. Search and verification checklist</w:t>
      </w:r>
    </w:p>
    <w:p>
      <w:r>
        <w:t>Suggested Scopus query: TITLE-ABS-KEY(("nursing student*" OR "undergraduate nursing") AND ("psychological distress" OR depression OR anxiety OR stress) AND (adjustment OR adaptation OR "academic adjustment" OR "social adjustment"))</w:t>
      </w:r>
    </w:p>
    <w:p>
      <w:pPr>
        <w:pStyle w:val="ListBullet"/>
      </w:pPr>
      <w:r>
        <w:t>Run additional India/Rajasthan/Udaipur searches; retain inclusion/exclusion decisions and search date.</w:t>
      </w:r>
    </w:p>
    <w:p>
      <w:pPr>
        <w:pStyle w:val="ListBullet"/>
      </w:pPr>
      <w:r>
        <w:t>Verify each of the five articles in Scopus by exact title/DOI and capture Scopus record, journal coverage year, and document type. PubMed listing alone does not verify Scopus indexing or Q1 status.</w:t>
      </w:r>
    </w:p>
    <w:p>
      <w:pPr>
        <w:pStyle w:val="ListBullet"/>
      </w:pPr>
      <w:r>
        <w:t>Verify journal quartile separately for the relevant year and subject category; quartiles vary by source/year.</w:t>
      </w:r>
    </w:p>
    <w:p>
      <w:pPr>
        <w:pStyle w:val="ListBullet"/>
      </w:pPr>
      <w:r>
        <w:t>Retrieve full texts; extract actual instrument names, effect estimates, limitations, and complete author citations.</w:t>
      </w:r>
    </w:p>
    <w:p>
      <w:pPr>
        <w:pStyle w:val="ListBullet"/>
      </w:pPr>
      <w:r>
        <w:t>Use a reference manager (Zotero/Mendeley) and target journal author guidelines before submission.</w:t>
      </w:r>
    </w:p>
    <w:p>
      <w:pPr>
        <w:pStyle w:val="Heading1"/>
      </w:pPr>
      <w:r>
        <w:t>8. Working schedule</w:t>
      </w:r>
    </w:p>
    <w:p>
      <w:pPr>
        <w:pStyle w:val="ListBullet"/>
      </w:pPr>
      <w:r>
        <w:t>Week 1: finalize research question, full-text search, five-paper extraction matrix.</w:t>
      </w:r>
    </w:p>
    <w:p>
      <w:pPr>
        <w:pStyle w:val="ListBullet"/>
      </w:pPr>
      <w:r>
        <w:t>Week 2: select instruments, obtain permissions, draft protocol and sample size.</w:t>
      </w:r>
    </w:p>
    <w:p>
      <w:pPr>
        <w:pStyle w:val="ListBullet"/>
      </w:pPr>
      <w:r>
        <w:t>Weeks 3–4+: ethics and institutional permissions; pilot test.</w:t>
      </w:r>
    </w:p>
    <w:p>
      <w:pPr>
        <w:pStyle w:val="ListBullet"/>
      </w:pPr>
      <w:r>
        <w:t>After approvals: recruit and collect data; clean and analyze.</w:t>
      </w:r>
    </w:p>
    <w:p>
      <w:pPr>
        <w:pStyle w:val="ListBullet"/>
      </w:pPr>
      <w:r>
        <w:t>Final stage: draft IMRaD paper, STROBE check, journal formatting, supervisor review.</w:t>
      </w:r>
    </w:p>
    <w:p>
      <w:pPr>
        <w:pStyle w:val="Heading1"/>
      </w:pPr>
      <w:r>
        <w:t>9. References and evidence status</w:t>
      </w:r>
    </w:p>
    <w:p>
      <w:r>
        <w:t>Article titles and links above are traceable via PubMed. Publication metadata and abstract-level findings have been checked against accessible records; full-text methodological appraisal and individual Scopus indexing checks remain outstanding. Do not cite this planning document as a primary source.</w:t>
      </w:r>
    </w:p>
    <w:p>
      <w:r>
        <w:t>Selected title is taken from the user-provided document “10 suggested research titles.”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Research planning draft • Verify all bibliographic and indexing details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RESEARCH PAPER NAVIGATION  |  NURSING STUDENT MENTAL HEALTH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