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9E7D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</w:rPr>
      </w:pPr>
      <w:r w:rsidRPr="008C6733">
        <w:rPr>
          <w:rFonts w:ascii="Times New Roman" w:hAnsi="Times New Roman" w:cs="Times New Roman"/>
        </w:rPr>
        <w:t>Career-Risk-Adjusted Selection of Retirement Instruments in India: A Multi-Criteria Decision-Making Framework for Personalized Retirement Planning</w:t>
      </w:r>
    </w:p>
    <w:p w14:paraId="1B39A8CF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  <w:b/>
          <w:bCs/>
        </w:rPr>
      </w:pPr>
      <w:r w:rsidRPr="008C6733">
        <w:rPr>
          <w:rFonts w:ascii="Times New Roman" w:hAnsi="Times New Roman" w:cs="Times New Roman"/>
          <w:b/>
          <w:bCs/>
        </w:rPr>
        <w:t>1. Introduction</w:t>
      </w:r>
    </w:p>
    <w:p w14:paraId="0E0DC579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</w:rPr>
      </w:pPr>
      <w:r w:rsidRPr="008C6733">
        <w:rPr>
          <w:rFonts w:ascii="Times New Roman" w:hAnsi="Times New Roman" w:cs="Times New Roman"/>
        </w:rPr>
        <w:t>1.1 Background of Retirement Planning in India</w:t>
      </w:r>
      <w:r w:rsidRPr="008C6733">
        <w:rPr>
          <w:rFonts w:ascii="Times New Roman" w:hAnsi="Times New Roman" w:cs="Times New Roman"/>
        </w:rPr>
        <w:br/>
        <w:t>1.2 Complexity of Retirement-Instrument Selection and Bounded Rationality</w:t>
      </w:r>
      <w:r w:rsidRPr="008C6733">
        <w:rPr>
          <w:rFonts w:ascii="Times New Roman" w:hAnsi="Times New Roman" w:cs="Times New Roman"/>
        </w:rPr>
        <w:br/>
        <w:t>1.3 Indian Retirement-Instrument Landscape (EPF/EPS, NPS, PPF, APY)</w:t>
      </w:r>
      <w:r w:rsidRPr="008C6733">
        <w:rPr>
          <w:rFonts w:ascii="Times New Roman" w:hAnsi="Times New Roman" w:cs="Times New Roman"/>
        </w:rPr>
        <w:br/>
        <w:t>1.4 Research Problem</w:t>
      </w:r>
      <w:r w:rsidRPr="008C6733">
        <w:rPr>
          <w:rFonts w:ascii="Times New Roman" w:hAnsi="Times New Roman" w:cs="Times New Roman"/>
        </w:rPr>
        <w:br/>
        <w:t>1.5 Research Gap</w:t>
      </w:r>
      <w:r w:rsidRPr="008C6733">
        <w:rPr>
          <w:rFonts w:ascii="Times New Roman" w:hAnsi="Times New Roman" w:cs="Times New Roman"/>
        </w:rPr>
        <w:br/>
      </w:r>
      <w:r w:rsidRPr="008C6733">
        <w:rPr>
          <w:rFonts w:ascii="Times New Roman" w:hAnsi="Times New Roman" w:cs="Times New Roman"/>
        </w:rPr>
        <w:t> </w:t>
      </w:r>
      <w:r w:rsidRPr="008C6733">
        <w:rPr>
          <w:rFonts w:ascii="Times New Roman" w:hAnsi="Times New Roman" w:cs="Times New Roman"/>
        </w:rPr>
        <w:t>- Limited integrated cross-instrument comparison</w:t>
      </w:r>
      <w:r w:rsidRPr="008C6733">
        <w:rPr>
          <w:rFonts w:ascii="Times New Roman" w:hAnsi="Times New Roman" w:cs="Times New Roman"/>
        </w:rPr>
        <w:br/>
      </w:r>
      <w:r w:rsidRPr="008C6733">
        <w:rPr>
          <w:rFonts w:ascii="Times New Roman" w:hAnsi="Times New Roman" w:cs="Times New Roman"/>
        </w:rPr>
        <w:t> </w:t>
      </w:r>
      <w:r w:rsidRPr="008C6733">
        <w:rPr>
          <w:rFonts w:ascii="Times New Roman" w:hAnsi="Times New Roman" w:cs="Times New Roman"/>
        </w:rPr>
        <w:t>- Insufficient incorporation of career/income-risk heterogeneity</w:t>
      </w:r>
      <w:r w:rsidRPr="008C6733">
        <w:rPr>
          <w:rFonts w:ascii="Times New Roman" w:hAnsi="Times New Roman" w:cs="Times New Roman"/>
        </w:rPr>
        <w:br/>
      </w:r>
      <w:r w:rsidRPr="008C6733">
        <w:rPr>
          <w:rFonts w:ascii="Times New Roman" w:hAnsi="Times New Roman" w:cs="Times New Roman"/>
        </w:rPr>
        <w:t> </w:t>
      </w:r>
      <w:r w:rsidRPr="008C6733">
        <w:rPr>
          <w:rFonts w:ascii="Times New Roman" w:hAnsi="Times New Roman" w:cs="Times New Roman"/>
        </w:rPr>
        <w:t>- Limited use of robust, preference-sensitive MCDA frameworks</w:t>
      </w:r>
      <w:r w:rsidRPr="008C6733">
        <w:rPr>
          <w:rFonts w:ascii="Times New Roman" w:hAnsi="Times New Roman" w:cs="Times New Roman"/>
        </w:rPr>
        <w:br/>
        <w:t>1.6 Research Questions</w:t>
      </w:r>
      <w:r w:rsidRPr="008C6733">
        <w:rPr>
          <w:rFonts w:ascii="Times New Roman" w:hAnsi="Times New Roman" w:cs="Times New Roman"/>
        </w:rPr>
        <w:br/>
        <w:t>1.7 Research Objectives (RO1–RO5)</w:t>
      </w:r>
      <w:r w:rsidRPr="008C6733">
        <w:rPr>
          <w:rFonts w:ascii="Times New Roman" w:hAnsi="Times New Roman" w:cs="Times New Roman"/>
        </w:rPr>
        <w:br/>
        <w:t>1.8 Contributions of the Study (Theoretical, Methodological, Practical, Policy)</w:t>
      </w:r>
    </w:p>
    <w:p w14:paraId="415D763E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  <w:b/>
          <w:bCs/>
        </w:rPr>
      </w:pPr>
      <w:r w:rsidRPr="008C6733">
        <w:rPr>
          <w:rFonts w:ascii="Times New Roman" w:hAnsi="Times New Roman" w:cs="Times New Roman"/>
          <w:b/>
          <w:bCs/>
        </w:rPr>
        <w:t>2. Literature Review</w:t>
      </w:r>
    </w:p>
    <w:p w14:paraId="398E06B6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</w:rPr>
      </w:pPr>
      <w:r w:rsidRPr="008C6733">
        <w:rPr>
          <w:rFonts w:ascii="Times New Roman" w:hAnsi="Times New Roman" w:cs="Times New Roman"/>
        </w:rPr>
        <w:t>2.1 Retirement Planning and Financial Preparedness</w:t>
      </w:r>
      <w:r w:rsidRPr="008C6733">
        <w:rPr>
          <w:rFonts w:ascii="Times New Roman" w:hAnsi="Times New Roman" w:cs="Times New Roman"/>
        </w:rPr>
        <w:br/>
        <w:t>2.2 Retirement and Pension Instrument Selection</w:t>
      </w:r>
      <w:r w:rsidRPr="008C6733">
        <w:rPr>
          <w:rFonts w:ascii="Times New Roman" w:hAnsi="Times New Roman" w:cs="Times New Roman"/>
        </w:rPr>
        <w:br/>
        <w:t>2.3 Career Risk, Income Volatility and Retirement Planning</w:t>
      </w:r>
      <w:r w:rsidRPr="008C6733">
        <w:rPr>
          <w:rFonts w:ascii="Times New Roman" w:hAnsi="Times New Roman" w:cs="Times New Roman"/>
        </w:rPr>
        <w:br/>
        <w:t>2.4 Bounded Rationality in Complex Financial Decisions</w:t>
      </w:r>
      <w:r w:rsidRPr="008C6733">
        <w:rPr>
          <w:rFonts w:ascii="Times New Roman" w:hAnsi="Times New Roman" w:cs="Times New Roman"/>
        </w:rPr>
        <w:br/>
        <w:t>2.5 Life-Cycle Investment Perspective</w:t>
      </w:r>
      <w:r w:rsidRPr="008C6733">
        <w:rPr>
          <w:rFonts w:ascii="Times New Roman" w:hAnsi="Times New Roman" w:cs="Times New Roman"/>
        </w:rPr>
        <w:br/>
        <w:t>2.6 Asset–Liability Matching under Career Risk</w:t>
      </w:r>
      <w:r w:rsidRPr="008C6733">
        <w:rPr>
          <w:rFonts w:ascii="Times New Roman" w:hAnsi="Times New Roman" w:cs="Times New Roman"/>
        </w:rPr>
        <w:br/>
        <w:t>2.7 Diversification and Retirement Portfolio Construction</w:t>
      </w:r>
      <w:r w:rsidRPr="008C6733">
        <w:rPr>
          <w:rFonts w:ascii="Times New Roman" w:hAnsi="Times New Roman" w:cs="Times New Roman"/>
        </w:rPr>
        <w:br/>
        <w:t>2.8 Multi-Criteria Decision Analysis in Financial and Pension Decisions</w:t>
      </w:r>
      <w:r w:rsidRPr="008C6733">
        <w:rPr>
          <w:rFonts w:ascii="Times New Roman" w:hAnsi="Times New Roman" w:cs="Times New Roman"/>
        </w:rPr>
        <w:br/>
        <w:t>2.9 Literature Synthesis and Research Gap Matrix</w:t>
      </w:r>
    </w:p>
    <w:p w14:paraId="18A433F5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  <w:b/>
          <w:bCs/>
        </w:rPr>
      </w:pPr>
      <w:r w:rsidRPr="008C6733">
        <w:rPr>
          <w:rFonts w:ascii="Times New Roman" w:hAnsi="Times New Roman" w:cs="Times New Roman"/>
          <w:b/>
          <w:bCs/>
        </w:rPr>
        <w:t>3. Theoretical Framework</w:t>
      </w:r>
    </w:p>
    <w:p w14:paraId="6E6A0E8D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</w:rPr>
      </w:pPr>
      <w:r w:rsidRPr="008C6733">
        <w:rPr>
          <w:rFonts w:ascii="Times New Roman" w:hAnsi="Times New Roman" w:cs="Times New Roman"/>
        </w:rPr>
        <w:t>3.1 Bounded Rationality Theory</w:t>
      </w:r>
      <w:r w:rsidRPr="008C6733">
        <w:rPr>
          <w:rFonts w:ascii="Times New Roman" w:hAnsi="Times New Roman" w:cs="Times New Roman"/>
        </w:rPr>
        <w:br/>
        <w:t>3.2 Life-Cycle Hypothesis</w:t>
      </w:r>
      <w:r w:rsidRPr="008C6733">
        <w:rPr>
          <w:rFonts w:ascii="Times New Roman" w:hAnsi="Times New Roman" w:cs="Times New Roman"/>
        </w:rPr>
        <w:br/>
        <w:t>3.3 Asset–Liability Matching</w:t>
      </w:r>
      <w:r w:rsidRPr="008C6733">
        <w:rPr>
          <w:rFonts w:ascii="Times New Roman" w:hAnsi="Times New Roman" w:cs="Times New Roman"/>
        </w:rPr>
        <w:br/>
        <w:t>3.4 Modern Portfolio Theory</w:t>
      </w:r>
      <w:r w:rsidRPr="008C6733">
        <w:rPr>
          <w:rFonts w:ascii="Times New Roman" w:hAnsi="Times New Roman" w:cs="Times New Roman"/>
        </w:rPr>
        <w:br/>
        <w:t>3.5 Integrated Theoretical Framework</w:t>
      </w:r>
      <w:r w:rsidRPr="008C6733">
        <w:rPr>
          <w:rFonts w:ascii="Times New Roman" w:hAnsi="Times New Roman" w:cs="Times New Roman"/>
        </w:rPr>
        <w:br/>
      </w:r>
      <w:r w:rsidRPr="008C6733">
        <w:rPr>
          <w:rFonts w:ascii="Times New Roman" w:hAnsi="Times New Roman" w:cs="Times New Roman"/>
        </w:rPr>
        <w:lastRenderedPageBreak/>
        <w:t> </w:t>
      </w:r>
      <w:r w:rsidRPr="008C6733">
        <w:rPr>
          <w:rFonts w:ascii="Times New Roman" w:hAnsi="Times New Roman" w:cs="Times New Roman"/>
        </w:rPr>
        <w:t>Career Risk + Life-Cycle Position → Risk Capacity &amp; Priorities → Profile-Specific Criterion Weights → MCDA Evaluation → Instrument Ranking</w:t>
      </w:r>
    </w:p>
    <w:p w14:paraId="75BD1B2D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  <w:b/>
          <w:bCs/>
        </w:rPr>
      </w:pPr>
      <w:r w:rsidRPr="008C6733">
        <w:rPr>
          <w:rFonts w:ascii="Times New Roman" w:hAnsi="Times New Roman" w:cs="Times New Roman"/>
          <w:b/>
          <w:bCs/>
        </w:rPr>
        <w:t>4. Research Methodology</w:t>
      </w:r>
    </w:p>
    <w:p w14:paraId="72C8732C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</w:rPr>
      </w:pPr>
      <w:r w:rsidRPr="008C6733">
        <w:rPr>
          <w:rFonts w:ascii="Times New Roman" w:hAnsi="Times New Roman" w:cs="Times New Roman"/>
        </w:rPr>
        <w:t>4.1 Research Design (Prescriptive / Normative MCDA study)</w:t>
      </w:r>
      <w:r w:rsidRPr="008C6733">
        <w:rPr>
          <w:rFonts w:ascii="Times New Roman" w:hAnsi="Times New Roman" w:cs="Times New Roman"/>
        </w:rPr>
        <w:br/>
        <w:t>4.2 Decision Alternatives (EPF/EPS, NPS, PPF, APY)</w:t>
      </w:r>
      <w:r w:rsidRPr="008C6733">
        <w:rPr>
          <w:rFonts w:ascii="Times New Roman" w:hAnsi="Times New Roman" w:cs="Times New Roman"/>
        </w:rPr>
        <w:br/>
        <w:t>4.3 Evaluation Criteria</w:t>
      </w:r>
      <w:r w:rsidRPr="008C6733">
        <w:rPr>
          <w:rFonts w:ascii="Times New Roman" w:hAnsi="Times New Roman" w:cs="Times New Roman"/>
        </w:rPr>
        <w:br/>
      </w:r>
      <w:r w:rsidRPr="008C6733">
        <w:rPr>
          <w:rFonts w:ascii="Times New Roman" w:hAnsi="Times New Roman" w:cs="Times New Roman"/>
        </w:rPr>
        <w:t> </w:t>
      </w:r>
      <w:r w:rsidRPr="008C6733">
        <w:rPr>
          <w:rFonts w:ascii="Times New Roman" w:hAnsi="Times New Roman" w:cs="Times New Roman"/>
        </w:rPr>
        <w:t>C1 Benefit Security &amp; Downside Protection</w:t>
      </w:r>
      <w:r w:rsidRPr="008C6733">
        <w:rPr>
          <w:rFonts w:ascii="Times New Roman" w:hAnsi="Times New Roman" w:cs="Times New Roman"/>
        </w:rPr>
        <w:br/>
      </w:r>
      <w:r w:rsidRPr="008C6733">
        <w:rPr>
          <w:rFonts w:ascii="Times New Roman" w:hAnsi="Times New Roman" w:cs="Times New Roman"/>
        </w:rPr>
        <w:t> </w:t>
      </w:r>
      <w:r w:rsidRPr="008C6733">
        <w:rPr>
          <w:rFonts w:ascii="Times New Roman" w:hAnsi="Times New Roman" w:cs="Times New Roman"/>
        </w:rPr>
        <w:t>C2 Wealth Accumulation Potential</w:t>
      </w:r>
      <w:r w:rsidRPr="008C6733">
        <w:rPr>
          <w:rFonts w:ascii="Times New Roman" w:hAnsi="Times New Roman" w:cs="Times New Roman"/>
        </w:rPr>
        <w:br/>
      </w:r>
      <w:r w:rsidRPr="008C6733">
        <w:rPr>
          <w:rFonts w:ascii="Times New Roman" w:hAnsi="Times New Roman" w:cs="Times New Roman"/>
        </w:rPr>
        <w:t> </w:t>
      </w:r>
      <w:r w:rsidRPr="008C6733">
        <w:rPr>
          <w:rFonts w:ascii="Times New Roman" w:hAnsi="Times New Roman" w:cs="Times New Roman"/>
        </w:rPr>
        <w:t>C3 Cost &amp; Administrative Efficiency</w:t>
      </w:r>
      <w:r w:rsidRPr="008C6733">
        <w:rPr>
          <w:rFonts w:ascii="Times New Roman" w:hAnsi="Times New Roman" w:cs="Times New Roman"/>
        </w:rPr>
        <w:br/>
      </w:r>
      <w:r w:rsidRPr="008C6733">
        <w:rPr>
          <w:rFonts w:ascii="Times New Roman" w:hAnsi="Times New Roman" w:cs="Times New Roman"/>
        </w:rPr>
        <w:t> </w:t>
      </w:r>
      <w:r w:rsidRPr="008C6733">
        <w:rPr>
          <w:rFonts w:ascii="Times New Roman" w:hAnsi="Times New Roman" w:cs="Times New Roman"/>
        </w:rPr>
        <w:t>C4 Liquidity &amp; Withdrawal Flexibility</w:t>
      </w:r>
      <w:r w:rsidRPr="008C6733">
        <w:rPr>
          <w:rFonts w:ascii="Times New Roman" w:hAnsi="Times New Roman" w:cs="Times New Roman"/>
        </w:rPr>
        <w:br/>
      </w:r>
      <w:r w:rsidRPr="008C6733">
        <w:rPr>
          <w:rFonts w:ascii="Times New Roman" w:hAnsi="Times New Roman" w:cs="Times New Roman"/>
        </w:rPr>
        <w:t> </w:t>
      </w:r>
      <w:r w:rsidRPr="008C6733">
        <w:rPr>
          <w:rFonts w:ascii="Times New Roman" w:hAnsi="Times New Roman" w:cs="Times New Roman"/>
        </w:rPr>
        <w:t>C5 Tax Efficiency</w:t>
      </w:r>
      <w:r w:rsidRPr="008C6733">
        <w:rPr>
          <w:rFonts w:ascii="Times New Roman" w:hAnsi="Times New Roman" w:cs="Times New Roman"/>
        </w:rPr>
        <w:br/>
      </w:r>
      <w:r w:rsidRPr="008C6733">
        <w:rPr>
          <w:rFonts w:ascii="Times New Roman" w:hAnsi="Times New Roman" w:cs="Times New Roman"/>
        </w:rPr>
        <w:t> </w:t>
      </w:r>
      <w:r w:rsidRPr="008C6733">
        <w:rPr>
          <w:rFonts w:ascii="Times New Roman" w:hAnsi="Times New Roman" w:cs="Times New Roman"/>
        </w:rPr>
        <w:t>C6 Lifecycle Risk Management (Age-based Auto-rebalancing)</w:t>
      </w:r>
      <w:r w:rsidRPr="008C6733">
        <w:rPr>
          <w:rFonts w:ascii="Times New Roman" w:hAnsi="Times New Roman" w:cs="Times New Roman"/>
        </w:rPr>
        <w:br/>
      </w:r>
      <w:r w:rsidRPr="008C6733">
        <w:rPr>
          <w:rFonts w:ascii="Times New Roman" w:hAnsi="Times New Roman" w:cs="Times New Roman"/>
        </w:rPr>
        <w:t> </w:t>
      </w:r>
      <w:r w:rsidRPr="008C6733">
        <w:rPr>
          <w:rFonts w:ascii="Times New Roman" w:hAnsi="Times New Roman" w:cs="Times New Roman"/>
        </w:rPr>
        <w:t>C7 Diversification &amp; Investment Choice</w:t>
      </w:r>
      <w:r w:rsidRPr="008C6733">
        <w:rPr>
          <w:rFonts w:ascii="Times New Roman" w:hAnsi="Times New Roman" w:cs="Times New Roman"/>
        </w:rPr>
        <w:br/>
        <w:t>4.4 Criterion Operationalisation (Definition, Indicator, Scale, Direction, Data Source, Scoring)</w:t>
      </w:r>
      <w:r w:rsidRPr="008C6733">
        <w:rPr>
          <w:rFonts w:ascii="Times New Roman" w:hAnsi="Times New Roman" w:cs="Times New Roman"/>
        </w:rPr>
        <w:br/>
        <w:t>4.5 Career-Risk Profiles</w:t>
      </w:r>
      <w:r w:rsidRPr="008C6733">
        <w:rPr>
          <w:rFonts w:ascii="Times New Roman" w:hAnsi="Times New Roman" w:cs="Times New Roman"/>
        </w:rPr>
        <w:br/>
      </w:r>
      <w:r w:rsidRPr="008C6733">
        <w:rPr>
          <w:rFonts w:ascii="Times New Roman" w:hAnsi="Times New Roman" w:cs="Times New Roman"/>
        </w:rPr>
        <w:t> </w:t>
      </w:r>
      <w:r w:rsidRPr="008C6733">
        <w:rPr>
          <w:rFonts w:ascii="Times New Roman" w:hAnsi="Times New Roman" w:cs="Times New Roman"/>
        </w:rPr>
        <w:t>Profile 1: High Career Risk</w:t>
      </w:r>
      <w:r w:rsidRPr="008C6733">
        <w:rPr>
          <w:rFonts w:ascii="Times New Roman" w:hAnsi="Times New Roman" w:cs="Times New Roman"/>
        </w:rPr>
        <w:br/>
      </w:r>
      <w:r w:rsidRPr="008C6733">
        <w:rPr>
          <w:rFonts w:ascii="Times New Roman" w:hAnsi="Times New Roman" w:cs="Times New Roman"/>
        </w:rPr>
        <w:t> </w:t>
      </w:r>
      <w:r w:rsidRPr="008C6733">
        <w:rPr>
          <w:rFonts w:ascii="Times New Roman" w:hAnsi="Times New Roman" w:cs="Times New Roman"/>
        </w:rPr>
        <w:t>Profile 2: Stable Career</w:t>
      </w:r>
      <w:r w:rsidRPr="008C6733">
        <w:rPr>
          <w:rFonts w:ascii="Times New Roman" w:hAnsi="Times New Roman" w:cs="Times New Roman"/>
        </w:rPr>
        <w:br/>
        <w:t>4.6 Criteria Weighting (Best-Worst Method preferred, or explicitly labelled normative/scenario weights)</w:t>
      </w:r>
      <w:r w:rsidRPr="008C6733">
        <w:rPr>
          <w:rFonts w:ascii="Times New Roman" w:hAnsi="Times New Roman" w:cs="Times New Roman"/>
        </w:rPr>
        <w:br/>
        <w:t>4.7 Decision Matrix Construction</w:t>
      </w:r>
      <w:r w:rsidRPr="008C6733">
        <w:rPr>
          <w:rFonts w:ascii="Times New Roman" w:hAnsi="Times New Roman" w:cs="Times New Roman"/>
        </w:rPr>
        <w:br/>
        <w:t>4.8 Normalisation</w:t>
      </w:r>
      <w:r w:rsidRPr="008C6733">
        <w:rPr>
          <w:rFonts w:ascii="Times New Roman" w:hAnsi="Times New Roman" w:cs="Times New Roman"/>
        </w:rPr>
        <w:br/>
        <w:t>4.9 Primary Ranking Method (TOPSIS recommended as main method)</w:t>
      </w:r>
      <w:r w:rsidRPr="008C6733">
        <w:rPr>
          <w:rFonts w:ascii="Times New Roman" w:hAnsi="Times New Roman" w:cs="Times New Roman"/>
        </w:rPr>
        <w:br/>
        <w:t>4.10 Robustness Methods (SAW/WSM and VIKOR)</w:t>
      </w:r>
      <w:r w:rsidRPr="008C6733">
        <w:rPr>
          <w:rFonts w:ascii="Times New Roman" w:hAnsi="Times New Roman" w:cs="Times New Roman"/>
        </w:rPr>
        <w:br/>
        <w:t>4.11 Sensitivity Analysis (OAT, ±10%/±20% weight variation, decision-switching thresholds)</w:t>
      </w:r>
      <w:r w:rsidRPr="008C6733">
        <w:rPr>
          <w:rFonts w:ascii="Times New Roman" w:hAnsi="Times New Roman" w:cs="Times New Roman"/>
        </w:rPr>
        <w:br/>
        <w:t>4.12 Cross-Method Robustness Analysis</w:t>
      </w:r>
    </w:p>
    <w:p w14:paraId="0EF7597F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  <w:b/>
          <w:bCs/>
        </w:rPr>
      </w:pPr>
      <w:r w:rsidRPr="008C6733">
        <w:rPr>
          <w:rFonts w:ascii="Times New Roman" w:hAnsi="Times New Roman" w:cs="Times New Roman"/>
          <w:b/>
          <w:bCs/>
        </w:rPr>
        <w:t>5. Results</w:t>
      </w:r>
    </w:p>
    <w:p w14:paraId="42311003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</w:rPr>
      </w:pPr>
      <w:r w:rsidRPr="008C6733">
        <w:rPr>
          <w:rFonts w:ascii="Times New Roman" w:hAnsi="Times New Roman" w:cs="Times New Roman"/>
        </w:rPr>
        <w:t>5.1 Comparative Characteristics of Retirement Instruments</w:t>
      </w:r>
      <w:r w:rsidRPr="008C6733">
        <w:rPr>
          <w:rFonts w:ascii="Times New Roman" w:hAnsi="Times New Roman" w:cs="Times New Roman"/>
        </w:rPr>
        <w:br/>
        <w:t>5.2 Raw Decision Matrix</w:t>
      </w:r>
      <w:r w:rsidRPr="008C6733">
        <w:rPr>
          <w:rFonts w:ascii="Times New Roman" w:hAnsi="Times New Roman" w:cs="Times New Roman"/>
        </w:rPr>
        <w:br/>
        <w:t>5.3 Normalised Decision Matrix</w:t>
      </w:r>
      <w:r w:rsidRPr="008C6733">
        <w:rPr>
          <w:rFonts w:ascii="Times New Roman" w:hAnsi="Times New Roman" w:cs="Times New Roman"/>
        </w:rPr>
        <w:br/>
        <w:t>5.4 Criterion Weights by Career-Risk Profile</w:t>
      </w:r>
      <w:r w:rsidRPr="008C6733">
        <w:rPr>
          <w:rFonts w:ascii="Times New Roman" w:hAnsi="Times New Roman" w:cs="Times New Roman"/>
        </w:rPr>
        <w:br/>
        <w:t>5.5 TOPSIS Results – High Career Risk</w:t>
      </w:r>
      <w:r w:rsidRPr="008C6733">
        <w:rPr>
          <w:rFonts w:ascii="Times New Roman" w:hAnsi="Times New Roman" w:cs="Times New Roman"/>
        </w:rPr>
        <w:br/>
      </w:r>
      <w:r w:rsidRPr="008C6733">
        <w:rPr>
          <w:rFonts w:ascii="Times New Roman" w:hAnsi="Times New Roman" w:cs="Times New Roman"/>
        </w:rPr>
        <w:lastRenderedPageBreak/>
        <w:t>5.6 TOPSIS Results – Stable Career</w:t>
      </w:r>
      <w:r w:rsidRPr="008C6733">
        <w:rPr>
          <w:rFonts w:ascii="Times New Roman" w:hAnsi="Times New Roman" w:cs="Times New Roman"/>
        </w:rPr>
        <w:br/>
        <w:t>5.7 SAW Results</w:t>
      </w:r>
      <w:r w:rsidRPr="008C6733">
        <w:rPr>
          <w:rFonts w:ascii="Times New Roman" w:hAnsi="Times New Roman" w:cs="Times New Roman"/>
        </w:rPr>
        <w:br/>
        <w:t>5.8 VIKOR Results</w:t>
      </w:r>
      <w:r w:rsidRPr="008C6733">
        <w:rPr>
          <w:rFonts w:ascii="Times New Roman" w:hAnsi="Times New Roman" w:cs="Times New Roman"/>
        </w:rPr>
        <w:br/>
        <w:t>5.9 Cross-Method Ranking Comparison and Stability</w:t>
      </w:r>
      <w:r w:rsidRPr="008C6733">
        <w:rPr>
          <w:rFonts w:ascii="Times New Roman" w:hAnsi="Times New Roman" w:cs="Times New Roman"/>
        </w:rPr>
        <w:br/>
        <w:t>5.10 Sensitivity Analysis and Model-Derived Decision-Switching Thresholds</w:t>
      </w:r>
      <w:r w:rsidRPr="008C6733">
        <w:rPr>
          <w:rFonts w:ascii="Times New Roman" w:hAnsi="Times New Roman" w:cs="Times New Roman"/>
        </w:rPr>
        <w:br/>
        <w:t>5.11 Ranking Stability Assessment</w:t>
      </w:r>
    </w:p>
    <w:p w14:paraId="6F4029BD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  <w:b/>
          <w:bCs/>
        </w:rPr>
      </w:pPr>
      <w:r w:rsidRPr="008C6733">
        <w:rPr>
          <w:rFonts w:ascii="Times New Roman" w:hAnsi="Times New Roman" w:cs="Times New Roman"/>
          <w:b/>
          <w:bCs/>
        </w:rPr>
        <w:t>6. Discussion</w:t>
      </w:r>
    </w:p>
    <w:p w14:paraId="0B8E3206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</w:rPr>
      </w:pPr>
      <w:r w:rsidRPr="008C6733">
        <w:rPr>
          <w:rFonts w:ascii="Times New Roman" w:hAnsi="Times New Roman" w:cs="Times New Roman"/>
        </w:rPr>
        <w:t>6.1 Career Risk as a Determinant of Instrument Suitability</w:t>
      </w:r>
      <w:r w:rsidRPr="008C6733">
        <w:rPr>
          <w:rFonts w:ascii="Times New Roman" w:hAnsi="Times New Roman" w:cs="Times New Roman"/>
        </w:rPr>
        <w:br/>
        <w:t>6.2 Security–Growth Trade-off</w:t>
      </w:r>
      <w:r w:rsidRPr="008C6733">
        <w:rPr>
          <w:rFonts w:ascii="Times New Roman" w:hAnsi="Times New Roman" w:cs="Times New Roman"/>
        </w:rPr>
        <w:br/>
        <w:t>6.3 Role of Lifecycle Management and Diversification</w:t>
      </w:r>
      <w:r w:rsidRPr="008C6733">
        <w:rPr>
          <w:rFonts w:ascii="Times New Roman" w:hAnsi="Times New Roman" w:cs="Times New Roman"/>
        </w:rPr>
        <w:br/>
        <w:t>6.4 Why Universal Rankings Are Inappropriate</w:t>
      </w:r>
      <w:r w:rsidRPr="008C6733">
        <w:rPr>
          <w:rFonts w:ascii="Times New Roman" w:hAnsi="Times New Roman" w:cs="Times New Roman"/>
        </w:rPr>
        <w:br/>
        <w:t>6.5 Comparison with Previous Studies</w:t>
      </w:r>
      <w:r w:rsidRPr="008C6733">
        <w:rPr>
          <w:rFonts w:ascii="Times New Roman" w:hAnsi="Times New Roman" w:cs="Times New Roman"/>
        </w:rPr>
        <w:br/>
        <w:t>6.6 Theoretical Implications</w:t>
      </w:r>
      <w:r w:rsidRPr="008C6733">
        <w:rPr>
          <w:rFonts w:ascii="Times New Roman" w:hAnsi="Times New Roman" w:cs="Times New Roman"/>
        </w:rPr>
        <w:br/>
        <w:t>6.7 Practical Implications</w:t>
      </w:r>
    </w:p>
    <w:p w14:paraId="6921B51E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  <w:b/>
          <w:bCs/>
        </w:rPr>
      </w:pPr>
      <w:r w:rsidRPr="008C6733">
        <w:rPr>
          <w:rFonts w:ascii="Times New Roman" w:hAnsi="Times New Roman" w:cs="Times New Roman"/>
          <w:b/>
          <w:bCs/>
        </w:rPr>
        <w:t>7. Policy and Decision-Support Implications</w:t>
      </w:r>
    </w:p>
    <w:p w14:paraId="4D2E2ECB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</w:rPr>
      </w:pPr>
      <w:r w:rsidRPr="008C6733">
        <w:rPr>
          <w:rFonts w:ascii="Times New Roman" w:hAnsi="Times New Roman" w:cs="Times New Roman"/>
        </w:rPr>
        <w:t>7.1 Career-Risk-Adjusted Retirement Guidance</w:t>
      </w:r>
      <w:r w:rsidRPr="008C6733">
        <w:rPr>
          <w:rFonts w:ascii="Times New Roman" w:hAnsi="Times New Roman" w:cs="Times New Roman"/>
        </w:rPr>
        <w:br/>
        <w:t>7.2 Design of an MCDA-Based Decision-Support System for Pension Portals</w:t>
      </w:r>
      <w:r w:rsidRPr="008C6733">
        <w:rPr>
          <w:rFonts w:ascii="Times New Roman" w:hAnsi="Times New Roman" w:cs="Times New Roman"/>
        </w:rPr>
        <w:br/>
        <w:t>7.3 Guided Defaults and Smart Nudging</w:t>
      </w:r>
      <w:r w:rsidRPr="008C6733">
        <w:rPr>
          <w:rFonts w:ascii="Times New Roman" w:hAnsi="Times New Roman" w:cs="Times New Roman"/>
        </w:rPr>
        <w:br/>
        <w:t>7.4 Policy Recommendations (including instruments such as MARS-type guaranteed options)</w:t>
      </w:r>
    </w:p>
    <w:p w14:paraId="7FC5F4FD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  <w:b/>
          <w:bCs/>
        </w:rPr>
      </w:pPr>
      <w:r w:rsidRPr="008C6733">
        <w:rPr>
          <w:rFonts w:ascii="Times New Roman" w:hAnsi="Times New Roman" w:cs="Times New Roman"/>
          <w:b/>
          <w:bCs/>
        </w:rPr>
        <w:t>8. Conclusion</w:t>
      </w:r>
    </w:p>
    <w:p w14:paraId="6854868B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</w:rPr>
      </w:pPr>
      <w:r w:rsidRPr="008C6733">
        <w:rPr>
          <w:rFonts w:ascii="Times New Roman" w:hAnsi="Times New Roman" w:cs="Times New Roman"/>
        </w:rPr>
        <w:t>8.1 Major Findings</w:t>
      </w:r>
      <w:r w:rsidRPr="008C6733">
        <w:rPr>
          <w:rFonts w:ascii="Times New Roman" w:hAnsi="Times New Roman" w:cs="Times New Roman"/>
        </w:rPr>
        <w:br/>
        <w:t>8.2 Theoretical Contribution</w:t>
      </w:r>
      <w:r w:rsidRPr="008C6733">
        <w:rPr>
          <w:rFonts w:ascii="Times New Roman" w:hAnsi="Times New Roman" w:cs="Times New Roman"/>
        </w:rPr>
        <w:br/>
        <w:t>8.3 Methodological Contribution</w:t>
      </w:r>
      <w:r w:rsidRPr="008C6733">
        <w:rPr>
          <w:rFonts w:ascii="Times New Roman" w:hAnsi="Times New Roman" w:cs="Times New Roman"/>
        </w:rPr>
        <w:br/>
        <w:t>8.4 Policy and Practical Implications</w:t>
      </w:r>
      <w:r w:rsidRPr="008C6733">
        <w:rPr>
          <w:rFonts w:ascii="Times New Roman" w:hAnsi="Times New Roman" w:cs="Times New Roman"/>
        </w:rPr>
        <w:br/>
        <w:t>8.5 Limitations</w:t>
      </w:r>
      <w:r w:rsidRPr="008C6733">
        <w:rPr>
          <w:rFonts w:ascii="Times New Roman" w:hAnsi="Times New Roman" w:cs="Times New Roman"/>
        </w:rPr>
        <w:br/>
        <w:t>8.6 Directions for Future Research</w:t>
      </w:r>
    </w:p>
    <w:p w14:paraId="0AAB33B5" w14:textId="77777777" w:rsidR="008C6733" w:rsidRPr="008C6733" w:rsidRDefault="008C6733" w:rsidP="008C6733">
      <w:pPr>
        <w:spacing w:line="360" w:lineRule="auto"/>
        <w:rPr>
          <w:rFonts w:ascii="Times New Roman" w:hAnsi="Times New Roman" w:cs="Times New Roman"/>
        </w:rPr>
      </w:pPr>
    </w:p>
    <w:sectPr w:rsidR="008C6733" w:rsidRPr="008C6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B1DF7"/>
    <w:multiLevelType w:val="multilevel"/>
    <w:tmpl w:val="95100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43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33"/>
    <w:rsid w:val="007928C1"/>
    <w:rsid w:val="008C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B17B0"/>
  <w15:chartTrackingRefBased/>
  <w15:docId w15:val="{E5C80403-BBD8-4E94-BDCF-74C171F5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7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7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7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Ankita</dc:creator>
  <cp:keywords/>
  <dc:description/>
  <cp:lastModifiedBy>Kaushal Ankita</cp:lastModifiedBy>
  <cp:revision>1</cp:revision>
  <dcterms:created xsi:type="dcterms:W3CDTF">2026-08-24T16:39:00Z</dcterms:created>
  <dcterms:modified xsi:type="dcterms:W3CDTF">2026-08-24T16:40:00Z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49d9c028-66b0-4be1-a43d-f2eee071549b</vt:lpwstr>
  </property>
</Properties>
</file>