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100" w:line="360"/>
        <w:jc w:val="center"/>
      </w:pPr>
      <w:r>
        <w:rPr>
          <w:rFonts w:ascii="Times New Roman" w:cs="Times New Roman" w:eastAsia="Times New Roman" w:hAnsi="Times New Roman"/>
          <w:b/>
          <w:bCs/>
          <w:i w:val="false"/>
          <w:iCs w:val="false"/>
          <w:color w:val="000000"/>
          <w:sz w:val="36"/>
          <w:szCs w:val="36"/>
        </w:rPr>
        <w:t xml:space="preserve">SYNOPSIS</w:t>
      </w:r>
    </w:p>
    <w:p>
      <w:pPr>
        <w:spacing w:after="100" w:line="360"/>
        <w:jc w:val="center"/>
      </w:pPr>
      <w:r>
        <w:rPr>
          <w:rFonts w:ascii="Times New Roman" w:cs="Times New Roman" w:eastAsia="Times New Roman" w:hAnsi="Times New Roman"/>
          <w:b/>
          <w:bCs/>
          <w:i w:val="false"/>
          <w:iCs w:val="false"/>
          <w:color w:val="000000"/>
          <w:sz w:val="24"/>
          <w:szCs w:val="24"/>
        </w:rPr>
        <w:t xml:space="preserve">FOR THE REGISTRATION OF</w:t>
      </w:r>
    </w:p>
    <w:p>
      <w:pPr>
        <w:spacing w:after="400" w:line="360"/>
        <w:jc w:val="center"/>
      </w:pPr>
      <w:r>
        <w:rPr>
          <w:rFonts w:ascii="Times New Roman" w:cs="Times New Roman" w:eastAsia="Times New Roman" w:hAnsi="Times New Roman"/>
          <w:b/>
          <w:bCs/>
          <w:i w:val="false"/>
          <w:iCs w:val="false"/>
          <w:color w:val="000000"/>
          <w:sz w:val="30"/>
          <w:szCs w:val="30"/>
        </w:rPr>
        <w:t xml:space="preserve">DOCTOR OF PHILOSOPHY (Ph.D.)</w:t>
      </w:r>
    </w:p>
    <w:p>
      <w:pPr>
        <w:spacing w:after="100" w:line="360"/>
        <w:jc w:val="center"/>
      </w:pPr>
      <w:r>
        <w:rPr>
          <w:rFonts w:ascii="Times New Roman" w:cs="Times New Roman" w:eastAsia="Times New Roman" w:hAnsi="Times New Roman"/>
          <w:b w:val="false"/>
          <w:bCs w:val="false"/>
          <w:i w:val="false"/>
          <w:iCs w:val="false"/>
          <w:color w:val="000000"/>
          <w:sz w:val="22"/>
          <w:szCs w:val="22"/>
        </w:rPr>
        <w:t xml:space="preserve">IN</w:t>
      </w:r>
    </w:p>
    <w:p>
      <w:pPr>
        <w:spacing w:after="600" w:line="360"/>
        <w:jc w:val="center"/>
      </w:pPr>
      <w:r>
        <w:rPr>
          <w:rFonts w:ascii="Times New Roman" w:cs="Times New Roman" w:eastAsia="Times New Roman" w:hAnsi="Times New Roman"/>
          <w:b/>
          <w:bCs/>
          <w:i w:val="false"/>
          <w:iCs w:val="false"/>
          <w:color w:val="000000"/>
          <w:sz w:val="26"/>
          <w:szCs w:val="26"/>
        </w:rPr>
        <w:t xml:space="preserve">COMPUTER SCIENCE AND ENGINEERING</w:t>
      </w:r>
    </w:p>
    <w:p>
      <w:pPr>
        <w:spacing w:after="200" w:line="360"/>
        <w:jc w:val="center"/>
      </w:pPr>
      <w:r>
        <w:rPr>
          <w:rFonts w:ascii="Times New Roman" w:cs="Times New Roman" w:eastAsia="Times New Roman" w:hAnsi="Times New Roman"/>
          <w:b/>
          <w:bCs/>
          <w:i w:val="false"/>
          <w:iCs w:val="false"/>
          <w:color w:val="000000"/>
          <w:sz w:val="24"/>
          <w:szCs w:val="24"/>
        </w:rPr>
        <w:t xml:space="preserve">TOPIC</w:t>
      </w:r>
    </w:p>
    <w:p>
      <w:pPr>
        <w:spacing w:after="600" w:line="360"/>
        <w:jc w:val="center"/>
      </w:pPr>
      <w:r>
        <w:rPr>
          <w:rFonts w:ascii="Times New Roman" w:cs="Times New Roman" w:eastAsia="Times New Roman" w:hAnsi="Times New Roman"/>
          <w:b/>
          <w:bCs/>
          <w:color w:val="000000"/>
          <w:sz w:val="32"/>
          <w:szCs w:val="32"/>
        </w:rPr>
        <w:t xml:space="preserve">CTI-ENGINE: An Open-Source Explainable Framework for OSINT-Based Cyber Threat Detection Using Metaheuristic Feature Optimization and Quantum-Inspired Neural Networks</w:t>
      </w:r>
    </w:p>
    <w:p>
      <w:pPr>
        <w:spacing w:after="80" w:line="360"/>
        <w:jc w:val="center"/>
      </w:pPr>
      <w:r>
        <w:rPr>
          <w:rFonts w:ascii="Times New Roman" w:cs="Times New Roman" w:eastAsia="Times New Roman" w:hAnsi="Times New Roman"/>
          <w:b w:val="false"/>
          <w:bCs w:val="false"/>
          <w:i w:val="false"/>
          <w:iCs w:val="false"/>
          <w:color w:val="000000"/>
          <w:sz w:val="22"/>
          <w:szCs w:val="22"/>
        </w:rPr>
        <w:t xml:space="preserve">Submitted by</w:t>
      </w:r>
    </w:p>
    <w:p>
      <w:pPr>
        <w:spacing w:after="80" w:line="360"/>
        <w:jc w:val="center"/>
      </w:pPr>
      <w:r>
        <w:rPr>
          <w:rFonts w:ascii="Times New Roman" w:cs="Times New Roman" w:eastAsia="Times New Roman" w:hAnsi="Times New Roman"/>
          <w:b/>
          <w:bCs/>
          <w:i w:val="false"/>
          <w:iCs w:val="false"/>
          <w:color w:val="000000"/>
          <w:sz w:val="28"/>
          <w:szCs w:val="28"/>
        </w:rPr>
        <w:t xml:space="preserve">RAMESH KUMAR SHARMA</w:t>
      </w:r>
    </w:p>
    <w:p>
      <w:pPr>
        <w:spacing w:after="40" w:line="360"/>
        <w:jc w:val="center"/>
      </w:pPr>
      <w:r>
        <w:rPr>
          <w:rFonts w:ascii="Times New Roman" w:cs="Times New Roman" w:eastAsia="Times New Roman" w:hAnsi="Times New Roman"/>
          <w:b w:val="false"/>
          <w:bCs w:val="false"/>
          <w:i w:val="false"/>
          <w:iCs w:val="false"/>
          <w:color w:val="000000"/>
          <w:sz w:val="24"/>
          <w:szCs w:val="24"/>
        </w:rPr>
        <w:t xml:space="preserve">Ph.D. Research Scholar</w:t>
      </w:r>
    </w:p>
    <w:p>
      <w:pPr>
        <w:spacing w:after="40" w:line="360"/>
        <w:jc w:val="center"/>
      </w:pPr>
      <w:r>
        <w:rPr>
          <w:rFonts w:ascii="Times New Roman" w:cs="Times New Roman" w:eastAsia="Times New Roman" w:hAnsi="Times New Roman"/>
          <w:b w:val="false"/>
          <w:bCs w:val="false"/>
          <w:i w:val="false"/>
          <w:iCs w:val="false"/>
          <w:color w:val="000000"/>
          <w:sz w:val="22"/>
          <w:szCs w:val="22"/>
        </w:rPr>
        <w:t xml:space="preserve">Department of Computer Science and Engineering, BIT Sindri, Dhanbad – 828123</w:t>
      </w:r>
    </w:p>
    <w:p>
      <w:pPr>
        <w:spacing w:after="600" w:line="360"/>
        <w:jc w:val="center"/>
      </w:pPr>
      <w:r>
        <w:rPr>
          <w:rFonts w:ascii="Times New Roman" w:cs="Times New Roman" w:eastAsia="Times New Roman" w:hAnsi="Times New Roman"/>
          <w:b w:val="false"/>
          <w:bCs w:val="false"/>
          <w:i w:val="false"/>
          <w:iCs w:val="false"/>
          <w:color w:val="000000"/>
          <w:sz w:val="22"/>
          <w:szCs w:val="22"/>
        </w:rPr>
        <w:t xml:space="preserve">Affiliated to Jharkhand University of Technology (JUT), Ranchi – 834010, Jharkhand, India</w:t>
      </w:r>
    </w:p>
    <w:p>
      <w:pPr>
        <w:spacing w:after="120" w:line="360"/>
        <w:jc w:val="center"/>
      </w:pPr>
      <w:r>
        <w:rPr>
          <w:rFonts w:ascii="Times New Roman" w:cs="Times New Roman" w:eastAsia="Times New Roman" w:hAnsi="Times New Roman"/>
          <w:b w:val="false"/>
          <w:bCs w:val="false"/>
          <w:i w:val="false"/>
          <w:iCs w:val="false"/>
          <w:color w:val="000000"/>
          <w:sz w:val="22"/>
          <w:szCs w:val="22"/>
        </w:rPr>
        <w:t xml:space="preserve">Under the Supervision of</w:t>
      </w:r>
    </w:p>
    <w:p>
      <w:pPr>
        <w:spacing w:after="20" w:line="360"/>
        <w:jc w:val="center"/>
      </w:pPr>
      <w:r>
        <w:rPr>
          <w:rFonts w:ascii="Times New Roman" w:cs="Times New Roman" w:eastAsia="Times New Roman" w:hAnsi="Times New Roman"/>
          <w:b/>
          <w:bCs/>
          <w:i w:val="false"/>
          <w:iCs w:val="false"/>
          <w:color w:val="000000"/>
          <w:sz w:val="24"/>
          <w:szCs w:val="24"/>
        </w:rPr>
        <w:t xml:space="preserve">Prof. (Dr.) Dharmendra Kumar Singh</w:t>
      </w:r>
    </w:p>
    <w:p>
      <w:pPr>
        <w:spacing w:after="200" w:line="360"/>
        <w:jc w:val="center"/>
      </w:pPr>
      <w:r>
        <w:rPr>
          <w:rFonts w:ascii="Times New Roman" w:cs="Times New Roman" w:eastAsia="Times New Roman" w:hAnsi="Times New Roman"/>
          <w:b w:val="false"/>
          <w:bCs w:val="false"/>
          <w:i w:val="false"/>
          <w:iCs w:val="false"/>
          <w:color w:val="000000"/>
          <w:sz w:val="22"/>
          <w:szCs w:val="22"/>
        </w:rPr>
        <w:t xml:space="preserve">Vice Chancellor, Jharkhand University of Technology, Ranchi, India</w:t>
      </w:r>
    </w:p>
    <w:p>
      <w:pPr>
        <w:spacing w:after="20" w:line="360"/>
        <w:jc w:val="center"/>
      </w:pPr>
      <w:r>
        <w:rPr>
          <w:rFonts w:ascii="Times New Roman" w:cs="Times New Roman" w:eastAsia="Times New Roman" w:hAnsi="Times New Roman"/>
          <w:b/>
          <w:bCs/>
          <w:i w:val="false"/>
          <w:iCs w:val="false"/>
          <w:color w:val="000000"/>
          <w:sz w:val="24"/>
          <w:szCs w:val="24"/>
        </w:rPr>
        <w:t xml:space="preserve">Dr. Rajesh P. Barnwal</w:t>
      </w:r>
    </w:p>
    <w:p>
      <w:pPr>
        <w:spacing w:after="600" w:line="360"/>
        <w:jc w:val="center"/>
      </w:pPr>
      <w:r>
        <w:rPr>
          <w:rFonts w:ascii="Times New Roman" w:cs="Times New Roman" w:eastAsia="Times New Roman" w:hAnsi="Times New Roman"/>
          <w:b w:val="false"/>
          <w:bCs w:val="false"/>
          <w:i w:val="false"/>
          <w:iCs w:val="false"/>
          <w:color w:val="000000"/>
          <w:sz w:val="22"/>
          <w:szCs w:val="22"/>
        </w:rPr>
        <w:t xml:space="preserve">Senior Principal Scientist &amp; Head, Information Technology Group, CSIR – Central Mechanical Engineering Research Institute (CSIR-CMERI), Durgapur, India; Associate Professor (Hon.), AcSIR</w:t>
      </w:r>
    </w:p>
    <w:p>
      <w:r>
        <w:br w:type="page"/>
      </w:r>
    </w:p>
    <w:p>
      <w:pPr>
        <w:pStyle w:val="Heading1"/>
        <w:spacing w:after="200" w:before="400" w:line="360"/>
      </w:pPr>
      <w:r>
        <w:rPr>
          <w:rFonts w:ascii="Times New Roman" w:cs="Times New Roman" w:eastAsia="Times New Roman" w:hAnsi="Times New Roman"/>
          <w:b/>
          <w:bCs/>
          <w:color w:val="000000"/>
          <w:sz w:val="32"/>
          <w:szCs w:val="32"/>
        </w:rPr>
        <w:t xml:space="preserve">1. Introduction</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Cyber Threat Intelligence (CTI) is now an integral part of an organisation's cybersecurity operations, allowing them to proactively identify, detect, and address malicious activity before it turns into a security incident. The sources that feed the CTI pipelines have evolved over time, and one of the most useful sources to date has been Open-Source Intelligence (OSINT), which refers to blogs, threat advisories, vendor reports, paste sites, code repositories, social platforms, and underground forums, among others. Oftentimes, OSINT is the first publicly available glimpse of a new campaign, a newly disclosed vulnerability, or a new tooling change by the adversary, before it gets to commercial or government threat feeds.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OSINT is also high volume, unstructured, heterogenous, and noisy. Reports of threats are written in a natural language with inconsistent terminology, indicators of compromise are included in free text and discussed with irrelevant information, and one and the same underlying entity – a malware family, a threat actor or an infrastructure asset – is often referred to by multiple aliases in different sources. The process of turning this raw material into decisions that an analyst can trust and act on needs to be automated, and it needs to be a pipeline that collects, features, classifies and — crucially — explains its results. There are some existing open-source CTI platforms like MISP or OpenCTI which offer good IOC sharing and knowledge-graph functionality but require OSINT collection, machine-learning-based classification and explainability to be performed outside of the platform. Commercial products like Recorded Future and ShadowDragon start to fill in some of these gaps, providing proprietary, non-open analytics for use that are not reproducible by the research community and cannot be inspected by analysts.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This research introduces an open-source, modular, and explainable framework, called CTI-ENGINE, that consumes OSINT information and generates human readable threat classifications. The framework combines four different technical contributions: automated OSINT collection and feature engineering, optimisation of features using metaheuristic methods, a quantum-inspired neural classifier, and a model-agnostic explainability layer, all of which are packed into a reproducible pipeline and made available as an open-source tool and not as a closed research prototype.</w:t>
      </w:r>
    </w:p>
    <w:p>
      <w:pPr>
        <w:pStyle w:val="Heading1"/>
        <w:spacing w:after="200" w:before="400" w:line="360"/>
      </w:pPr>
      <w:r>
        <w:rPr>
          <w:rFonts w:ascii="Times New Roman" w:cs="Times New Roman" w:eastAsia="Times New Roman" w:hAnsi="Times New Roman"/>
          <w:b/>
          <w:bCs/>
          <w:color w:val="000000"/>
          <w:sz w:val="32"/>
          <w:szCs w:val="32"/>
        </w:rPr>
        <w:t xml:space="preserve">2. Literature Review</w:t>
      </w:r>
    </w:p>
    <w:p>
      <w:pPr>
        <w:pStyle w:val="Heading2"/>
        <w:spacing w:after="160" w:before="300" w:line="360"/>
      </w:pPr>
      <w:r>
        <w:rPr>
          <w:rFonts w:ascii="Times New Roman" w:cs="Times New Roman" w:eastAsia="Times New Roman" w:hAnsi="Times New Roman"/>
          <w:b/>
          <w:bCs/>
          <w:color w:val="000000"/>
          <w:sz w:val="28"/>
          <w:szCs w:val="28"/>
        </w:rPr>
        <w:t xml:space="preserve">2.1 OSINT-Based Cyber Threat Intelligence</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 need for CTI programmes to rely more and more heavily on OSINT and the ongoing challenge of getting structured, actionable intelligence from unstructured public sources at scale has been documented by both Avrahami et al. (2025) and Santos et al. (2025). Both Babenko et al. (2025) and Dale et al. (2025) highlight that noise and informal language on platforms continue to be significant challenges for automated OSINT analyses and point to the need to investigate platform-specific noise and informal language.</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Two of these barriers are directly addressed by the candidate's own previous work. Sharma et al. (2026a) present a transformer-based framework for automatically categorizing OSINT threat narratives into MITRE ATT&amp;CK techniques, which involves preprocessing of the OSINT text, extraction of the threats from the text, semantic representation learning of the extracted threat text and multi-label, confidence-aware classification; results indicate that the proposed framework outperforms the keyword-matching baselines and the conventional machine-learning baselines, including on low-density ATT&amp;CK categories. Sharma et al. (2026b) also introduce a deep-learning entity-resolution system that encodes cyber-threat entities (IP addresses, malware families, threat-actor aliases) using multilingual transformer embeddings and uses similarity learning and graph-based entity linking to resolve them, achieving high resilience to alias ambiguity over heterogeneous OSINT text. Both papers lay the foundation for OSINT ingestion, indicator extraction, entity normalisation as used in CTI-ENGINE.</w:t>
      </w:r>
    </w:p>
    <w:p>
      <w:pPr>
        <w:pStyle w:val="Heading2"/>
        <w:spacing w:after="160" w:before="300" w:line="360"/>
      </w:pPr>
      <w:r>
        <w:rPr>
          <w:rFonts w:ascii="Times New Roman" w:cs="Times New Roman" w:eastAsia="Times New Roman" w:hAnsi="Times New Roman"/>
          <w:b/>
          <w:bCs/>
          <w:color w:val="000000"/>
          <w:sz w:val="28"/>
          <w:szCs w:val="28"/>
        </w:rPr>
        <w:t xml:space="preserve">2.2 Deep Learning and Transformer Architectures for Threat Classification</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In this thesis, two methods for threat classification are presented: Deep Learning and Transformer Architectures. Despite the efforts of many models, transformer models have emerged as the state-of-the-art architecture for modeling contextual semantic representations from unstructured security text, and have consistently outperformed bag-of-words and shallow-embedding models on domain-specific classification tasks such as ours. A CNN–LSTM hybrid is employed to deliver semantic and temporal features from various heterogeneous OSINT sources that are able to reach accuracy of 96.4%, 95.8%, and 94.2% on three separate datasets independently, while the classification results, the model metadata, and the confidence score are logged on a blockchain-ledger as an immutable record for post-incident audits. Similarly, Shoukat et al. (2025) found that deep-learning threat detectors that are transparent and easily explainable to analysts are good at detecting threats and are also more trusted by analysts than opaque deep-learning detectors.</w:t>
      </w:r>
    </w:p>
    <w:p>
      <w:pPr>
        <w:pStyle w:val="Heading2"/>
        <w:spacing w:after="160" w:before="300" w:line="360"/>
      </w:pPr>
      <w:r>
        <w:rPr>
          <w:rFonts w:ascii="Times New Roman" w:cs="Times New Roman" w:eastAsia="Times New Roman" w:hAnsi="Times New Roman"/>
          <w:b/>
          <w:bCs/>
          <w:color w:val="000000"/>
          <w:sz w:val="28"/>
          <w:szCs w:val="28"/>
        </w:rPr>
        <w:t xml:space="preserve">2.3 Metaheuristic Feature Optimisation</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Transformer embeddings and N-gram statistics are used to generate a high dimensional feature matrix, but this includes a significant amount of noise and redundancy that can be a burden during training, and these features can also obscure discriminative signal in the features. The Particle Swarm Optimisation (Kennedy &amp; Eberhart, 1995) and the Grey Wolf Optimizer (Mirjalili et al., 2014) are population-based metaheuristics without the need of gradient information and have been widely used for selecting features for a classification task. Zhao et al. (2025) make further improvements to multi-population metaheuristic search in multi-objective optimisation problems of this type. This family of researchers is already well demonstrated to be practically useful; an ablation study showed that the inclusion of the feature optimisation step without itself was a measurable degradation in accuracy (1.485%), while an enhanced multi-population optimisation (EMPO) algorithm using discriminative attributes from BERT-derived features improved classification accuracy by 14.951 percentage points over an unoptimised baseline.</w:t>
      </w:r>
    </w:p>
    <w:p>
      <w:pPr>
        <w:pStyle w:val="Heading2"/>
        <w:spacing w:after="160" w:before="300" w:line="360"/>
      </w:pPr>
      <w:r>
        <w:rPr>
          <w:rFonts w:ascii="Times New Roman" w:cs="Times New Roman" w:eastAsia="Times New Roman" w:hAnsi="Times New Roman"/>
          <w:b/>
          <w:bCs/>
          <w:color w:val="000000"/>
          <w:sz w:val="28"/>
          <w:szCs w:val="28"/>
        </w:rPr>
        <w:t xml:space="preserve">2.4 Quantum-Inspired Neural Networks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QINNs use the principles of quantum computation, such as a superposition-like weighted representation of the states, and a combination of signals via interference, in a classical and simulatable network architecture, without physical quantum devices. The work of Gonon et al. (2025) analyzes the universality properties of feedback-driven recurrent quantum neural networks, and Biamonte et al. (2017) offers the basic review of how quantum computation relates to machine learning in general. In the candidate's previous work, an optimised BERT model on a benchmark dataset was tested with a dynamic feed-forward quantum neural network (DFF-QNN) to be used as the final classification stage, achieving an overall accuracy of 98.197%, and an ablation study demonstrated that the accuracy was lowered by 0.833% if the final classification layer was replaced by a conventional network. This architecture is directly applied in CTI-ENGINE to the quantum-inspired classifier which has been repurposed from the social-media authenticity classification to OSINT threat detection.</w:t>
      </w:r>
    </w:p>
    <w:p>
      <w:pPr>
        <w:pStyle w:val="Heading2"/>
        <w:spacing w:after="160" w:before="300" w:line="360"/>
      </w:pPr>
      <w:r>
        <w:rPr>
          <w:rFonts w:ascii="Times New Roman" w:cs="Times New Roman" w:eastAsia="Times New Roman" w:hAnsi="Times New Roman"/>
          <w:b/>
          <w:bCs/>
          <w:color w:val="000000"/>
          <w:sz w:val="28"/>
          <w:szCs w:val="28"/>
        </w:rPr>
        <w:t xml:space="preserve">2.5 Explainable AI for Security Decisions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There are two popular model-agnostic explanation methods, SHAP (Lundberg &amp; Lee, 2017) and LIME (Ribeiro et al., 2016), which explain the prediction of a model in terms of the contribution of individual features in the input. For security-critical machine learning, explainability is not a theoretical nicety, but a practical necessity: if an analyst is unable to understand the reasoning behind a model, he won't use it, or he will use it with great suspicion. (Adadi and Berrada 2018; Şahin et al. 2025) Alketbi and Mehmood (2025) come to the same conclusion, and in particular for insider-threat detection. This thesis addresses this gap and is the only system reviewed to use a quantum inspired, metaheuristic-optimised classifier combined with a SHAP/LIME explanation layer in a single open-source OSINT pipeline, up to this point.</w:t>
      </w:r>
    </w:p>
    <w:p>
      <w:pPr>
        <w:pStyle w:val="Heading2"/>
        <w:spacing w:after="160" w:before="300" w:line="360"/>
      </w:pPr>
      <w:r>
        <w:rPr>
          <w:rFonts w:ascii="Times New Roman" w:cs="Times New Roman" w:eastAsia="Times New Roman" w:hAnsi="Times New Roman"/>
          <w:b/>
          <w:bCs/>
          <w:color w:val="000000"/>
          <w:sz w:val="28"/>
          <w:szCs w:val="28"/>
        </w:rPr>
        <w:t xml:space="preserve">2.6 Existing Open-Source and Commercial CTI Platforms</w:t>
      </w:r>
    </w:p>
    <w:p>
      <w:pPr>
        <w:spacing w:after="160" w:line="360"/>
        <w:jc w:val="center"/>
      </w:pPr>
      <w:r>
        <w:rPr>
          <w:rFonts w:ascii="Times New Roman" w:cs="Times New Roman" w:eastAsia="Times New Roman" w:hAnsi="Times New Roman"/>
          <w:b w:val="false"/>
          <w:bCs w:val="false"/>
          <w:i/>
          <w:iCs/>
          <w:color w:val="000000"/>
          <w:sz w:val="20"/>
          <w:szCs w:val="20"/>
        </w:rPr>
        <w:t xml:space="preserve">Table 1. Capability comparison of CTI-ENGINE against the two closest open-source CTI platforms.</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2500"/>
      </w:tblGrid>
      <w:tr>
        <w:trPr>
          <w:tblHeader/>
        </w:trPr>
        <w:tc>
          <w:tcPr>
            <w:tcW w:type="dxa" w:w="2200"/>
            <w:shd w:fill="D9D9D9" w:color="auto" w:val="clear"/>
            <w:tcMar>
              <w:top w:type="dxa" w:w="100"/>
              <w:left w:type="dxa" w:w="120"/>
              <w:bottom w:type="dxa" w:w="100"/>
              <w:right w:type="dxa" w:w="120"/>
            </w:tcMar>
          </w:tcPr>
          <w:p>
            <w:pPr>
              <w:jc w:val="left"/>
            </w:pPr>
            <w:r>
              <w:rPr>
                <w:rFonts w:ascii="Times New Roman" w:cs="Times New Roman" w:eastAsia="Times New Roman" w:hAnsi="Times New Roman"/>
                <w:b/>
                <w:bCs/>
                <w:color w:val="000000"/>
                <w:sz w:val="22"/>
                <w:szCs w:val="22"/>
              </w:rPr>
              <w:t xml:space="preserve">Capability</w:t>
            </w:r>
          </w:p>
        </w:tc>
        <w:tc>
          <w:tcPr>
            <w:tcW w:type="dxa" w:w="1600"/>
            <w:shd w:fill="D9D9D9" w:color="auto"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MISP</w:t>
            </w:r>
          </w:p>
        </w:tc>
        <w:tc>
          <w:tcPr>
            <w:tcW w:type="dxa" w:w="1600"/>
            <w:shd w:fill="D9D9D9" w:color="auto"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OpenCTI</w:t>
            </w:r>
          </w:p>
        </w:tc>
        <w:tc>
          <w:tcPr>
            <w:tcW w:type="dxa" w:w="2500"/>
            <w:shd w:fill="D9D9D9" w:color="auto" w:val="clear"/>
            <w:tcMar>
              <w:top w:type="dxa" w:w="100"/>
              <w:left w:type="dxa" w:w="120"/>
              <w:bottom w:type="dxa" w:w="100"/>
              <w:right w:type="dxa" w:w="120"/>
            </w:tcMar>
          </w:tcPr>
          <w:p>
            <w:pPr>
              <w:jc w:val="center"/>
            </w:pPr>
            <w:r>
              <w:rPr>
                <w:rFonts w:ascii="Times New Roman" w:cs="Times New Roman" w:eastAsia="Times New Roman" w:hAnsi="Times New Roman"/>
                <w:b/>
                <w:bCs/>
                <w:color w:val="000000"/>
                <w:sz w:val="22"/>
                <w:szCs w:val="22"/>
              </w:rPr>
              <w:t xml:space="preserve">CTI-ENGINE (Proposed)</w:t>
            </w:r>
          </w:p>
        </w:tc>
      </w:tr>
      <w:tr>
        <w:trPr>
          <w:tblHeader w:val="off"/>
        </w:trPr>
        <w:tc>
          <w:tcPr>
            <w:tcW w:type="dxa" w:w="2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Open-source</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Yes</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Yes</w:t>
            </w:r>
          </w:p>
        </w:tc>
        <w:tc>
          <w:tcPr>
            <w:tcW w:type="dxa" w:w="25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Yes</w:t>
            </w:r>
          </w:p>
        </w:tc>
      </w:tr>
      <w:tr>
        <w:trPr>
          <w:tblHeader w:val="off"/>
        </w:trPr>
        <w:tc>
          <w:tcPr>
            <w:tcW w:type="dxa" w:w="2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IOC sharing / correlation</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Yes (core)</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Yes (via graph)</w:t>
            </w:r>
          </w:p>
        </w:tc>
        <w:tc>
          <w:tcPr>
            <w:tcW w:type="dxa" w:w="25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Not core focus</w:t>
            </w:r>
          </w:p>
        </w:tc>
      </w:tr>
      <w:tr>
        <w:trPr>
          <w:tblHeader w:val="off"/>
        </w:trPr>
        <w:tc>
          <w:tcPr>
            <w:tcW w:type="dxa" w:w="2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Built-in OSINT collection</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No</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No</w:t>
            </w:r>
          </w:p>
        </w:tc>
        <w:tc>
          <w:tcPr>
            <w:tcW w:type="dxa" w:w="25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Yes</w:t>
            </w:r>
          </w:p>
        </w:tc>
      </w:tr>
      <w:tr>
        <w:trPr>
          <w:tblHeader w:val="off"/>
        </w:trPr>
        <w:tc>
          <w:tcPr>
            <w:tcW w:type="dxa" w:w="2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ML-based classification</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No</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External only</w:t>
            </w:r>
          </w:p>
        </w:tc>
        <w:tc>
          <w:tcPr>
            <w:tcW w:type="dxa" w:w="25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Yes</w:t>
            </w:r>
          </w:p>
        </w:tc>
      </w:tr>
      <w:tr>
        <w:trPr>
          <w:tblHeader w:val="off"/>
        </w:trPr>
        <w:tc>
          <w:tcPr>
            <w:tcW w:type="dxa" w:w="2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Metaheuristic feature optimisation</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No</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No</w:t>
            </w:r>
          </w:p>
        </w:tc>
        <w:tc>
          <w:tcPr>
            <w:tcW w:type="dxa" w:w="25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Yes (PSO + GWO)</w:t>
            </w:r>
          </w:p>
        </w:tc>
      </w:tr>
      <w:tr>
        <w:trPr>
          <w:tblHeader w:val="off"/>
        </w:trPr>
        <w:tc>
          <w:tcPr>
            <w:tcW w:type="dxa" w:w="2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Quantum-inspired classifier</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No</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No</w:t>
            </w:r>
          </w:p>
        </w:tc>
        <w:tc>
          <w:tcPr>
            <w:tcW w:type="dxa" w:w="25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Yes</w:t>
            </w:r>
          </w:p>
        </w:tc>
      </w:tr>
      <w:tr>
        <w:trPr>
          <w:tblHeader w:val="off"/>
        </w:trPr>
        <w:tc>
          <w:tcPr>
            <w:tcW w:type="dxa" w:w="2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Built-in explainability (SHAP/LIME)</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No</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No</w:t>
            </w:r>
          </w:p>
        </w:tc>
        <w:tc>
          <w:tcPr>
            <w:tcW w:type="dxa" w:w="25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Yes</w:t>
            </w:r>
          </w:p>
        </w:tc>
      </w:tr>
      <w:tr>
        <w:trPr>
          <w:tblHeader w:val="off"/>
        </w:trPr>
        <w:tc>
          <w:tcPr>
            <w:tcW w:type="dxa" w:w="2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STIX2 output</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Yes</w:t>
            </w:r>
          </w:p>
        </w:tc>
        <w:tc>
          <w:tcPr>
            <w:tcW w:type="dxa" w:w="16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Yes (native)</w:t>
            </w:r>
          </w:p>
        </w:tc>
        <w:tc>
          <w:tcPr>
            <w:tcW w:type="dxa" w:w="2500"/>
            <w:tcMar>
              <w:top w:type="dxa" w:w="100"/>
              <w:left w:type="dxa" w:w="120"/>
              <w:bottom w:type="dxa" w:w="100"/>
              <w:right w:type="dxa" w:w="120"/>
            </w:tcMar>
          </w:tcPr>
          <w:p>
            <w:pPr>
              <w:jc w:val="center"/>
            </w:pPr>
            <w:r>
              <w:rPr>
                <w:rFonts w:ascii="Times New Roman" w:cs="Times New Roman" w:eastAsia="Times New Roman" w:hAnsi="Times New Roman"/>
                <w:b w:val="false"/>
                <w:bCs w:val="false"/>
                <w:color w:val="000000"/>
                <w:sz w:val="22"/>
                <w:szCs w:val="22"/>
              </w:rPr>
              <w:t xml:space="preserve">Yes (planned)</w:t>
            </w:r>
          </w:p>
        </w:tc>
      </w:tr>
    </w:tbl>
    <w:p>
      <w:pPr>
        <w:spacing w:after="160"/>
      </w:pP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CTI-ENGINE is not meant to replace MISP or OpenCTI, but rather to work in parallel with them, with classified, explained output in STIX2 format that will be ingested into these platforms, while its value to the community is the analysis layer – from ingestion all the way to explainable classification – that these platforms don't currently have natively. The global OSINT market is projected to reach USD 11.6–12.7 billion by 2025 and is expected to grow by 20-28% annually, while the data from the Industry Survey (SANS CTI Survey) shows that 72% of threat intelligence teams already use three or more OSINT platforms simultaneously, indicating that none of the existing commercial or open-source products covers the whole OSINT-to-decision workflow to its full extent, which is what this research aims to solve.</w:t>
      </w:r>
    </w:p>
    <w:p>
      <w:pPr>
        <w:pStyle w:val="Heading1"/>
        <w:spacing w:after="200" w:before="400" w:line="360"/>
      </w:pPr>
      <w:r>
        <w:rPr>
          <w:rFonts w:ascii="Times New Roman" w:cs="Times New Roman" w:eastAsia="Times New Roman" w:hAnsi="Times New Roman"/>
          <w:b/>
          <w:bCs/>
          <w:color w:val="000000"/>
          <w:sz w:val="32"/>
          <w:szCs w:val="32"/>
        </w:rPr>
        <w:t xml:space="preserve">3. Research Gap</w:t>
      </w:r>
    </w:p>
    <w:p>
      <w:pPr>
        <w:pStyle w:val="ListParagraph"/>
        <w:numPr>
          <w:ilvl w:val="0"/>
          <w:numId w:val="2"/>
        </w:numPr>
        <w:spacing w:after="160" w:line="360"/>
        <w:jc w:val="both"/>
      </w:pPr>
      <w:r>
        <w:rPr>
          <w:rFonts w:ascii="Times New Roman" w:cs="Times New Roman" w:eastAsia="Times New Roman" w:hAnsi="Times New Roman"/>
          <w:color w:val="000000"/>
          <w:sz w:val="24"/>
          <w:szCs w:val="24"/>
        </w:rPr>
        <w:t xml:space="preserve">No existing open-source CTI platform combines automated OSINT collection, ML-based classification, metaheuristic feature optimisation, and built-in explainability within a single pipeline; MISP and OpenCTI treat these as external, disconnected concerns.</w:t>
      </w:r>
    </w:p>
    <w:p>
      <w:pPr>
        <w:pStyle w:val="ListParagraph"/>
        <w:numPr>
          <w:ilvl w:val="0"/>
          <w:numId w:val="2"/>
        </w:numPr>
        <w:spacing w:after="160" w:line="360"/>
        <w:jc w:val="both"/>
      </w:pPr>
      <w:r>
        <w:rPr>
          <w:rFonts w:ascii="Times New Roman" w:cs="Times New Roman" w:eastAsia="Times New Roman" w:hAnsi="Times New Roman"/>
          <w:color w:val="000000"/>
          <w:sz w:val="24"/>
          <w:szCs w:val="24"/>
        </w:rPr>
        <w:t xml:space="preserve">Classical deep-learning classifiers applied to OSINT threat text (CNN, LSTM, and their hybrids) plateau in accuracy once feature redundancy and noise are not addressed before classification, as shown in the candidate's own CNN-LSTM blockchain study.</w:t>
      </w:r>
    </w:p>
    <w:p>
      <w:pPr>
        <w:pStyle w:val="ListParagraph"/>
        <w:numPr>
          <w:ilvl w:val="0"/>
          <w:numId w:val="2"/>
        </w:numPr>
        <w:spacing w:after="160" w:line="360"/>
        <w:jc w:val="both"/>
      </w:pPr>
      <w:r>
        <w:rPr>
          <w:rFonts w:ascii="Times New Roman" w:cs="Times New Roman" w:eastAsia="Times New Roman" w:hAnsi="Times New Roman"/>
          <w:color w:val="000000"/>
          <w:sz w:val="24"/>
          <w:szCs w:val="24"/>
        </w:rPr>
        <w:t xml:space="preserve">Quantum-inspired neural architectures have been validated on a related but distinct task (fake-profile / social-authenticity classification) but have not been evaluated specifically for OSINT-based cyber-threat detection.</w:t>
      </w:r>
    </w:p>
    <w:p>
      <w:pPr>
        <w:pStyle w:val="ListParagraph"/>
        <w:numPr>
          <w:ilvl w:val="0"/>
          <w:numId w:val="2"/>
        </w:numPr>
        <w:spacing w:after="160" w:line="360"/>
        <w:jc w:val="both"/>
      </w:pPr>
      <w:r>
        <w:rPr>
          <w:rFonts w:ascii="Times New Roman" w:cs="Times New Roman" w:eastAsia="Times New Roman" w:hAnsi="Times New Roman"/>
          <w:color w:val="000000"/>
          <w:sz w:val="24"/>
          <w:szCs w:val="24"/>
        </w:rPr>
        <w:t xml:space="preserve">Most ML-driven CTI research reports accuracy metrics alone, without a transparent, per-decision reasoning trace that a security analyst can audit - a trust barrier to operational adoption that recent XAI-for-security literature identifies but rarely resolves end-to-end.</w:t>
      </w:r>
    </w:p>
    <w:p>
      <w:pPr>
        <w:pStyle w:val="ListParagraph"/>
        <w:numPr>
          <w:ilvl w:val="0"/>
          <w:numId w:val="2"/>
        </w:numPr>
        <w:spacing w:after="160" w:line="360"/>
        <w:jc w:val="both"/>
      </w:pPr>
      <w:r>
        <w:rPr>
          <w:rFonts w:ascii="Times New Roman" w:cs="Times New Roman" w:eastAsia="Times New Roman" w:hAnsi="Times New Roman"/>
          <w:color w:val="000000"/>
          <w:sz w:val="24"/>
          <w:szCs w:val="24"/>
        </w:rPr>
        <w:t xml:space="preserve">"Quantum-inspired" classifiers in the security literature are frequently under-specified; a precise technical definition that distinguishes the proposed architecture from a relabelled classical network is required and is treated as a first-order deliverable of this thesis, not an afterthought.</w:t>
      </w:r>
    </w:p>
    <w:p>
      <w:pPr>
        <w:pStyle w:val="Heading1"/>
        <w:spacing w:after="200" w:before="400" w:line="360"/>
      </w:pPr>
      <w:r>
        <w:rPr>
          <w:rFonts w:ascii="Times New Roman" w:cs="Times New Roman" w:eastAsia="Times New Roman" w:hAnsi="Times New Roman"/>
          <w:b/>
          <w:bCs/>
          <w:color w:val="000000"/>
          <w:sz w:val="32"/>
          <w:szCs w:val="32"/>
        </w:rPr>
        <w:t xml:space="preserve">4. Research Objectives</w:t>
      </w:r>
    </w:p>
    <w:p>
      <w:pPr>
        <w:pStyle w:val="ListParagraph"/>
        <w:numPr>
          <w:ilvl w:val="0"/>
          <w:numId w:val="2"/>
        </w:numPr>
        <w:spacing w:after="160" w:line="360"/>
        <w:jc w:val="both"/>
      </w:pPr>
      <w:r>
        <w:rPr>
          <w:rFonts w:ascii="Times New Roman" w:cs="Times New Roman" w:eastAsia="Times New Roman" w:hAnsi="Times New Roman"/>
          <w:color w:val="000000"/>
          <w:sz w:val="24"/>
          <w:szCs w:val="24"/>
        </w:rPr>
        <w:t xml:space="preserve">To design and implement an automated OSINT collection and preprocessing module that extracts named entities and indicators of compromise from forums, threat feeds, pastes, RSS sources, and code repositories.</w:t>
      </w:r>
    </w:p>
    <w:p>
      <w:pPr>
        <w:pStyle w:val="ListParagraph"/>
        <w:numPr>
          <w:ilvl w:val="0"/>
          <w:numId w:val="2"/>
        </w:numPr>
        <w:spacing w:after="160" w:line="360"/>
        <w:jc w:val="both"/>
      </w:pPr>
      <w:r>
        <w:rPr>
          <w:rFonts w:ascii="Times New Roman" w:cs="Times New Roman" w:eastAsia="Times New Roman" w:hAnsi="Times New Roman"/>
          <w:color w:val="000000"/>
          <w:sz w:val="24"/>
          <w:szCs w:val="24"/>
        </w:rPr>
        <w:t xml:space="preserve">To construct a hybrid feature representation combining BERT-based contextual embeddings with N-gram statistical features for OSINT threat text.</w:t>
      </w:r>
    </w:p>
    <w:p>
      <w:pPr>
        <w:pStyle w:val="ListParagraph"/>
        <w:numPr>
          <w:ilvl w:val="0"/>
          <w:numId w:val="2"/>
        </w:numPr>
        <w:spacing w:after="160" w:line="360"/>
        <w:jc w:val="both"/>
      </w:pPr>
      <w:r>
        <w:rPr>
          <w:rFonts w:ascii="Times New Roman" w:cs="Times New Roman" w:eastAsia="Times New Roman" w:hAnsi="Times New Roman"/>
          <w:color w:val="000000"/>
          <w:sz w:val="24"/>
          <w:szCs w:val="24"/>
        </w:rPr>
        <w:t xml:space="preserve">To develop a metaheuristic feature-optimisation stage using Particle Swarm Optimisation (PSO) and the Grey Wolf Optimizer (GWO) to select the most discriminative feature subset prior to classification.</w:t>
      </w:r>
    </w:p>
    <w:p>
      <w:pPr>
        <w:pStyle w:val="ListParagraph"/>
        <w:numPr>
          <w:ilvl w:val="0"/>
          <w:numId w:val="2"/>
        </w:numPr>
        <w:spacing w:after="160" w:line="360"/>
        <w:jc w:val="both"/>
      </w:pPr>
      <w:r>
        <w:rPr>
          <w:rFonts w:ascii="Times New Roman" w:cs="Times New Roman" w:eastAsia="Times New Roman" w:hAnsi="Times New Roman"/>
          <w:color w:val="000000"/>
          <w:sz w:val="24"/>
          <w:szCs w:val="24"/>
        </w:rPr>
        <w:t xml:space="preserve">To design, implement, and empirically validate a quantum-inspired neural network classifier for OSINT-based threat detection, with a precise technical specification distinguishing it from classical architectures.</w:t>
      </w:r>
    </w:p>
    <w:p>
      <w:pPr>
        <w:pStyle w:val="ListParagraph"/>
        <w:numPr>
          <w:ilvl w:val="0"/>
          <w:numId w:val="2"/>
        </w:numPr>
        <w:spacing w:after="160" w:line="360"/>
        <w:jc w:val="both"/>
      </w:pPr>
      <w:r>
        <w:rPr>
          <w:rFonts w:ascii="Times New Roman" w:cs="Times New Roman" w:eastAsia="Times New Roman" w:hAnsi="Times New Roman"/>
          <w:color w:val="000000"/>
          <w:sz w:val="24"/>
          <w:szCs w:val="24"/>
        </w:rPr>
        <w:t xml:space="preserve">To integrate a SHAP/LIME-based explainability layer that attributes each classification decision to specific input features, producing a human-readable reasoning trace alongside each threat verdict.</w:t>
      </w:r>
    </w:p>
    <w:p>
      <w:pPr>
        <w:pStyle w:val="ListParagraph"/>
        <w:numPr>
          <w:ilvl w:val="0"/>
          <w:numId w:val="2"/>
        </w:numPr>
        <w:spacing w:after="160" w:line="360"/>
        <w:jc w:val="both"/>
      </w:pPr>
      <w:r>
        <w:rPr>
          <w:rFonts w:ascii="Times New Roman" w:cs="Times New Roman" w:eastAsia="Times New Roman" w:hAnsi="Times New Roman"/>
          <w:color w:val="000000"/>
          <w:sz w:val="24"/>
          <w:szCs w:val="24"/>
        </w:rPr>
        <w:t xml:space="preserve">To release the complete pipeline as an open-source tool and benchmark it against existing open-source (MISP, OpenCTI) and published classical/deep-learning baselines on accuracy, F1-score, and explanation fidelity.</w:t>
      </w:r>
    </w:p>
    <w:p>
      <w:pPr>
        <w:pStyle w:val="Heading1"/>
        <w:spacing w:after="200" w:before="400" w:line="360"/>
      </w:pPr>
      <w:r>
        <w:rPr>
          <w:rFonts w:ascii="Times New Roman" w:cs="Times New Roman" w:eastAsia="Times New Roman" w:hAnsi="Times New Roman"/>
          <w:b/>
          <w:bCs/>
          <w:color w:val="000000"/>
          <w:sz w:val="32"/>
          <w:szCs w:val="32"/>
        </w:rPr>
        <w:t xml:space="preserve">5. Proposed Methodology</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CTI-ENGINE is organised as a five-stage modular pipeline, each stage independently testable and replaceable, consistent with the open-source and reproducibility goals of the thesis.</w:t>
      </w:r>
    </w:p>
    <w:p>
      <w:pPr>
        <w:pStyle w:val="Heading2"/>
        <w:spacing w:after="160" w:before="300" w:line="360"/>
      </w:pPr>
      <w:r>
        <w:rPr>
          <w:rFonts w:ascii="Times New Roman" w:cs="Times New Roman" w:eastAsia="Times New Roman" w:hAnsi="Times New Roman"/>
          <w:b/>
          <w:bCs/>
          <w:color w:val="000000"/>
          <w:sz w:val="28"/>
          <w:szCs w:val="28"/>
        </w:rPr>
        <w:t xml:space="preserve">5.1 Stage I — OSINT Collection</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Entities are extracted and classified using ATT&amp;CK from the collected raw text data from security forums, threat-advisory feeds, paste sites, RSS feeds and public code repositories by automated tools, following prior work by the candidate (Sharma, Singh, and Barnwal, 2026a, 2026b) in entity-resolution and classification of ATT&amp;CK.</w:t>
      </w:r>
    </w:p>
    <w:p>
      <w:pPr>
        <w:pStyle w:val="Heading2"/>
        <w:spacing w:after="160" w:before="300" w:line="360"/>
      </w:pPr>
      <w:r>
        <w:rPr>
          <w:rFonts w:ascii="Times New Roman" w:cs="Times New Roman" w:eastAsia="Times New Roman" w:hAnsi="Times New Roman"/>
          <w:b/>
          <w:bCs/>
          <w:color w:val="000000"/>
          <w:sz w:val="28"/>
          <w:szCs w:val="28"/>
        </w:rPr>
        <w:t xml:space="preserve">5.2 Stage II — Feature Engineering</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Collected text is represented as a numeric feature matrix extracted from BERT contextual embeddings (Devlin et al., 2019) and N-gram frequency features, as well as from IOCs derived by named-entity recognition and regex.</w:t>
      </w:r>
    </w:p>
    <w:p>
      <w:pPr>
        <w:pStyle w:val="Heading2"/>
        <w:spacing w:after="160" w:before="300" w:line="360"/>
      </w:pPr>
      <w:r>
        <w:rPr>
          <w:rFonts w:ascii="Times New Roman" w:cs="Times New Roman" w:eastAsia="Times New Roman" w:hAnsi="Times New Roman"/>
          <w:b/>
          <w:bCs/>
          <w:color w:val="000000"/>
          <w:sz w:val="28"/>
          <w:szCs w:val="28"/>
        </w:rPr>
        <w:t xml:space="preserve">5.3 Stage III — Metaheuristic Feature Optimisation</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PSO and GWO are applied, both separately and together, to an algorithm for searching the feature space to find the subset that maximises the discriminability of the classifiers, but reduces dimensionality, and are tested on the basis of the previous study on the candidate's fake-profile detection problem, where accuracy benefits were shown from the application of population based optimisation.</w:t>
      </w:r>
    </w:p>
    <w:p>
      <w:pPr>
        <w:pStyle w:val="Heading2"/>
        <w:spacing w:after="160" w:before="300" w:line="360"/>
      </w:pPr>
      <w:r>
        <w:rPr>
          <w:rFonts w:ascii="Times New Roman" w:cs="Times New Roman" w:eastAsia="Times New Roman" w:hAnsi="Times New Roman"/>
          <w:b/>
          <w:bCs/>
          <w:color w:val="000000"/>
          <w:sz w:val="28"/>
          <w:szCs w:val="28"/>
        </w:rPr>
        <w:t xml:space="preserve">5.4 Stage IV — Quantum-Inspired Neural Network Classification</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 optimised subset of features is fed into a quantum-inspired neural network (QINN), a classically simulated neural network with a feature set that implements the quantum superposition principle of weighted state representations and the interference principle of layer combination, allowing the network to be trained to classify OSINT items as threat-relevant or benign, and, if labels are available, specific threat categories or MITRE ATT&amp;CK techniques.</w:t>
      </w:r>
    </w:p>
    <w:p>
      <w:pPr>
        <w:pStyle w:val="Heading2"/>
        <w:spacing w:after="160" w:before="300" w:line="360"/>
      </w:pPr>
      <w:r>
        <w:rPr>
          <w:rFonts w:ascii="Times New Roman" w:cs="Times New Roman" w:eastAsia="Times New Roman" w:hAnsi="Times New Roman"/>
          <w:b/>
          <w:bCs/>
          <w:color w:val="000000"/>
          <w:sz w:val="28"/>
          <w:szCs w:val="28"/>
        </w:rPr>
        <w:t xml:space="preserve">5.5 Stage V — Explainability and Reporting</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SHAP and LIME are used after training the classifier to produce explanations of the decisions that the classifier makes, based on individual features. The final result is a well-formatted, human readable threat report containing an attached reasoning trace and optionally exported in STIX2 format to allow for the feeding of classified, explained intelligence into existing platforms, like MISP or OpenCTI.</w:t>
      </w:r>
    </w:p>
    <w:p>
      <w:pPr>
        <w:pStyle w:val="Heading2"/>
        <w:spacing w:after="160" w:before="300" w:line="360"/>
      </w:pPr>
      <w:r>
        <w:rPr>
          <w:rFonts w:ascii="Times New Roman" w:cs="Times New Roman" w:eastAsia="Times New Roman" w:hAnsi="Times New Roman"/>
          <w:b/>
          <w:bCs/>
          <w:color w:val="000000"/>
          <w:sz w:val="28"/>
          <w:szCs w:val="28"/>
        </w:rPr>
        <w:t xml:space="preserve">5.6 Datasets and Evaluation</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 evaluation will be based on the OSINT and social media datasets already used in the candidate's previous research (e.g. the CNN–LSTM evaluation on three datasets, and the Instagram authenticity benchmark) and will include further labelled OSINT threat corpora. The accuracy, precision, recall, and F1-score will be used to report the results, with ablation studies focusing on the optimisation and quantum-inspired stages, as done in the candidate's published work.</w:t>
      </w:r>
    </w:p>
    <w:p>
      <w:pPr>
        <w:pStyle w:val="Heading1"/>
        <w:spacing w:after="200" w:before="400" w:line="360"/>
      </w:pPr>
      <w:r>
        <w:rPr>
          <w:rFonts w:ascii="Times New Roman" w:cs="Times New Roman" w:eastAsia="Times New Roman" w:hAnsi="Times New Roman"/>
          <w:b/>
          <w:bCs/>
          <w:color w:val="000000"/>
          <w:sz w:val="32"/>
          <w:szCs w:val="32"/>
        </w:rPr>
        <w:t xml:space="preserve">6. Expected Outcomes and Contributions</w:t>
      </w:r>
    </w:p>
    <w:p>
      <w:pPr>
        <w:pStyle w:val="ListParagraph"/>
        <w:numPr>
          <w:ilvl w:val="0"/>
          <w:numId w:val="2"/>
        </w:numPr>
        <w:spacing w:after="160" w:line="360"/>
        <w:jc w:val="both"/>
      </w:pPr>
      <w:r>
        <w:rPr>
          <w:rFonts w:ascii="Times New Roman" w:cs="Times New Roman" w:eastAsia="Times New Roman" w:hAnsi="Times New Roman"/>
          <w:color w:val="000000"/>
          <w:sz w:val="24"/>
          <w:szCs w:val="24"/>
        </w:rPr>
        <w:t xml:space="preserve">A released, open-source, modular CTI pipeline (CTI-ENGINE) usable independently or alongside MISP/OpenCTI. </w:t>
      </w:r>
    </w:p>
    <w:p>
      <w:pPr>
        <w:pStyle w:val="ListParagraph"/>
        <w:numPr>
          <w:ilvl w:val="0"/>
          <w:numId w:val="2"/>
        </w:numPr>
        <w:spacing w:after="160" w:line="360"/>
        <w:jc w:val="both"/>
      </w:pPr>
      <w:r>
        <w:rPr>
          <w:rFonts w:ascii="Times New Roman" w:cs="Times New Roman" w:eastAsia="Times New Roman" w:hAnsi="Times New Roman"/>
          <w:color w:val="000000"/>
          <w:sz w:val="24"/>
          <w:szCs w:val="24"/>
        </w:rPr>
        <w:t xml:space="preserve">A precise technical specification of the quantum-inspired architecture used, addressing the terminological ambiguity common in the literature.</w:t>
      </w:r>
    </w:p>
    <w:p>
      <w:pPr>
        <w:pStyle w:val="ListParagraph"/>
        <w:numPr>
          <w:ilvl w:val="0"/>
          <w:numId w:val="2"/>
        </w:numPr>
        <w:spacing w:after="160" w:line="360"/>
        <w:jc w:val="both"/>
      </w:pPr>
      <w:r>
        <w:rPr>
          <w:rFonts w:ascii="Times New Roman" w:cs="Times New Roman" w:eastAsia="Times New Roman" w:hAnsi="Times New Roman"/>
          <w:color w:val="000000"/>
          <w:sz w:val="24"/>
          <w:szCs w:val="24"/>
        </w:rPr>
        <w:t xml:space="preserve">Empirical evidence, through ablation studies, of the individual contribution of metaheuristic optimisation and the quantum-inspired classifier to OSINT threat-detection accuracy.</w:t>
      </w:r>
    </w:p>
    <w:p>
      <w:pPr>
        <w:pStyle w:val="ListParagraph"/>
        <w:numPr>
          <w:ilvl w:val="0"/>
          <w:numId w:val="2"/>
        </w:numPr>
        <w:spacing w:after="160" w:line="360"/>
        <w:jc w:val="both"/>
      </w:pPr>
      <w:r>
        <w:rPr>
          <w:rFonts w:ascii="Times New Roman" w:cs="Times New Roman" w:eastAsia="Times New Roman" w:hAnsi="Times New Roman"/>
          <w:color w:val="000000"/>
          <w:sz w:val="24"/>
          <w:szCs w:val="24"/>
        </w:rPr>
        <w:t xml:space="preserve">A reusable SHAP/LIME explanation layer generalisable to other CTI classification tasks.</w:t>
      </w:r>
    </w:p>
    <w:p>
      <w:pPr>
        <w:pStyle w:val="ListParagraph"/>
        <w:numPr>
          <w:ilvl w:val="0"/>
          <w:numId w:val="2"/>
        </w:numPr>
        <w:spacing w:after="160" w:line="360"/>
        <w:jc w:val="both"/>
      </w:pPr>
      <w:r>
        <w:rPr>
          <w:rFonts w:ascii="Times New Roman" w:cs="Times New Roman" w:eastAsia="Times New Roman" w:hAnsi="Times New Roman"/>
          <w:color w:val="000000"/>
          <w:sz w:val="24"/>
          <w:szCs w:val="24"/>
        </w:rPr>
        <w:t xml:space="preserve">At least three to four publishable research outputs spanning feature-selection, model-architecture, explainability, and systems/tooling contributions, extending the candidate's existing publication record (two IJCISIM articles published; two manuscripts under review).</w:t>
      </w:r>
    </w:p>
    <w:p>
      <w:pPr>
        <w:pStyle w:val="Heading1"/>
        <w:spacing w:after="200" w:before="400" w:line="360"/>
      </w:pPr>
      <w:r>
        <w:rPr>
          <w:rFonts w:ascii="Times New Roman" w:cs="Times New Roman" w:eastAsia="Times New Roman" w:hAnsi="Times New Roman"/>
          <w:b/>
          <w:bCs/>
          <w:color w:val="000000"/>
          <w:sz w:val="32"/>
          <w:szCs w:val="32"/>
        </w:rPr>
        <w:t xml:space="preserve">7. Tentative Work Plan</w:t>
      </w:r>
    </w:p>
    <w:p>
      <w:pPr>
        <w:spacing w:after="160" w:line="360"/>
        <w:jc w:val="center"/>
      </w:pPr>
      <w:r>
        <w:rPr>
          <w:rFonts w:ascii="Times New Roman" w:cs="Times New Roman" w:eastAsia="Times New Roman" w:hAnsi="Times New Roman"/>
          <w:b w:val="false"/>
          <w:bCs w:val="false"/>
          <w:i/>
          <w:iCs/>
          <w:color w:val="000000"/>
          <w:sz w:val="20"/>
          <w:szCs w:val="20"/>
        </w:rPr>
        <w:t xml:space="preserve">Table 2. Phase-wise tentative work plan for the proposed research.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rPr>
          <w:tblHeader/>
        </w:trPr>
        <w:tc>
          <w:tcPr>
            <w:tcW w:type="dxa" w:w="1200"/>
            <w:shd w:fill="D9D9D9" w:color="auto" w:val="clear"/>
            <w:tcMar>
              <w:top w:type="dxa" w:w="100"/>
              <w:left w:type="dxa" w:w="120"/>
              <w:bottom w:type="dxa" w:w="100"/>
              <w:right w:type="dxa" w:w="120"/>
            </w:tcMar>
          </w:tcPr>
          <w:p>
            <w:pPr>
              <w:jc w:val="left"/>
            </w:pPr>
            <w:r>
              <w:rPr>
                <w:rFonts w:ascii="Times New Roman" w:cs="Times New Roman" w:eastAsia="Times New Roman" w:hAnsi="Times New Roman"/>
                <w:b/>
                <w:bCs/>
                <w:color w:val="000000"/>
                <w:sz w:val="22"/>
                <w:szCs w:val="22"/>
              </w:rPr>
              <w:t xml:space="preserve">Phase</w:t>
            </w:r>
          </w:p>
        </w:tc>
        <w:tc>
          <w:tcPr>
            <w:tcW w:type="dxa" w:w="1800"/>
            <w:shd w:fill="D9D9D9" w:color="auto" w:val="clear"/>
            <w:tcMar>
              <w:top w:type="dxa" w:w="100"/>
              <w:left w:type="dxa" w:w="120"/>
              <w:bottom w:type="dxa" w:w="100"/>
              <w:right w:type="dxa" w:w="120"/>
            </w:tcMar>
          </w:tcPr>
          <w:p>
            <w:pPr>
              <w:jc w:val="left"/>
            </w:pPr>
            <w:r>
              <w:rPr>
                <w:rFonts w:ascii="Times New Roman" w:cs="Times New Roman" w:eastAsia="Times New Roman" w:hAnsi="Times New Roman"/>
                <w:b/>
                <w:bCs/>
                <w:color w:val="000000"/>
                <w:sz w:val="22"/>
                <w:szCs w:val="22"/>
              </w:rPr>
              <w:t xml:space="preserve">Duration</w:t>
            </w:r>
          </w:p>
        </w:tc>
        <w:tc>
          <w:tcPr>
            <w:tcW w:type="dxa" w:w="6026"/>
            <w:shd w:fill="D9D9D9" w:color="auto" w:val="clear"/>
            <w:tcMar>
              <w:top w:type="dxa" w:w="100"/>
              <w:left w:type="dxa" w:w="120"/>
              <w:bottom w:type="dxa" w:w="100"/>
              <w:right w:type="dxa" w:w="120"/>
            </w:tcMar>
          </w:tcPr>
          <w:p>
            <w:pPr>
              <w:jc w:val="left"/>
            </w:pPr>
            <w:r>
              <w:rPr>
                <w:rFonts w:ascii="Times New Roman" w:cs="Times New Roman" w:eastAsia="Times New Roman" w:hAnsi="Times New Roman"/>
                <w:b/>
                <w:bCs/>
                <w:color w:val="000000"/>
                <w:sz w:val="22"/>
                <w:szCs w:val="22"/>
              </w:rPr>
              <w:t xml:space="preserve">Activities</w:t>
            </w:r>
          </w:p>
        </w:tc>
      </w:tr>
      <w:tr>
        <w:trPr>
          <w:tblHeader w:val="off"/>
        </w:trPr>
        <w:tc>
          <w:tcPr>
            <w:tcW w:type="dxa" w:w="1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I</w:t>
            </w:r>
          </w:p>
        </w:tc>
        <w:tc>
          <w:tcPr>
            <w:tcW w:type="dxa" w:w="18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Months 1–6</w:t>
            </w:r>
          </w:p>
        </w:tc>
        <w:tc>
          <w:tcPr>
            <w:tcW w:type="dxa" w:w="6026"/>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Literature consolidation; OSINT collection module and dataset assembly; baseline feature extraction (BERT + N-gram).</w:t>
            </w:r>
          </w:p>
        </w:tc>
      </w:tr>
      <w:tr>
        <w:trPr>
          <w:tblHeader w:val="off"/>
        </w:trPr>
        <w:tc>
          <w:tcPr>
            <w:tcW w:type="dxa" w:w="1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II</w:t>
            </w:r>
          </w:p>
        </w:tc>
        <w:tc>
          <w:tcPr>
            <w:tcW w:type="dxa" w:w="18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Months 7–12</w:t>
            </w:r>
          </w:p>
        </w:tc>
        <w:tc>
          <w:tcPr>
            <w:tcW w:type="dxa" w:w="6026"/>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Design and implementation of PSO/GWO feature-optimisation stage; comparative baseline experiments.</w:t>
            </w:r>
          </w:p>
        </w:tc>
      </w:tr>
      <w:tr>
        <w:trPr>
          <w:tblHeader w:val="off"/>
        </w:trPr>
        <w:tc>
          <w:tcPr>
            <w:tcW w:type="dxa" w:w="1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III</w:t>
            </w:r>
          </w:p>
        </w:tc>
        <w:tc>
          <w:tcPr>
            <w:tcW w:type="dxa" w:w="18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Months 13–20</w:t>
            </w:r>
          </w:p>
        </w:tc>
        <w:tc>
          <w:tcPr>
            <w:tcW w:type="dxa" w:w="6026"/>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Design, implementation, and validation of the quantum-inspired neural classifier; ablation studies.</w:t>
            </w:r>
          </w:p>
        </w:tc>
      </w:tr>
      <w:tr>
        <w:trPr>
          <w:tblHeader w:val="off"/>
        </w:trPr>
        <w:tc>
          <w:tcPr>
            <w:tcW w:type="dxa" w:w="1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IV</w:t>
            </w:r>
          </w:p>
        </w:tc>
        <w:tc>
          <w:tcPr>
            <w:tcW w:type="dxa" w:w="18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Months 21–26</w:t>
            </w:r>
          </w:p>
        </w:tc>
        <w:tc>
          <w:tcPr>
            <w:tcW w:type="dxa" w:w="6026"/>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SHAP/LIME explainability integration; STIX2 output formatting; MISP/OpenCTI interoperability testing.</w:t>
            </w:r>
          </w:p>
        </w:tc>
      </w:tr>
      <w:tr>
        <w:trPr>
          <w:tblHeader w:val="off"/>
        </w:trPr>
        <w:tc>
          <w:tcPr>
            <w:tcW w:type="dxa" w:w="1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V</w:t>
            </w:r>
          </w:p>
        </w:tc>
        <w:tc>
          <w:tcPr>
            <w:tcW w:type="dxa" w:w="18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Months 27–33</w:t>
            </w:r>
          </w:p>
        </w:tc>
        <w:tc>
          <w:tcPr>
            <w:tcW w:type="dxa" w:w="6026"/>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Full-system benchmarking; open-source release; publication of remaining papers; thesis compilation.</w:t>
            </w:r>
          </w:p>
        </w:tc>
      </w:tr>
      <w:tr>
        <w:trPr>
          <w:tblHeader w:val="off"/>
        </w:trPr>
        <w:tc>
          <w:tcPr>
            <w:tcW w:type="dxa" w:w="12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VI</w:t>
            </w:r>
          </w:p>
        </w:tc>
        <w:tc>
          <w:tcPr>
            <w:tcW w:type="dxa" w:w="1800"/>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Months 34–36</w:t>
            </w:r>
          </w:p>
        </w:tc>
        <w:tc>
          <w:tcPr>
            <w:tcW w:type="dxa" w:w="6026"/>
            <w:tcMar>
              <w:top w:type="dxa" w:w="100"/>
              <w:left w:type="dxa" w:w="120"/>
              <w:bottom w:type="dxa" w:w="100"/>
              <w:right w:type="dxa" w:w="120"/>
            </w:tcMar>
          </w:tcPr>
          <w:p>
            <w:pPr>
              <w:jc w:val="left"/>
            </w:pPr>
            <w:r>
              <w:rPr>
                <w:rFonts w:ascii="Times New Roman" w:cs="Times New Roman" w:eastAsia="Times New Roman" w:hAnsi="Times New Roman"/>
                <w:b w:val="false"/>
                <w:bCs w:val="false"/>
                <w:color w:val="000000"/>
                <w:sz w:val="22"/>
                <w:szCs w:val="22"/>
              </w:rPr>
              <w:t xml:space="preserve">Thesis finalisation, internal review, and submission.</w:t>
            </w:r>
          </w:p>
        </w:tc>
      </w:tr>
    </w:tbl>
    <w:p>
      <w:r>
        <w:br w:type="page"/>
      </w:r>
    </w:p>
    <w:p>
      <w:pPr>
        <w:pStyle w:val="Heading1"/>
        <w:spacing w:after="200" w:before="400" w:line="360"/>
      </w:pPr>
      <w:r>
        <w:rPr>
          <w:rFonts w:ascii="Times New Roman" w:cs="Times New Roman" w:eastAsia="Times New Roman" w:hAnsi="Times New Roman"/>
          <w:b/>
          <w:bCs/>
          <w:color w:val="000000"/>
          <w:sz w:val="32"/>
          <w:szCs w:val="32"/>
        </w:rPr>
        <w:t xml:space="preserve">References</w:t>
      </w:r>
    </w:p>
    <w:p>
      <w:pPr>
        <w:spacing w:after="160" w:line="300"/>
        <w:ind w:left="420" w:hanging="420"/>
        <w:jc w:val="both"/>
      </w:pPr>
      <w:r>
        <w:rPr>
          <w:rFonts w:ascii="Times New Roman" w:cs="Times New Roman" w:eastAsia="Times New Roman" w:hAnsi="Times New Roman"/>
          <w:color w:val="000000"/>
          <w:sz w:val="22"/>
          <w:szCs w:val="22"/>
        </w:rPr>
        <w:t xml:space="preserve">Adadi, A., &amp; Berrada, M. (2018). Peeking inside the black-box: A survey on explainable artificial intelligence. IEEE Access, 6, 52138-52160.</w:t>
      </w:r>
    </w:p>
    <w:p>
      <w:pPr>
        <w:spacing w:after="160" w:line="300"/>
        <w:ind w:left="420" w:hanging="420"/>
        <w:jc w:val="both"/>
      </w:pPr>
      <w:r>
        <w:rPr>
          <w:rFonts w:ascii="Times New Roman" w:cs="Times New Roman" w:eastAsia="Times New Roman" w:hAnsi="Times New Roman"/>
          <w:color w:val="000000"/>
          <w:sz w:val="22"/>
          <w:szCs w:val="22"/>
        </w:rPr>
        <w:t xml:space="preserve">Alketbi, K. S., &amp; Mehmood, A. (2025). A Comprehensive Survey of Explainable Artificial Intelligence Techniques for Malicious Insider Threat Detection. IEEE Access.</w:t>
      </w:r>
    </w:p>
    <w:p>
      <w:pPr>
        <w:spacing w:after="160" w:line="300"/>
        <w:ind w:left="420" w:hanging="420"/>
        <w:jc w:val="both"/>
      </w:pPr>
      <w:r>
        <w:rPr>
          <w:rFonts w:ascii="Times New Roman" w:cs="Times New Roman" w:eastAsia="Times New Roman" w:hAnsi="Times New Roman"/>
          <w:color w:val="000000"/>
          <w:sz w:val="22"/>
          <w:szCs w:val="22"/>
        </w:rPr>
        <w:t xml:space="preserve">Almukaynizi, M., Mariconti, E., &amp; Stringhini, G. (2017). Mining cyber threat intelligence from hacker forums and dark web marketplaces. Proceedings of IEEE EuroS&amp;P Workshops, 98-102.</w:t>
      </w:r>
    </w:p>
    <w:p>
      <w:pPr>
        <w:spacing w:after="160" w:line="300"/>
        <w:ind w:left="420" w:hanging="420"/>
        <w:jc w:val="both"/>
      </w:pPr>
      <w:r>
        <w:rPr>
          <w:rFonts w:ascii="Times New Roman" w:cs="Times New Roman" w:eastAsia="Times New Roman" w:hAnsi="Times New Roman"/>
          <w:color w:val="000000"/>
          <w:sz w:val="22"/>
          <w:szCs w:val="22"/>
        </w:rPr>
        <w:t xml:space="preserve">Alsodi, O., Zhou, X., Gururajan, R., Shrestha, A., &amp; Btoush, E. (2025). From Tweets to Threats: A Survey of Cybersecurity Threat Detection Challenges, AI-Based Solutions and Potential Opportunities in X. Applied Sciences, 15(7), 3898.</w:t>
      </w:r>
    </w:p>
    <w:p>
      <w:pPr>
        <w:spacing w:after="160" w:line="300"/>
        <w:ind w:left="420" w:hanging="420"/>
        <w:jc w:val="both"/>
      </w:pPr>
      <w:r>
        <w:rPr>
          <w:rFonts w:ascii="Times New Roman" w:cs="Times New Roman" w:eastAsia="Times New Roman" w:hAnsi="Times New Roman"/>
          <w:color w:val="000000"/>
          <w:sz w:val="22"/>
          <w:szCs w:val="22"/>
        </w:rPr>
        <w:t xml:space="preserve">Applebaum, A., Miller, B., &amp; Strom, C. (2019). Improving threat intelligence with ATT&amp;CK. MITRE Technical Report.</w:t>
      </w:r>
    </w:p>
    <w:p>
      <w:pPr>
        <w:spacing w:after="160" w:line="300"/>
        <w:ind w:left="420" w:hanging="420"/>
        <w:jc w:val="both"/>
      </w:pPr>
      <w:r>
        <w:rPr>
          <w:rFonts w:ascii="Times New Roman" w:cs="Times New Roman" w:eastAsia="Times New Roman" w:hAnsi="Times New Roman"/>
          <w:color w:val="000000"/>
          <w:sz w:val="22"/>
          <w:szCs w:val="22"/>
        </w:rPr>
        <w:t xml:space="preserve">Avrahami, Z., Zwilling, M., &amp; Hajaj, C. (2025). Leveraging OSINT for Advanced Proactive Cybersecurity: Strategies and Solutions. IEEE Access.</w:t>
      </w:r>
    </w:p>
    <w:p>
      <w:pPr>
        <w:spacing w:after="160" w:line="300"/>
        <w:ind w:left="420" w:hanging="420"/>
        <w:jc w:val="both"/>
      </w:pPr>
      <w:r>
        <w:rPr>
          <w:rFonts w:ascii="Times New Roman" w:cs="Times New Roman" w:eastAsia="Times New Roman" w:hAnsi="Times New Roman"/>
          <w:color w:val="000000"/>
          <w:sz w:val="22"/>
          <w:szCs w:val="22"/>
        </w:rPr>
        <w:t xml:space="preserve">Babenko, T., Kolesnikova, K., Abramkina, O., &amp; Vitulyova, Y. (2025). Automated OSINT Techniques for Digital Asset Discovery and Cyber Risk Assessment. Computers, 14(10), 430.</w:t>
      </w:r>
    </w:p>
    <w:p>
      <w:pPr>
        <w:spacing w:after="160" w:line="300"/>
        <w:ind w:left="420" w:hanging="420"/>
        <w:jc w:val="both"/>
      </w:pPr>
      <w:r>
        <w:rPr>
          <w:rFonts w:ascii="Times New Roman" w:cs="Times New Roman" w:eastAsia="Times New Roman" w:hAnsi="Times New Roman"/>
          <w:color w:val="000000"/>
          <w:sz w:val="22"/>
          <w:szCs w:val="22"/>
        </w:rPr>
        <w:t xml:space="preserve">Biamonte, J., Wittek, P., Pancotti, N., Rebentrost, P., Wiebe, N., &amp; Lloyd, S. (2017). Quantum machine learning. Nature, 549(7671), 195-202.</w:t>
      </w:r>
    </w:p>
    <w:p>
      <w:pPr>
        <w:spacing w:after="160" w:line="300"/>
        <w:ind w:left="420" w:hanging="420"/>
        <w:jc w:val="both"/>
      </w:pPr>
      <w:r>
        <w:rPr>
          <w:rFonts w:ascii="Times New Roman" w:cs="Times New Roman" w:eastAsia="Times New Roman" w:hAnsi="Times New Roman"/>
          <w:color w:val="000000"/>
          <w:sz w:val="22"/>
          <w:szCs w:val="22"/>
        </w:rPr>
        <w:t xml:space="preserve">Dale, D. S., McClanahan, K., Elder, W. S., &amp; Li, Q. (2025). Twitter-Based OSINT for Cyber Event Analytics. IEEE Access.</w:t>
      </w:r>
    </w:p>
    <w:p>
      <w:pPr>
        <w:spacing w:after="160" w:line="300"/>
        <w:ind w:left="420" w:hanging="420"/>
        <w:jc w:val="both"/>
      </w:pPr>
      <w:r>
        <w:rPr>
          <w:rFonts w:ascii="Times New Roman" w:cs="Times New Roman" w:eastAsia="Times New Roman" w:hAnsi="Times New Roman"/>
          <w:color w:val="000000"/>
          <w:sz w:val="22"/>
          <w:szCs w:val="22"/>
        </w:rPr>
        <w:t xml:space="preserve">Devlin, J., Chang, M.-W., Lee, K., &amp; Toutanova, K. (2019). BERT: Pre-training of deep bidirectional transformers for language understanding. Proceedings of NAACL-HLT, 4171-4186.</w:t>
      </w:r>
    </w:p>
    <w:p>
      <w:pPr>
        <w:spacing w:after="160" w:line="300"/>
        <w:ind w:left="420" w:hanging="420"/>
        <w:jc w:val="both"/>
      </w:pPr>
      <w:r>
        <w:rPr>
          <w:rFonts w:ascii="Times New Roman" w:cs="Times New Roman" w:eastAsia="Times New Roman" w:hAnsi="Times New Roman"/>
          <w:color w:val="000000"/>
          <w:sz w:val="22"/>
          <w:szCs w:val="22"/>
        </w:rPr>
        <w:t xml:space="preserve">Filigran. OpenCTI — Open Cyber Threat Intelligence Platform. https://www.opencti.io/</w:t>
      </w:r>
    </w:p>
    <w:p>
      <w:pPr>
        <w:spacing w:after="160" w:line="300"/>
        <w:ind w:left="420" w:hanging="420"/>
        <w:jc w:val="both"/>
      </w:pPr>
      <w:r>
        <w:rPr>
          <w:rFonts w:ascii="Times New Roman" w:cs="Times New Roman" w:eastAsia="Times New Roman" w:hAnsi="Times New Roman"/>
          <w:color w:val="000000"/>
          <w:sz w:val="22"/>
          <w:szCs w:val="22"/>
        </w:rPr>
        <w:t xml:space="preserve">Gonon, L., Martínez-Peña, R., &amp; Ortega, J. P. (2025). Feedback-driven recurrent quantum neural network universality. arXiv preprint arXiv:2506.16332.</w:t>
      </w:r>
    </w:p>
    <w:p>
      <w:pPr>
        <w:spacing w:after="160" w:line="300"/>
        <w:ind w:left="420" w:hanging="420"/>
        <w:jc w:val="both"/>
      </w:pPr>
      <w:r>
        <w:rPr>
          <w:rFonts w:ascii="Times New Roman" w:cs="Times New Roman" w:eastAsia="Times New Roman" w:hAnsi="Times New Roman"/>
          <w:color w:val="000000"/>
          <w:sz w:val="22"/>
          <w:szCs w:val="22"/>
        </w:rPr>
        <w:t xml:space="preserve">He, H., &amp; Garcia, E. A. (2009). Learning from imbalanced data. IEEE Transactions on Knowledge and Data Engineering, 21(9), 1263-1284.</w:t>
      </w:r>
    </w:p>
    <w:p>
      <w:pPr>
        <w:spacing w:after="160" w:line="300"/>
        <w:ind w:left="420" w:hanging="420"/>
        <w:jc w:val="both"/>
      </w:pPr>
      <w:r>
        <w:rPr>
          <w:rFonts w:ascii="Times New Roman" w:cs="Times New Roman" w:eastAsia="Times New Roman" w:hAnsi="Times New Roman"/>
          <w:color w:val="000000"/>
          <w:sz w:val="22"/>
          <w:szCs w:val="22"/>
        </w:rPr>
        <w:t xml:space="preserve">Kennedy, J., &amp; Eberhart, R. (1995). Particle swarm optimization. Proceedings of ICNN'95 - International Conference on Neural Networks, 1942-1948.</w:t>
      </w:r>
    </w:p>
    <w:p>
      <w:pPr>
        <w:spacing w:after="160" w:line="300"/>
        <w:ind w:left="420" w:hanging="420"/>
        <w:jc w:val="both"/>
      </w:pPr>
      <w:r>
        <w:rPr>
          <w:rFonts w:ascii="Times New Roman" w:cs="Times New Roman" w:eastAsia="Times New Roman" w:hAnsi="Times New Roman"/>
          <w:color w:val="000000"/>
          <w:sz w:val="22"/>
          <w:szCs w:val="22"/>
        </w:rPr>
        <w:t xml:space="preserve">Khan, S., Dilshad, N., Ahmad, N., Noor, S., &amp; AlQahtani, S. A. (2025). Integrating AI in security information and event management for real time cyber defense. Scientific Reports, 15(1), 35872.</w:t>
      </w:r>
    </w:p>
    <w:p>
      <w:pPr>
        <w:spacing w:after="160" w:line="300"/>
        <w:ind w:left="420" w:hanging="420"/>
        <w:jc w:val="both"/>
      </w:pPr>
      <w:r>
        <w:rPr>
          <w:rFonts w:ascii="Times New Roman" w:cs="Times New Roman" w:eastAsia="Times New Roman" w:hAnsi="Times New Roman"/>
          <w:color w:val="000000"/>
          <w:sz w:val="22"/>
          <w:szCs w:val="22"/>
        </w:rPr>
        <w:t xml:space="preserve">Liao, T., Chen, L., &amp; Ji, J. (2019). Cybersecurity named entity recognition using deep learning. Computers &amp; Security, 85, 1-14.</w:t>
      </w:r>
    </w:p>
    <w:p>
      <w:pPr>
        <w:spacing w:after="160" w:line="300"/>
        <w:ind w:left="420" w:hanging="420"/>
        <w:jc w:val="both"/>
      </w:pPr>
      <w:r>
        <w:rPr>
          <w:rFonts w:ascii="Times New Roman" w:cs="Times New Roman" w:eastAsia="Times New Roman" w:hAnsi="Times New Roman"/>
          <w:color w:val="000000"/>
          <w:sz w:val="22"/>
          <w:szCs w:val="22"/>
        </w:rPr>
        <w:t xml:space="preserve">Liu, Y., Ott, M., Goyal, N., et al. (2019). RoBERTa: A robustly optimized BERT pretraining approach. arXiv preprint arXiv:1907.11692.</w:t>
      </w:r>
    </w:p>
    <w:p>
      <w:pPr>
        <w:spacing w:after="160" w:line="300"/>
        <w:ind w:left="420" w:hanging="420"/>
        <w:jc w:val="both"/>
      </w:pPr>
      <w:r>
        <w:rPr>
          <w:rFonts w:ascii="Times New Roman" w:cs="Times New Roman" w:eastAsia="Times New Roman" w:hAnsi="Times New Roman"/>
          <w:color w:val="000000"/>
          <w:sz w:val="22"/>
          <w:szCs w:val="22"/>
        </w:rPr>
        <w:t xml:space="preserve">Lundberg, S. M., &amp; Lee, S.-I. (2017). A unified approach to interpreting model predictions (SHAP). Advances in Neural Information Processing Systems, 30.</w:t>
      </w:r>
    </w:p>
    <w:p>
      <w:pPr>
        <w:spacing w:after="160" w:line="300"/>
        <w:ind w:left="420" w:hanging="420"/>
        <w:jc w:val="both"/>
      </w:pPr>
      <w:r>
        <w:rPr>
          <w:rFonts w:ascii="Times New Roman" w:cs="Times New Roman" w:eastAsia="Times New Roman" w:hAnsi="Times New Roman"/>
          <w:color w:val="000000"/>
          <w:sz w:val="22"/>
          <w:szCs w:val="22"/>
        </w:rPr>
        <w:t xml:space="preserve">Mirjalili, S., Mirjalili, S. M., &amp; Lewis, A. (2014). Grey Wolf Optimizer. Advances in Engineering Software, 69, 46-61.</w:t>
      </w:r>
    </w:p>
    <w:p>
      <w:pPr>
        <w:spacing w:after="160" w:line="300"/>
        <w:ind w:left="420" w:hanging="420"/>
        <w:jc w:val="both"/>
      </w:pPr>
      <w:r>
        <w:rPr>
          <w:rFonts w:ascii="Times New Roman" w:cs="Times New Roman" w:eastAsia="Times New Roman" w:hAnsi="Times New Roman"/>
          <w:color w:val="000000"/>
          <w:sz w:val="22"/>
          <w:szCs w:val="22"/>
        </w:rPr>
        <w:t xml:space="preserve">MITRE Corporation. (2023). MITRE ATT&amp;CK: Techniques, Tactics, and Procedures.</w:t>
      </w:r>
    </w:p>
    <w:p>
      <w:pPr>
        <w:spacing w:after="160" w:line="300"/>
        <w:ind w:left="420" w:hanging="420"/>
        <w:jc w:val="both"/>
      </w:pPr>
      <w:r>
        <w:rPr>
          <w:rFonts w:ascii="Times New Roman" w:cs="Times New Roman" w:eastAsia="Times New Roman" w:hAnsi="Times New Roman"/>
          <w:color w:val="000000"/>
          <w:sz w:val="22"/>
          <w:szCs w:val="22"/>
        </w:rPr>
        <w:t xml:space="preserve">Nguyen, H. T., Jung, J. J., &amp; Camacho, D. (2020). Cyber threat intelligence extraction using deep learning. IEEE Access, 8, 104012-104025.</w:t>
      </w:r>
    </w:p>
    <w:p>
      <w:pPr>
        <w:spacing w:after="160" w:line="300"/>
        <w:ind w:left="420" w:hanging="420"/>
        <w:jc w:val="both"/>
      </w:pPr>
      <w:r>
        <w:rPr>
          <w:rFonts w:ascii="Times New Roman" w:cs="Times New Roman" w:eastAsia="Times New Roman" w:hAnsi="Times New Roman"/>
          <w:color w:val="000000"/>
          <w:sz w:val="22"/>
          <w:szCs w:val="22"/>
        </w:rPr>
        <w:t xml:space="preserve">Open Information Security Foundation. MISP — Open Source Threat Intelligence and Sharing Platform. https://www.misp-project.org/</w:t>
      </w:r>
    </w:p>
    <w:p>
      <w:pPr>
        <w:spacing w:after="160" w:line="300"/>
        <w:ind w:left="420" w:hanging="420"/>
        <w:jc w:val="both"/>
      </w:pPr>
      <w:r>
        <w:rPr>
          <w:rFonts w:ascii="Times New Roman" w:cs="Times New Roman" w:eastAsia="Times New Roman" w:hAnsi="Times New Roman"/>
          <w:color w:val="000000"/>
          <w:sz w:val="22"/>
          <w:szCs w:val="22"/>
        </w:rPr>
        <w:t xml:space="preserve">Ribeiro, M. T., Singh, S., &amp; Guestrin, C. (2016). "Why should I trust you?": Explaining the predictions of any classifier (LIME). Proceedings of ACM SIGKDD, 1135-1144.</w:t>
      </w:r>
    </w:p>
    <w:p>
      <w:pPr>
        <w:spacing w:after="160" w:line="300"/>
        <w:ind w:left="420" w:hanging="420"/>
        <w:jc w:val="both"/>
      </w:pPr>
      <w:r>
        <w:rPr>
          <w:rFonts w:ascii="Times New Roman" w:cs="Times New Roman" w:eastAsia="Times New Roman" w:hAnsi="Times New Roman"/>
          <w:color w:val="000000"/>
          <w:sz w:val="22"/>
          <w:szCs w:val="22"/>
        </w:rPr>
        <w:t xml:space="preserve">Şahin, E., Arslan, N. N., &amp; Özdemir, D. (2025). Unlocking the black box: an in-depth review on interpretability, explainability, and reliability in deep learning. Neural Computing and Applications, 37(2), 859-965.</w:t>
      </w:r>
    </w:p>
    <w:p>
      <w:pPr>
        <w:spacing w:after="160" w:line="300"/>
        <w:ind w:left="420" w:hanging="420"/>
        <w:jc w:val="both"/>
      </w:pPr>
      <w:r>
        <w:rPr>
          <w:rFonts w:ascii="Times New Roman" w:cs="Times New Roman" w:eastAsia="Times New Roman" w:hAnsi="Times New Roman"/>
          <w:color w:val="000000"/>
          <w:sz w:val="22"/>
          <w:szCs w:val="22"/>
        </w:rPr>
        <w:t xml:space="preserve">Santos, P., Abreu, R., Reis, M. J. C. S., Serodio, C., &amp; Branco, F. (2025). A systematic review of cyber threat intelligence: the effectiveness of technologies, strategies, and collaborations in combating modern threats. Sensors, 25(14), 4272.</w:t>
      </w:r>
    </w:p>
    <w:p>
      <w:pPr>
        <w:spacing w:after="160" w:line="300"/>
        <w:ind w:left="420" w:hanging="420"/>
        <w:jc w:val="both"/>
      </w:pPr>
      <w:r>
        <w:rPr>
          <w:rFonts w:ascii="Times New Roman" w:cs="Times New Roman" w:eastAsia="Times New Roman" w:hAnsi="Times New Roman"/>
          <w:color w:val="000000"/>
          <w:sz w:val="22"/>
          <w:szCs w:val="22"/>
        </w:rPr>
        <w:t xml:space="preserve">Sharma, R. K., Singh, D. K., &amp; Barnwal, R. P. (2026). Automated MITRE ATT&amp;CK Technique Classification Using OSINT and Advanced NLP. International Journal of Computer Information Systems and Industrial Management Applications, 18(18s), 726-738.</w:t>
      </w:r>
    </w:p>
    <w:p>
      <w:pPr>
        <w:spacing w:after="160" w:line="300"/>
        <w:ind w:left="420" w:hanging="420"/>
        <w:jc w:val="both"/>
      </w:pPr>
      <w:r>
        <w:rPr>
          <w:rFonts w:ascii="Times New Roman" w:cs="Times New Roman" w:eastAsia="Times New Roman" w:hAnsi="Times New Roman"/>
          <w:color w:val="000000"/>
          <w:sz w:val="22"/>
          <w:szCs w:val="22"/>
        </w:rPr>
        <w:t xml:space="preserve">Sharma, R. K., Singh, D. K., &amp; Barnwal, R. P. (2026). Deep-Learning-Enhanced Entity Resolution for Cyber Threat Intelligence Using OSINT Sources. International Journal of Computer Information Systems and Industrial Management Applications, 18(6s), 1019-1029.</w:t>
      </w:r>
    </w:p>
    <w:p>
      <w:pPr>
        <w:spacing w:after="160" w:line="300"/>
        <w:ind w:left="420" w:hanging="420"/>
        <w:jc w:val="both"/>
      </w:pPr>
      <w:r>
        <w:rPr>
          <w:rFonts w:ascii="Times New Roman" w:cs="Times New Roman" w:eastAsia="Times New Roman" w:hAnsi="Times New Roman"/>
          <w:color w:val="000000"/>
          <w:sz w:val="22"/>
          <w:szCs w:val="22"/>
        </w:rPr>
        <w:t xml:space="preserve">Sharma, R. K., Singh, D. K., &amp; Barnwal, R. P. Deep Learning-based OSINT Threat Classification on Blockchain Infrastructure. (Manuscript under review).</w:t>
      </w:r>
    </w:p>
    <w:p>
      <w:pPr>
        <w:spacing w:after="160" w:line="300"/>
        <w:ind w:left="420" w:hanging="420"/>
        <w:jc w:val="both"/>
      </w:pPr>
      <w:r>
        <w:rPr>
          <w:rFonts w:ascii="Times New Roman" w:cs="Times New Roman" w:eastAsia="Times New Roman" w:hAnsi="Times New Roman"/>
          <w:color w:val="000000"/>
          <w:sz w:val="22"/>
          <w:szCs w:val="22"/>
        </w:rPr>
        <w:t xml:space="preserve">Sharma, R. K., Singh, D. K., &amp; Barnwal, R. P. OSINT-Enhanced Hybrid Optimal Deep Learning Framework for Fake Profile Detection in Online Social Media. (PhD research article, under review).</w:t>
      </w:r>
    </w:p>
    <w:p>
      <w:pPr>
        <w:spacing w:after="160" w:line="300"/>
        <w:ind w:left="420" w:hanging="420"/>
        <w:jc w:val="both"/>
      </w:pPr>
      <w:r>
        <w:rPr>
          <w:rFonts w:ascii="Times New Roman" w:cs="Times New Roman" w:eastAsia="Times New Roman" w:hAnsi="Times New Roman"/>
          <w:color w:val="000000"/>
          <w:sz w:val="22"/>
          <w:szCs w:val="22"/>
        </w:rPr>
        <w:t xml:space="preserve">Shoukat, S., Gao, T., Javeed, D., Saeed, M. S., &amp; Adil, M. (2025). Trust my IDS: An explainable AI integrated deep learning-based transparent threat detection system for industrial networks. Computers &amp; Security, 149, 104191.</w:t>
      </w:r>
    </w:p>
    <w:p>
      <w:pPr>
        <w:spacing w:after="160" w:line="300"/>
        <w:ind w:left="420" w:hanging="420"/>
        <w:jc w:val="both"/>
      </w:pPr>
      <w:r>
        <w:rPr>
          <w:rFonts w:ascii="Times New Roman" w:cs="Times New Roman" w:eastAsia="Times New Roman" w:hAnsi="Times New Roman"/>
          <w:color w:val="000000"/>
          <w:sz w:val="22"/>
          <w:szCs w:val="22"/>
        </w:rPr>
        <w:t xml:space="preserve">Tolah, A. (2025). BlockIntelChain: a blockchain-based cyber threat intelligence sharing architecture. Scientific Reports.</w:t>
      </w:r>
    </w:p>
    <w:p>
      <w:pPr>
        <w:spacing w:after="160" w:line="300"/>
        <w:ind w:left="420" w:hanging="420"/>
        <w:jc w:val="both"/>
      </w:pPr>
      <w:r>
        <w:rPr>
          <w:rFonts w:ascii="Times New Roman" w:cs="Times New Roman" w:eastAsia="Times New Roman" w:hAnsi="Times New Roman"/>
          <w:color w:val="000000"/>
          <w:sz w:val="22"/>
          <w:szCs w:val="22"/>
        </w:rPr>
        <w:t xml:space="preserve">Zhao, T., Wu, L., Cui, Z., &amp; Qin, A. K. (2025). An adaptive strategy based multi-population multi-objective optimization algorithm. Information Sciences, 686, 120913.</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Page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Pr>
        <w:rFonts w:ascii="Times New Roman" w:cs="Times New Roman" w:eastAsia="Times New Roman" w:hAnsi="Times New Roman"/>
        <w:color w:val="000000"/>
        <w:sz w:val="18"/>
        <w:szCs w:val="18"/>
      </w:rPr>
      <w:t xml:space="preserve"> of </w:t>
    </w:r>
    <w:r>
      <w:rPr>
        <w:rFonts w:ascii="Times New Roman" w:cs="Times New Roman" w:eastAsia="Times New Roman" w:hAnsi="Times New Roman"/>
        <w:color w:val="00000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08080"/>
        <w:sz w:val="18"/>
        <w:szCs w:val="18"/>
      </w:rPr>
      <w:t xml:space="preserve">Ph.D. Synopsis — Ramesh Kumar Sharma — CTI-ENGINE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300"/>
    </w:pPr>
    <w:rPr>
      <w:rFonts w:ascii="Times New Roman" w:cs="Times New Roman" w:eastAsia="Times New Roman" w:hAnsi="Times New Roman"/>
      <w:b/>
      <w:bCs/>
      <w:color w:val="00000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Ramesh Kumar Sharma</dc:creator>
  <cp:lastModifiedBy>Ramesh Kumar Sharma</cp:lastModifiedBy>
  <cp:revision>1</cp:revision>
  <dcterms:created xsi:type="dcterms:W3CDTF">2026-10-12T06:37:35.297Z</dcterms:created>
  <dcterms:modified xsi:type="dcterms:W3CDTF">2026-10-12T06:37:35.298Z</dcterms:modified>
</cp:coreProperties>
</file>

<file path=docProps/custom.xml><?xml version="1.0" encoding="utf-8"?>
<Properties xmlns="http://schemas.openxmlformats.org/officeDocument/2006/custom-properties" xmlns:vt="http://schemas.openxmlformats.org/officeDocument/2006/docPropsVTypes"/>
</file>