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OSINT and CTI Industry Tools Landscape</w:t>
      </w:r>
    </w:p>
    <w:p>
      <w:pPr>
        <w:spacing w:after="300"/>
      </w:pPr>
      <w:r>
        <w:t xml:space="preserve">An overview of existing open-source and commercial tools, for use in the related-work / literature review chapter.</w:t>
      </w:r>
    </w:p>
    <w:p>
      <w:pPr>
        <w:pStyle w:val="Heading1"/>
      </w:pPr>
      <w:r>
        <w:t xml:space="preserve">Open-source OSINT collection tools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SpiderFoot — </w:t>
      </w:r>
      <w:r>
        <w:t xml:space="preserve">automated OSINT collection with 200+ source integrations, Python-based and open source, with an HX commercial tier adding enterprise and hosted features.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theHarvester — </w:t>
      </w:r>
      <w:r>
        <w:t xml:space="preserve">open-source reconnaissance for email and subdomain enumeration.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Recon-ng — </w:t>
      </w:r>
      <w:r>
        <w:t xml:space="preserve">modular, CLI-based open-source reconnaissance framework.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Amass — </w:t>
      </w:r>
      <w:r>
        <w:t xml:space="preserve">widely used open-source tool for subdomain discovery and network mapping.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OSINT Framework — </w:t>
      </w:r>
      <w:r>
        <w:t xml:space="preserve">a web-based directory cataloging public OSINT tools and data sources, useful for building a toolkit rather than a tool itself.</w:t>
      </w:r>
    </w:p>
    <w:p>
      <w:pPr>
        <w:pStyle w:val="Heading1"/>
      </w:pPr>
      <w:r>
        <w:t xml:space="preserve">Open-source threat intel platforms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MISP </w:t>
      </w:r>
      <w:r>
        <w:t xml:space="preserve">(Malware Information Sharing Platform) — open-source threat intel sharing and IOC correlation, widely used by CERTs.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OpenCTI — </w:t>
      </w:r>
      <w:r>
        <w:t xml:space="preserve">open-source CTI platform for structuring and visualizing threat knowledge, STIX2-native.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TheHive — </w:t>
      </w:r>
      <w:r>
        <w:t xml:space="preserve">open-source incident response and case management, often paired with MISP.</w:t>
      </w:r>
    </w:p>
    <w:p>
      <w:pPr>
        <w:spacing w:after="200"/>
      </w:pPr>
      <w:r>
        <w:t xml:space="preserve">These three are the closest existing “competitors” to the CTI-ENGINE framing (open-source, modular CTI pipelines) — worth explicitly comparing against in the thesis, since none of them include ML-driven explainability or quantum-inspired classification.</w:t>
      </w:r>
    </w:p>
    <w:p>
      <w:pPr>
        <w:pStyle w:val="Heading1"/>
      </w:pPr>
      <w:r>
        <w:t xml:space="preserve">Commercial and enterprise platforms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Shodan / Censys — </w:t>
      </w:r>
      <w:r>
        <w:t xml:space="preserve">internet-exposure indexing (open ports, IoT, industrial systems); Shodan indexes over 600 million internet-exposed devices as of 2026, and is described as the default choice for most CTI teams.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Recorded Future — </w:t>
      </w:r>
      <w:r>
        <w:t xml:space="preserve">real-time threat intel blending feeds, darknet monitoring, and predictive analytics.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ShadowDragon — </w:t>
      </w:r>
      <w:r>
        <w:t xml:space="preserve">commercial suite for digital investigations, link analysis, and timeline building, blending open-source feeds with paid integrations.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Maltego — </w:t>
      </w:r>
      <w:r>
        <w:t xml:space="preserve">established link-analysis and investigation platform, often paired with Recorded Future or Shodan for CTI workflows.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DarkOwl — </w:t>
      </w:r>
      <w:r>
        <w:t xml:space="preserve">one of the largest commercial darknet content databases.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Social Links — </w:t>
      </w:r>
      <w:r>
        <w:t xml:space="preserve">OSINT data fusion across 500+ sources.</w:t>
      </w:r>
    </w:p>
    <w:p>
      <w:pPr>
        <w:pStyle w:val="Heading1"/>
      </w:pPr>
      <w:r>
        <w:t xml:space="preserve">Scale of the market</w:t>
      </w:r>
    </w:p>
    <w:p>
      <w:pPr>
        <w:spacing w:after="200"/>
      </w:pPr>
      <w:r>
        <w:t xml:space="preserve">The global OSINT market in 2025 was estimated between roughly $11.6 and $12.7 billion, with five-year growth forecasts clustering between 20 and 28 percent annually. Separately, a SANS CTI Survey found that 72 percent of threat intel teams use at least three OSINT platforms concurrently, underscoring that no single existing tool — commercial or open-source — covers the full CTI workflow alone, which is exactly the gap a unified, explainable, open-source engine like CTI-ENGINE could address.</w:t>
      </w:r>
    </w:p>
    <w:p>
      <w:pPr>
        <w:pStyle w:val="Heading1"/>
      </w:pPr>
      <w:r>
        <w:t xml:space="preserve">Thesis positioning</w:t>
      </w:r>
    </w:p>
    <w:p>
      <w:r>
        <w:t xml:space="preserve">The related-work chapter should position CTI-ENGINE against MISP and OpenCTI (open-source, but no ML-based explainability or quantum-inspired classification) and Recorded Future and ShadowDragon (strong ML and analytics, but closed-source and not academically reproducible). That contrast — open-source and explainable and using a genuinely novel architecture — is the clearest differentiation story.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2026-10-02T20:11:55.594Z</dcterms:created>
  <dcterms:modified xsi:type="dcterms:W3CDTF">2026-10-02T20:11:55.599Z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