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3B64" w14:textId="77777777" w:rsidR="00F00E9A" w:rsidRPr="00F00E9A" w:rsidRDefault="00F00E9A" w:rsidP="00F00E9A">
      <w:r w:rsidRPr="00F00E9A">
        <w:rPr>
          <w:b/>
          <w:bCs/>
        </w:rPr>
        <w:t>Chapter 2: Evolution of India’s Act East Policy (2014–2025)</w:t>
      </w:r>
    </w:p>
    <w:p w14:paraId="39943A01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2.1 Introduction</w:t>
      </w:r>
    </w:p>
    <w:p w14:paraId="06820791" w14:textId="77777777" w:rsidR="00F00E9A" w:rsidRPr="00F00E9A" w:rsidRDefault="00F00E9A" w:rsidP="00F00E9A">
      <w:pPr>
        <w:numPr>
          <w:ilvl w:val="0"/>
          <w:numId w:val="1"/>
        </w:numPr>
      </w:pPr>
      <w:r w:rsidRPr="00F00E9A">
        <w:t>Purpose of the chapter: to trace the diplomatic and geopolitical transformation of India’s eastern engagement from the Look East Policy (LEP) to the Act East Policy (AEP) between 2014 and 2025.</w:t>
      </w:r>
    </w:p>
    <w:p w14:paraId="4568F8ED" w14:textId="77777777" w:rsidR="00F00E9A" w:rsidRPr="00F00E9A" w:rsidRDefault="00F00E9A" w:rsidP="00F00E9A">
      <w:pPr>
        <w:numPr>
          <w:ilvl w:val="0"/>
          <w:numId w:val="1"/>
        </w:numPr>
      </w:pPr>
      <w:r w:rsidRPr="00F00E9A">
        <w:t>Linkage to the broader research problem: how the shift from economic outreach to strategic activism reshaped India’s regional posture and created the conditions for deeper maritime engagement.</w:t>
      </w:r>
    </w:p>
    <w:p w14:paraId="67227F3A" w14:textId="77777777" w:rsidR="00F00E9A" w:rsidRPr="00F00E9A" w:rsidRDefault="00F00E9A" w:rsidP="00F00E9A">
      <w:pPr>
        <w:numPr>
          <w:ilvl w:val="0"/>
          <w:numId w:val="1"/>
        </w:numPr>
      </w:pPr>
      <w:r w:rsidRPr="00F00E9A">
        <w:t>Chapter organisation and analytical approach.</w:t>
      </w:r>
    </w:p>
    <w:p w14:paraId="3177B9D3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2.2 From Look East to Act East: Conceptual and Political Transition</w:t>
      </w:r>
    </w:p>
    <w:p w14:paraId="5920A0C1" w14:textId="77777777" w:rsidR="00F00E9A" w:rsidRPr="00F00E9A" w:rsidRDefault="00F00E9A" w:rsidP="00F00E9A">
      <w:r w:rsidRPr="00F00E9A">
        <w:rPr>
          <w:b/>
          <w:bCs/>
        </w:rPr>
        <w:t>2.2.1 Limitations of the Look East Policy (1991–2014)</w:t>
      </w:r>
    </w:p>
    <w:p w14:paraId="53C3E26E" w14:textId="77777777" w:rsidR="00F00E9A" w:rsidRPr="00F00E9A" w:rsidRDefault="00F00E9A" w:rsidP="00F00E9A">
      <w:pPr>
        <w:numPr>
          <w:ilvl w:val="0"/>
          <w:numId w:val="2"/>
        </w:numPr>
      </w:pPr>
      <w:r w:rsidRPr="00F00E9A">
        <w:t>Engagement-based character, slow implementation, and criticism of strategic thinness.</w:t>
      </w:r>
    </w:p>
    <w:p w14:paraId="1CD27965" w14:textId="77777777" w:rsidR="00F00E9A" w:rsidRPr="00F00E9A" w:rsidRDefault="00F00E9A" w:rsidP="00F00E9A">
      <w:pPr>
        <w:numPr>
          <w:ilvl w:val="0"/>
          <w:numId w:val="2"/>
        </w:numPr>
      </w:pPr>
      <w:r w:rsidRPr="00F00E9A">
        <w:t>Economic and diplomatic achievements versus limited security and connectivity outcomes.</w:t>
      </w:r>
    </w:p>
    <w:p w14:paraId="5187CC97" w14:textId="77777777" w:rsidR="00F00E9A" w:rsidRPr="00F00E9A" w:rsidRDefault="00F00E9A" w:rsidP="00F00E9A">
      <w:pPr>
        <w:numPr>
          <w:ilvl w:val="0"/>
          <w:numId w:val="2"/>
        </w:numPr>
      </w:pPr>
      <w:r w:rsidRPr="00F00E9A">
        <w:t>Continuity of continental security preoccupations that constrained eastern activism.</w:t>
      </w:r>
    </w:p>
    <w:p w14:paraId="61C09FD6" w14:textId="77777777" w:rsidR="00F00E9A" w:rsidRPr="00F00E9A" w:rsidRDefault="00F00E9A" w:rsidP="00F00E9A">
      <w:r w:rsidRPr="00F00E9A">
        <w:rPr>
          <w:b/>
          <w:bCs/>
        </w:rPr>
        <w:t>2.2.2 Announcement and Political Framing of Act East (2014 onwards)</w:t>
      </w:r>
    </w:p>
    <w:p w14:paraId="35C0AC8F" w14:textId="77777777" w:rsidR="00F00E9A" w:rsidRPr="00F00E9A" w:rsidRDefault="00F00E9A" w:rsidP="00F00E9A">
      <w:pPr>
        <w:numPr>
          <w:ilvl w:val="0"/>
          <w:numId w:val="3"/>
        </w:numPr>
      </w:pPr>
      <w:r w:rsidRPr="00F00E9A">
        <w:t>Prime Minister Modi’s articulation of “Act East” as a qualitative upgrade.</w:t>
      </w:r>
    </w:p>
    <w:p w14:paraId="3BA8BF4B" w14:textId="77777777" w:rsidR="00F00E9A" w:rsidRPr="00F00E9A" w:rsidRDefault="00F00E9A" w:rsidP="00F00E9A">
      <w:pPr>
        <w:numPr>
          <w:ilvl w:val="0"/>
          <w:numId w:val="3"/>
        </w:numPr>
      </w:pPr>
      <w:r w:rsidRPr="00F00E9A">
        <w:t>Shift in language and intent: from passive “looking” to proactive “acting.”</w:t>
      </w:r>
    </w:p>
    <w:p w14:paraId="53BF75D0" w14:textId="77777777" w:rsidR="00F00E9A" w:rsidRPr="00F00E9A" w:rsidRDefault="00F00E9A" w:rsidP="00F00E9A">
      <w:pPr>
        <w:numPr>
          <w:ilvl w:val="0"/>
          <w:numId w:val="3"/>
        </w:numPr>
      </w:pPr>
      <w:r w:rsidRPr="00F00E9A">
        <w:t>Embedding of AEP within the larger foreign-policy narrative of a more assertive, multi-aligned India.</w:t>
      </w:r>
    </w:p>
    <w:p w14:paraId="73179708" w14:textId="77777777" w:rsidR="00F00E9A" w:rsidRPr="00F00E9A" w:rsidRDefault="00F00E9A" w:rsidP="00F00E9A">
      <w:r w:rsidRPr="00F00E9A">
        <w:rPr>
          <w:b/>
          <w:bCs/>
        </w:rPr>
        <w:t>2.2.3 Continuity and Change</w:t>
      </w:r>
    </w:p>
    <w:p w14:paraId="6B0A1261" w14:textId="77777777" w:rsidR="00F00E9A" w:rsidRPr="00F00E9A" w:rsidRDefault="00F00E9A" w:rsidP="00F00E9A">
      <w:pPr>
        <w:numPr>
          <w:ilvl w:val="0"/>
          <w:numId w:val="4"/>
        </w:numPr>
      </w:pPr>
      <w:r w:rsidRPr="00F00E9A">
        <w:t>Retention of ASEAN centrality and economic connectivity goals.</w:t>
      </w:r>
    </w:p>
    <w:p w14:paraId="7C6FF278" w14:textId="77777777" w:rsidR="00F00E9A" w:rsidRPr="00F00E9A" w:rsidRDefault="00F00E9A" w:rsidP="00F00E9A">
      <w:pPr>
        <w:numPr>
          <w:ilvl w:val="0"/>
          <w:numId w:val="4"/>
        </w:numPr>
      </w:pPr>
      <w:r w:rsidRPr="00F00E9A">
        <w:t>Expansion into strategic, defence, and institutional domains.</w:t>
      </w:r>
    </w:p>
    <w:p w14:paraId="6DB5E0B3" w14:textId="77777777" w:rsidR="00F00E9A" w:rsidRPr="00F00E9A" w:rsidRDefault="00F00E9A" w:rsidP="00F00E9A">
      <w:pPr>
        <w:numPr>
          <w:ilvl w:val="0"/>
          <w:numId w:val="4"/>
        </w:numPr>
      </w:pPr>
      <w:r w:rsidRPr="00F00E9A">
        <w:t>Gradual integration of the Indo-Pacific as the organising geographic frame.</w:t>
      </w:r>
    </w:p>
    <w:p w14:paraId="757A1DA6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2.3 Articulation of the Indo-Pacific Construct</w:t>
      </w:r>
    </w:p>
    <w:p w14:paraId="68D0556D" w14:textId="77777777" w:rsidR="00F00E9A" w:rsidRPr="00F00E9A" w:rsidRDefault="00F00E9A" w:rsidP="00F00E9A">
      <w:r w:rsidRPr="00F00E9A">
        <w:rPr>
          <w:b/>
          <w:bCs/>
        </w:rPr>
        <w:t>2.3.1 Intellectual and Official Adoption</w:t>
      </w:r>
    </w:p>
    <w:p w14:paraId="1B6A14A3" w14:textId="77777777" w:rsidR="00F00E9A" w:rsidRPr="00F00E9A" w:rsidRDefault="00F00E9A" w:rsidP="00F00E9A">
      <w:pPr>
        <w:numPr>
          <w:ilvl w:val="0"/>
          <w:numId w:val="5"/>
        </w:numPr>
      </w:pPr>
      <w:r w:rsidRPr="00F00E9A">
        <w:t>Evolution of the Indo-Pacific concept in Indian strategic discourse.</w:t>
      </w:r>
    </w:p>
    <w:p w14:paraId="4FA6631E" w14:textId="77777777" w:rsidR="00F00E9A" w:rsidRPr="00F00E9A" w:rsidRDefault="00F00E9A" w:rsidP="00F00E9A">
      <w:pPr>
        <w:numPr>
          <w:ilvl w:val="0"/>
          <w:numId w:val="5"/>
        </w:numPr>
      </w:pPr>
      <w:r w:rsidRPr="00F00E9A">
        <w:t>Official endorsement through MEA statements, Shangri-La Dialogue interventions, and policy documents.</w:t>
      </w:r>
    </w:p>
    <w:p w14:paraId="3D354EB0" w14:textId="77777777" w:rsidR="00F00E9A" w:rsidRPr="00F00E9A" w:rsidRDefault="00F00E9A" w:rsidP="00F00E9A">
      <w:pPr>
        <w:numPr>
          <w:ilvl w:val="0"/>
          <w:numId w:val="5"/>
        </w:numPr>
      </w:pPr>
      <w:r w:rsidRPr="00F00E9A">
        <w:lastRenderedPageBreak/>
        <w:t>Recognition of the interdependence of the Indian and Pacific Oceans.</w:t>
      </w:r>
    </w:p>
    <w:p w14:paraId="41189925" w14:textId="77777777" w:rsidR="00F00E9A" w:rsidRPr="00F00E9A" w:rsidRDefault="00F00E9A" w:rsidP="00F00E9A">
      <w:r w:rsidRPr="00F00E9A">
        <w:rPr>
          <w:b/>
          <w:bCs/>
        </w:rPr>
        <w:t>2.3.2 Strategic Logic</w:t>
      </w:r>
    </w:p>
    <w:p w14:paraId="67B7E6CC" w14:textId="77777777" w:rsidR="00F00E9A" w:rsidRPr="00F00E9A" w:rsidRDefault="00F00E9A" w:rsidP="00F00E9A">
      <w:pPr>
        <w:numPr>
          <w:ilvl w:val="0"/>
          <w:numId w:val="6"/>
        </w:numPr>
      </w:pPr>
      <w:r w:rsidRPr="00F00E9A">
        <w:t>Response to China’s expanding maritime and economic footprint.</w:t>
      </w:r>
    </w:p>
    <w:p w14:paraId="151E0F75" w14:textId="77777777" w:rsidR="00F00E9A" w:rsidRPr="00F00E9A" w:rsidRDefault="00F00E9A" w:rsidP="00F00E9A">
      <w:pPr>
        <w:numPr>
          <w:ilvl w:val="0"/>
          <w:numId w:val="6"/>
        </w:numPr>
      </w:pPr>
      <w:r w:rsidRPr="00F00E9A">
        <w:t>Linkage of continental, maritime, and economic security.</w:t>
      </w:r>
    </w:p>
    <w:p w14:paraId="3D43ABD5" w14:textId="77777777" w:rsidR="00F00E9A" w:rsidRPr="00F00E9A" w:rsidRDefault="00F00E9A" w:rsidP="00F00E9A">
      <w:pPr>
        <w:numPr>
          <w:ilvl w:val="0"/>
          <w:numId w:val="6"/>
        </w:numPr>
      </w:pPr>
      <w:r w:rsidRPr="00F00E9A">
        <w:t>Positioning of India as a resident and stabilising power in the wider region.</w:t>
      </w:r>
    </w:p>
    <w:p w14:paraId="6823EA49" w14:textId="77777777" w:rsidR="00F00E9A" w:rsidRPr="00F00E9A" w:rsidRDefault="00F00E9A" w:rsidP="00F00E9A">
      <w:r w:rsidRPr="00F00E9A">
        <w:rPr>
          <w:b/>
          <w:bCs/>
        </w:rPr>
        <w:t>2.3.3 Institutional Expression</w:t>
      </w:r>
    </w:p>
    <w:p w14:paraId="44DFDF8A" w14:textId="77777777" w:rsidR="00F00E9A" w:rsidRPr="00F00E9A" w:rsidRDefault="00F00E9A" w:rsidP="00F00E9A">
      <w:pPr>
        <w:numPr>
          <w:ilvl w:val="0"/>
          <w:numId w:val="7"/>
        </w:numPr>
      </w:pPr>
      <w:r w:rsidRPr="00F00E9A">
        <w:t>Indo-Pacific Oceans Initiative (IPOI, 2019): pillars of maritime security, marine resources, capacity building, and disaster risk reduction.</w:t>
      </w:r>
    </w:p>
    <w:p w14:paraId="5B8F95FC" w14:textId="77777777" w:rsidR="00F00E9A" w:rsidRPr="00F00E9A" w:rsidRDefault="00F00E9A" w:rsidP="00F00E9A">
      <w:pPr>
        <w:numPr>
          <w:ilvl w:val="0"/>
          <w:numId w:val="7"/>
        </w:numPr>
      </w:pPr>
      <w:r w:rsidRPr="00F00E9A">
        <w:t>Alignment of IPOI with broader AEP objectives.</w:t>
      </w:r>
    </w:p>
    <w:p w14:paraId="2E79D11F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2.4 ASEAN Engagement under Act East</w:t>
      </w:r>
    </w:p>
    <w:p w14:paraId="12584D4F" w14:textId="77777777" w:rsidR="00F00E9A" w:rsidRPr="00F00E9A" w:rsidRDefault="00F00E9A" w:rsidP="00F00E9A">
      <w:r w:rsidRPr="00F00E9A">
        <w:rPr>
          <w:b/>
          <w:bCs/>
        </w:rPr>
        <w:t>2.4.1 Deepening of Political and Diplomatic Ties</w:t>
      </w:r>
    </w:p>
    <w:p w14:paraId="609A8845" w14:textId="77777777" w:rsidR="00F00E9A" w:rsidRPr="00F00E9A" w:rsidRDefault="00F00E9A" w:rsidP="00F00E9A">
      <w:pPr>
        <w:numPr>
          <w:ilvl w:val="0"/>
          <w:numId w:val="8"/>
        </w:numPr>
      </w:pPr>
      <w:r w:rsidRPr="00F00E9A">
        <w:t>Elevation of the India–ASEAN relationship to a Strategic Partnership and subsequent upgrades.</w:t>
      </w:r>
    </w:p>
    <w:p w14:paraId="236A9E3A" w14:textId="77777777" w:rsidR="00F00E9A" w:rsidRPr="00F00E9A" w:rsidRDefault="00F00E9A" w:rsidP="00F00E9A">
      <w:pPr>
        <w:numPr>
          <w:ilvl w:val="0"/>
          <w:numId w:val="8"/>
        </w:numPr>
      </w:pPr>
      <w:r w:rsidRPr="00F00E9A">
        <w:t>Regular high-level summits, dialogue mechanisms, and Track 1.5/2 processes.</w:t>
      </w:r>
    </w:p>
    <w:p w14:paraId="4C44E4C5" w14:textId="77777777" w:rsidR="00F00E9A" w:rsidRPr="00F00E9A" w:rsidRDefault="00F00E9A" w:rsidP="00F00E9A">
      <w:pPr>
        <w:numPr>
          <w:ilvl w:val="0"/>
          <w:numId w:val="8"/>
        </w:numPr>
      </w:pPr>
      <w:r w:rsidRPr="00F00E9A">
        <w:t>India’s consistent support for ASEAN centrality amid competing regional architectures.</w:t>
      </w:r>
    </w:p>
    <w:p w14:paraId="0A094145" w14:textId="77777777" w:rsidR="00F00E9A" w:rsidRPr="00F00E9A" w:rsidRDefault="00F00E9A" w:rsidP="00F00E9A">
      <w:r w:rsidRPr="00F00E9A">
        <w:rPr>
          <w:b/>
          <w:bCs/>
        </w:rPr>
        <w:t>2.4.2 Economic and Trade Dimensions</w:t>
      </w:r>
    </w:p>
    <w:p w14:paraId="2019B688" w14:textId="77777777" w:rsidR="00F00E9A" w:rsidRPr="00F00E9A" w:rsidRDefault="00F00E9A" w:rsidP="00F00E9A">
      <w:pPr>
        <w:numPr>
          <w:ilvl w:val="0"/>
          <w:numId w:val="9"/>
        </w:numPr>
      </w:pPr>
      <w:r w:rsidRPr="00F00E9A">
        <w:t>Implementation and review of the ASEAN–India Free Trade Agreement.</w:t>
      </w:r>
    </w:p>
    <w:p w14:paraId="157C374E" w14:textId="77777777" w:rsidR="00F00E9A" w:rsidRPr="00F00E9A" w:rsidRDefault="00F00E9A" w:rsidP="00F00E9A">
      <w:pPr>
        <w:numPr>
          <w:ilvl w:val="0"/>
          <w:numId w:val="9"/>
        </w:numPr>
      </w:pPr>
      <w:r w:rsidRPr="00F00E9A">
        <w:t>Growth in bilateral trade, investment, and supply-chain linkages.</w:t>
      </w:r>
    </w:p>
    <w:p w14:paraId="59627224" w14:textId="77777777" w:rsidR="00F00E9A" w:rsidRPr="00F00E9A" w:rsidRDefault="00F00E9A" w:rsidP="00F00E9A">
      <w:pPr>
        <w:numPr>
          <w:ilvl w:val="0"/>
          <w:numId w:val="9"/>
        </w:numPr>
      </w:pPr>
      <w:r w:rsidRPr="00F00E9A">
        <w:t>Persistent challenges: trade imbalances, non-tariff barriers, and limited utilisation of preferential frameworks.</w:t>
      </w:r>
    </w:p>
    <w:p w14:paraId="30C1C1DF" w14:textId="77777777" w:rsidR="00F00E9A" w:rsidRPr="00F00E9A" w:rsidRDefault="00F00E9A" w:rsidP="00F00E9A">
      <w:r w:rsidRPr="00F00E9A">
        <w:rPr>
          <w:b/>
          <w:bCs/>
        </w:rPr>
        <w:t>2.4.3 Defence and Security Cooperation</w:t>
      </w:r>
    </w:p>
    <w:p w14:paraId="143745FB" w14:textId="77777777" w:rsidR="00F00E9A" w:rsidRPr="00F00E9A" w:rsidRDefault="00F00E9A" w:rsidP="00F00E9A">
      <w:pPr>
        <w:numPr>
          <w:ilvl w:val="0"/>
          <w:numId w:val="10"/>
        </w:numPr>
      </w:pPr>
      <w:r w:rsidRPr="00F00E9A">
        <w:t>Expansion of bilateral defence dialogues, joint exercises, and capacity-building programmes with individual ASEAN states.</w:t>
      </w:r>
    </w:p>
    <w:p w14:paraId="278469FA" w14:textId="77777777" w:rsidR="00F00E9A" w:rsidRPr="00F00E9A" w:rsidRDefault="00F00E9A" w:rsidP="00F00E9A">
      <w:pPr>
        <w:numPr>
          <w:ilvl w:val="0"/>
          <w:numId w:val="10"/>
        </w:numPr>
      </w:pPr>
      <w:r w:rsidRPr="00F00E9A">
        <w:t>Participation in ASEAN-led security forums (ADMM-Plus, ARF, Expanded ASEAN Maritime Forum).</w:t>
      </w:r>
    </w:p>
    <w:p w14:paraId="1DE273B7" w14:textId="77777777" w:rsidR="00F00E9A" w:rsidRPr="00F00E9A" w:rsidRDefault="00F00E9A" w:rsidP="00F00E9A">
      <w:pPr>
        <w:numPr>
          <w:ilvl w:val="0"/>
          <w:numId w:val="10"/>
        </w:numPr>
      </w:pPr>
      <w:r w:rsidRPr="00F00E9A">
        <w:t>Growing emphasis on maritime domain awareness, HADR, and non-traditional security threats.</w:t>
      </w:r>
    </w:p>
    <w:p w14:paraId="137DE96F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2.5 Connectivity Projects as Instruments of Act East</w:t>
      </w:r>
    </w:p>
    <w:p w14:paraId="6070F268" w14:textId="77777777" w:rsidR="00F00E9A" w:rsidRPr="00F00E9A" w:rsidRDefault="00F00E9A" w:rsidP="00F00E9A">
      <w:r w:rsidRPr="00F00E9A">
        <w:rPr>
          <w:b/>
          <w:bCs/>
        </w:rPr>
        <w:t>2.5.1 Land and Multi-Modal Corridors</w:t>
      </w:r>
    </w:p>
    <w:p w14:paraId="68106AA0" w14:textId="77777777" w:rsidR="00F00E9A" w:rsidRPr="00F00E9A" w:rsidRDefault="00F00E9A" w:rsidP="00F00E9A">
      <w:pPr>
        <w:numPr>
          <w:ilvl w:val="0"/>
          <w:numId w:val="11"/>
        </w:numPr>
      </w:pPr>
      <w:r w:rsidRPr="00F00E9A">
        <w:lastRenderedPageBreak/>
        <w:t>India–Myanmar–Thailand (IMT) Trilateral Highway: progress, bottlenecks, and strategic significance.</w:t>
      </w:r>
    </w:p>
    <w:p w14:paraId="58D77D13" w14:textId="77777777" w:rsidR="00F00E9A" w:rsidRPr="00F00E9A" w:rsidRDefault="00F00E9A" w:rsidP="00F00E9A">
      <w:pPr>
        <w:numPr>
          <w:ilvl w:val="0"/>
          <w:numId w:val="11"/>
        </w:numPr>
      </w:pPr>
      <w:r w:rsidRPr="00F00E9A">
        <w:t>Kaladan Multi-Modal Transit Transport Project: rationale, implementation status, and geopolitical implications for the Northeast and Bay of Bengal.</w:t>
      </w:r>
    </w:p>
    <w:p w14:paraId="5DE632E5" w14:textId="77777777" w:rsidR="00F00E9A" w:rsidRPr="00F00E9A" w:rsidRDefault="00F00E9A" w:rsidP="00F00E9A">
      <w:pPr>
        <w:numPr>
          <w:ilvl w:val="0"/>
          <w:numId w:val="11"/>
        </w:numPr>
      </w:pPr>
      <w:r w:rsidRPr="00F00E9A">
        <w:t>Other initiatives: Rhi–Tiddim road, border infrastructure, and inland waterways.</w:t>
      </w:r>
    </w:p>
    <w:p w14:paraId="633B51BB" w14:textId="77777777" w:rsidR="00F00E9A" w:rsidRPr="00F00E9A" w:rsidRDefault="00F00E9A" w:rsidP="00F00E9A">
      <w:r w:rsidRPr="00F00E9A">
        <w:rPr>
          <w:b/>
          <w:bCs/>
        </w:rPr>
        <w:t>2.5.2 Maritime and Port Connectivity</w:t>
      </w:r>
    </w:p>
    <w:p w14:paraId="75BB6B44" w14:textId="77777777" w:rsidR="00F00E9A" w:rsidRPr="00F00E9A" w:rsidRDefault="00F00E9A" w:rsidP="00F00E9A">
      <w:pPr>
        <w:numPr>
          <w:ilvl w:val="0"/>
          <w:numId w:val="12"/>
        </w:numPr>
      </w:pPr>
      <w:r w:rsidRPr="00F00E9A">
        <w:t>Development of coastal shipping, port modernisation, and linkages with ASEAN ports.</w:t>
      </w:r>
    </w:p>
    <w:p w14:paraId="320F04F8" w14:textId="77777777" w:rsidR="00F00E9A" w:rsidRPr="00F00E9A" w:rsidRDefault="00F00E9A" w:rsidP="00F00E9A">
      <w:pPr>
        <w:numPr>
          <w:ilvl w:val="0"/>
          <w:numId w:val="12"/>
        </w:numPr>
      </w:pPr>
      <w:r w:rsidRPr="00F00E9A">
        <w:t>Integration of connectivity projects with Sagarmala and blue-economy objectives.</w:t>
      </w:r>
    </w:p>
    <w:p w14:paraId="053E5BEA" w14:textId="77777777" w:rsidR="00F00E9A" w:rsidRPr="00F00E9A" w:rsidRDefault="00F00E9A" w:rsidP="00F00E9A">
      <w:pPr>
        <w:numPr>
          <w:ilvl w:val="0"/>
          <w:numId w:val="12"/>
        </w:numPr>
      </w:pPr>
      <w:r w:rsidRPr="00F00E9A">
        <w:t>Soft connectivity: digital, people-to-people, and educational exchanges.</w:t>
      </w:r>
    </w:p>
    <w:p w14:paraId="4458CDDD" w14:textId="77777777" w:rsidR="00F00E9A" w:rsidRPr="00F00E9A" w:rsidRDefault="00F00E9A" w:rsidP="00F00E9A">
      <w:r w:rsidRPr="00F00E9A">
        <w:rPr>
          <w:b/>
          <w:bCs/>
        </w:rPr>
        <w:t>2.5.3 Implementation Challenges</w:t>
      </w:r>
    </w:p>
    <w:p w14:paraId="1DDE776C" w14:textId="77777777" w:rsidR="00F00E9A" w:rsidRPr="00F00E9A" w:rsidRDefault="00F00E9A" w:rsidP="00F00E9A">
      <w:pPr>
        <w:numPr>
          <w:ilvl w:val="0"/>
          <w:numId w:val="13"/>
        </w:numPr>
      </w:pPr>
      <w:r w:rsidRPr="00F00E9A">
        <w:t>Land acquisition, environmental clearances, security issues in Northeast and Myanmar, and coordination deficits between central and state agencies.</w:t>
      </w:r>
    </w:p>
    <w:p w14:paraId="7A981F6E" w14:textId="77777777" w:rsidR="00F00E9A" w:rsidRPr="00F00E9A" w:rsidRDefault="00F00E9A" w:rsidP="00F00E9A">
      <w:pPr>
        <w:numPr>
          <w:ilvl w:val="0"/>
          <w:numId w:val="13"/>
        </w:numPr>
      </w:pPr>
      <w:r w:rsidRPr="00F00E9A">
        <w:t>Comparison of Indian project delivery timelines with Chinese BRI infrastructure in the same theatre.</w:t>
      </w:r>
    </w:p>
    <w:p w14:paraId="38FABDD1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2.6 Strategic Convergence with the Quad and Minilateralism</w:t>
      </w:r>
    </w:p>
    <w:p w14:paraId="0650C256" w14:textId="77777777" w:rsidR="00F00E9A" w:rsidRPr="00F00E9A" w:rsidRDefault="00F00E9A" w:rsidP="00F00E9A">
      <w:r w:rsidRPr="00F00E9A">
        <w:rPr>
          <w:b/>
          <w:bCs/>
        </w:rPr>
        <w:t>2.6.1 Revival and Institutionalisation of the Quad</w:t>
      </w:r>
    </w:p>
    <w:p w14:paraId="633C14B0" w14:textId="77777777" w:rsidR="00F00E9A" w:rsidRPr="00F00E9A" w:rsidRDefault="00F00E9A" w:rsidP="00F00E9A">
      <w:pPr>
        <w:numPr>
          <w:ilvl w:val="0"/>
          <w:numId w:val="14"/>
        </w:numPr>
      </w:pPr>
      <w:r w:rsidRPr="00F00E9A">
        <w:t>Evolution from 2007 dialogue to post-2017 revival and elevation to summit level.</w:t>
      </w:r>
    </w:p>
    <w:p w14:paraId="12F28DAA" w14:textId="77777777" w:rsidR="00F00E9A" w:rsidRPr="00F00E9A" w:rsidRDefault="00F00E9A" w:rsidP="00F00E9A">
      <w:pPr>
        <w:numPr>
          <w:ilvl w:val="0"/>
          <w:numId w:val="14"/>
        </w:numPr>
      </w:pPr>
      <w:r w:rsidRPr="00F00E9A">
        <w:t>Functional working groups on maritime security, critical technologies, climate, health, and infrastructure.</w:t>
      </w:r>
    </w:p>
    <w:p w14:paraId="7E31718B" w14:textId="77777777" w:rsidR="00F00E9A" w:rsidRPr="00F00E9A" w:rsidRDefault="00F00E9A" w:rsidP="00F00E9A">
      <w:pPr>
        <w:numPr>
          <w:ilvl w:val="0"/>
          <w:numId w:val="14"/>
        </w:numPr>
      </w:pPr>
      <w:r w:rsidRPr="00F00E9A">
        <w:t>India’s calibrated participation: balancing deeper engagement with the logic of strategic autonomy.</w:t>
      </w:r>
    </w:p>
    <w:p w14:paraId="49DDE9F1" w14:textId="77777777" w:rsidR="00F00E9A" w:rsidRPr="00F00E9A" w:rsidRDefault="00F00E9A" w:rsidP="00F00E9A">
      <w:r w:rsidRPr="00F00E9A">
        <w:rPr>
          <w:b/>
          <w:bCs/>
        </w:rPr>
        <w:t>2.6.2 Complementary Minilateral and Bilateral Partnerships</w:t>
      </w:r>
    </w:p>
    <w:p w14:paraId="6164938C" w14:textId="77777777" w:rsidR="00F00E9A" w:rsidRPr="00F00E9A" w:rsidRDefault="00F00E9A" w:rsidP="00F00E9A">
      <w:pPr>
        <w:numPr>
          <w:ilvl w:val="0"/>
          <w:numId w:val="15"/>
        </w:numPr>
      </w:pPr>
      <w:r w:rsidRPr="00F00E9A">
        <w:t>Deepening of ties with Japan (economic and infrastructure cooperation, maritime security).</w:t>
      </w:r>
    </w:p>
    <w:p w14:paraId="6A7D4942" w14:textId="77777777" w:rsidR="00F00E9A" w:rsidRPr="00F00E9A" w:rsidRDefault="00F00E9A" w:rsidP="00F00E9A">
      <w:pPr>
        <w:numPr>
          <w:ilvl w:val="0"/>
          <w:numId w:val="15"/>
        </w:numPr>
      </w:pPr>
      <w:r w:rsidRPr="00F00E9A">
        <w:t>Australia–India Comprehensive Strategic Partnership and naval cooperation.</w:t>
      </w:r>
    </w:p>
    <w:p w14:paraId="63705C4A" w14:textId="77777777" w:rsidR="00F00E9A" w:rsidRPr="00F00E9A" w:rsidRDefault="00F00E9A" w:rsidP="00F00E9A">
      <w:pPr>
        <w:numPr>
          <w:ilvl w:val="0"/>
          <w:numId w:val="15"/>
        </w:numPr>
      </w:pPr>
      <w:r w:rsidRPr="00F00E9A">
        <w:t>Growing engagement with the United States through logistics, communications, and information-sharing agreements (LEMOA, COMCASA, BECA) as enablers of AEP.</w:t>
      </w:r>
    </w:p>
    <w:p w14:paraId="689171A0" w14:textId="77777777" w:rsidR="00F00E9A" w:rsidRPr="00F00E9A" w:rsidRDefault="00F00E9A" w:rsidP="00F00E9A">
      <w:r w:rsidRPr="00F00E9A">
        <w:rPr>
          <w:b/>
          <w:bCs/>
        </w:rPr>
        <w:t>2.6.3 Balancing Act</w:t>
      </w:r>
    </w:p>
    <w:p w14:paraId="2EC0F2CC" w14:textId="77777777" w:rsidR="00F00E9A" w:rsidRPr="00F00E9A" w:rsidRDefault="00F00E9A" w:rsidP="00F00E9A">
      <w:pPr>
        <w:numPr>
          <w:ilvl w:val="0"/>
          <w:numId w:val="16"/>
        </w:numPr>
      </w:pPr>
      <w:r w:rsidRPr="00F00E9A">
        <w:t>Management of China factor without formal alliance commitments.</w:t>
      </w:r>
    </w:p>
    <w:p w14:paraId="3B2F56A0" w14:textId="77777777" w:rsidR="00F00E9A" w:rsidRPr="00F00E9A" w:rsidRDefault="00F00E9A" w:rsidP="00F00E9A">
      <w:pPr>
        <w:numPr>
          <w:ilvl w:val="0"/>
          <w:numId w:val="16"/>
        </w:numPr>
      </w:pPr>
      <w:r w:rsidRPr="00F00E9A">
        <w:lastRenderedPageBreak/>
        <w:t>Use of minilateral platforms to enhance maritime presence and diplomatic leverage while preserving ASEAN centrality and non-alignment instincts.</w:t>
      </w:r>
    </w:p>
    <w:p w14:paraId="221AFBCA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2.7 Domestic Drivers and Institutional Adaptation</w:t>
      </w:r>
    </w:p>
    <w:p w14:paraId="003A28B0" w14:textId="77777777" w:rsidR="00F00E9A" w:rsidRPr="00F00E9A" w:rsidRDefault="00F00E9A" w:rsidP="00F00E9A">
      <w:pPr>
        <w:numPr>
          <w:ilvl w:val="0"/>
          <w:numId w:val="17"/>
        </w:numPr>
      </w:pPr>
      <w:r w:rsidRPr="00F00E9A">
        <w:t>Role of the Ministry of External Affairs, Ministry of Defence, and inter-ministerial coordination mechanisms.</w:t>
      </w:r>
    </w:p>
    <w:p w14:paraId="5237932C" w14:textId="77777777" w:rsidR="00F00E9A" w:rsidRPr="00F00E9A" w:rsidRDefault="00F00E9A" w:rsidP="00F00E9A">
      <w:pPr>
        <w:numPr>
          <w:ilvl w:val="0"/>
          <w:numId w:val="17"/>
        </w:numPr>
      </w:pPr>
      <w:r w:rsidRPr="00F00E9A">
        <w:t>Integration of AEP with domestic developmental agendas (Northeast development, Sagarmala, Maritime India Vision 2030).</w:t>
      </w:r>
    </w:p>
    <w:p w14:paraId="3915D168" w14:textId="77777777" w:rsidR="00F00E9A" w:rsidRPr="00F00E9A" w:rsidRDefault="00F00E9A" w:rsidP="00F00E9A">
      <w:pPr>
        <w:numPr>
          <w:ilvl w:val="0"/>
          <w:numId w:val="17"/>
        </w:numPr>
      </w:pPr>
      <w:r w:rsidRPr="00F00E9A">
        <w:t>Evolution of bureaucratic capacity and strategic culture to support more proactive eastern engagement.</w:t>
      </w:r>
    </w:p>
    <w:p w14:paraId="150F6384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2.8 Critical Assessment of Progress and Limitations (2014–2025)</w:t>
      </w:r>
    </w:p>
    <w:p w14:paraId="0A69858A" w14:textId="77777777" w:rsidR="00F00E9A" w:rsidRPr="00F00E9A" w:rsidRDefault="00F00E9A" w:rsidP="00F00E9A">
      <w:pPr>
        <w:numPr>
          <w:ilvl w:val="0"/>
          <w:numId w:val="18"/>
        </w:numPr>
      </w:pPr>
      <w:r w:rsidRPr="00F00E9A">
        <w:t>Measurable gains: elevated diplomatic profile, expanded defence cooperation, improved connectivity planning, and clearer Indo-Pacific articulation.</w:t>
      </w:r>
    </w:p>
    <w:p w14:paraId="0D34B6A8" w14:textId="77777777" w:rsidR="00F00E9A" w:rsidRPr="00F00E9A" w:rsidRDefault="00F00E9A" w:rsidP="00F00E9A">
      <w:pPr>
        <w:numPr>
          <w:ilvl w:val="0"/>
          <w:numId w:val="18"/>
        </w:numPr>
      </w:pPr>
      <w:r w:rsidRPr="00F00E9A">
        <w:t>Persistent gaps: slow project implementation, resource constraints, bureaucratic fragmentation, and the continuing primacy of continental security concerns.</w:t>
      </w:r>
    </w:p>
    <w:p w14:paraId="3A50155C" w14:textId="77777777" w:rsidR="00F00E9A" w:rsidRPr="00F00E9A" w:rsidRDefault="00F00E9A" w:rsidP="00F00E9A">
      <w:pPr>
        <w:numPr>
          <w:ilvl w:val="0"/>
          <w:numId w:val="18"/>
        </w:numPr>
      </w:pPr>
      <w:r w:rsidRPr="00F00E9A">
        <w:t>Debate on the depth of transformation: substantive strategic shift versus rhetorical escalation within a framework of cautious hedging.</w:t>
      </w:r>
    </w:p>
    <w:p w14:paraId="2D504B75" w14:textId="77777777" w:rsidR="00F00E9A" w:rsidRPr="00F00E9A" w:rsidRDefault="00F00E9A" w:rsidP="00F00E9A">
      <w:pPr>
        <w:rPr>
          <w:b/>
          <w:bCs/>
        </w:rPr>
      </w:pPr>
      <w:r w:rsidRPr="00F00E9A">
        <w:rPr>
          <w:b/>
          <w:bCs/>
        </w:rPr>
        <w:t>2.9 Conclusion</w:t>
      </w:r>
    </w:p>
    <w:p w14:paraId="7C6B8398" w14:textId="77777777" w:rsidR="00F00E9A" w:rsidRPr="00F00E9A" w:rsidRDefault="00F00E9A" w:rsidP="00F00E9A">
      <w:pPr>
        <w:numPr>
          <w:ilvl w:val="0"/>
          <w:numId w:val="19"/>
        </w:numPr>
      </w:pPr>
      <w:r w:rsidRPr="00F00E9A">
        <w:t>Summary of the evolutionary trajectory from LEP to a more comprehensive AEP.</w:t>
      </w:r>
    </w:p>
    <w:p w14:paraId="43A451FC" w14:textId="77777777" w:rsidR="00F00E9A" w:rsidRPr="00F00E9A" w:rsidRDefault="00F00E9A" w:rsidP="00F00E9A">
      <w:pPr>
        <w:numPr>
          <w:ilvl w:val="0"/>
          <w:numId w:val="19"/>
        </w:numPr>
      </w:pPr>
      <w:r w:rsidRPr="00F00E9A">
        <w:t>Identification of the key diplomatic and geopolitical shifts that created the enabling environment for India’s maritime strategy.</w:t>
      </w:r>
    </w:p>
    <w:p w14:paraId="11E9FC74" w14:textId="77777777" w:rsidR="00F00E9A" w:rsidRPr="00F00E9A" w:rsidRDefault="00F00E9A" w:rsidP="00F00E9A">
      <w:pPr>
        <w:numPr>
          <w:ilvl w:val="0"/>
          <w:numId w:val="19"/>
        </w:numPr>
      </w:pPr>
      <w:r w:rsidRPr="00F00E9A">
        <w:t>Bridge to Chapter 3: how the transformed Act East framework intersected with, and was operationalised through, India’s maritime doctrine and strategic vision.</w:t>
      </w:r>
    </w:p>
    <w:p w14:paraId="2659C8FC" w14:textId="77777777" w:rsidR="00D23BB2" w:rsidRDefault="00D23BB2"/>
    <w:sectPr w:rsidR="00D2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764"/>
    <w:multiLevelType w:val="multilevel"/>
    <w:tmpl w:val="4AF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D8D"/>
    <w:multiLevelType w:val="multilevel"/>
    <w:tmpl w:val="1CA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B3B7A"/>
    <w:multiLevelType w:val="multilevel"/>
    <w:tmpl w:val="F8B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7A48"/>
    <w:multiLevelType w:val="multilevel"/>
    <w:tmpl w:val="DAC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7B0F"/>
    <w:multiLevelType w:val="multilevel"/>
    <w:tmpl w:val="6A9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E2030"/>
    <w:multiLevelType w:val="multilevel"/>
    <w:tmpl w:val="060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05ED3"/>
    <w:multiLevelType w:val="multilevel"/>
    <w:tmpl w:val="2E5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F2075"/>
    <w:multiLevelType w:val="multilevel"/>
    <w:tmpl w:val="D88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6312"/>
    <w:multiLevelType w:val="multilevel"/>
    <w:tmpl w:val="E69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C7695"/>
    <w:multiLevelType w:val="multilevel"/>
    <w:tmpl w:val="2A7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948FD"/>
    <w:multiLevelType w:val="multilevel"/>
    <w:tmpl w:val="89F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25245"/>
    <w:multiLevelType w:val="multilevel"/>
    <w:tmpl w:val="AAF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120E"/>
    <w:multiLevelType w:val="multilevel"/>
    <w:tmpl w:val="BFB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83C86"/>
    <w:multiLevelType w:val="multilevel"/>
    <w:tmpl w:val="59D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D742C"/>
    <w:multiLevelType w:val="multilevel"/>
    <w:tmpl w:val="1A0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E6A8D"/>
    <w:multiLevelType w:val="multilevel"/>
    <w:tmpl w:val="FAB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94C1A"/>
    <w:multiLevelType w:val="multilevel"/>
    <w:tmpl w:val="928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B510B"/>
    <w:multiLevelType w:val="multilevel"/>
    <w:tmpl w:val="A2B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940C2"/>
    <w:multiLevelType w:val="multilevel"/>
    <w:tmpl w:val="46C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88871">
    <w:abstractNumId w:val="7"/>
  </w:num>
  <w:num w:numId="2" w16cid:durableId="1388606254">
    <w:abstractNumId w:val="10"/>
  </w:num>
  <w:num w:numId="3" w16cid:durableId="827282307">
    <w:abstractNumId w:val="14"/>
  </w:num>
  <w:num w:numId="4" w16cid:durableId="155150981">
    <w:abstractNumId w:val="1"/>
  </w:num>
  <w:num w:numId="5" w16cid:durableId="2103337427">
    <w:abstractNumId w:val="6"/>
  </w:num>
  <w:num w:numId="6" w16cid:durableId="1095905208">
    <w:abstractNumId w:val="2"/>
  </w:num>
  <w:num w:numId="7" w16cid:durableId="1347633280">
    <w:abstractNumId w:val="16"/>
  </w:num>
  <w:num w:numId="8" w16cid:durableId="1149520088">
    <w:abstractNumId w:val="9"/>
  </w:num>
  <w:num w:numId="9" w16cid:durableId="1245266518">
    <w:abstractNumId w:val="8"/>
  </w:num>
  <w:num w:numId="10" w16cid:durableId="1605528928">
    <w:abstractNumId w:val="5"/>
  </w:num>
  <w:num w:numId="11" w16cid:durableId="1644232914">
    <w:abstractNumId w:val="11"/>
  </w:num>
  <w:num w:numId="12" w16cid:durableId="519515017">
    <w:abstractNumId w:val="3"/>
  </w:num>
  <w:num w:numId="13" w16cid:durableId="410469867">
    <w:abstractNumId w:val="13"/>
  </w:num>
  <w:num w:numId="14" w16cid:durableId="1475831900">
    <w:abstractNumId w:val="18"/>
  </w:num>
  <w:num w:numId="15" w16cid:durableId="361830624">
    <w:abstractNumId w:val="12"/>
  </w:num>
  <w:num w:numId="16" w16cid:durableId="426391058">
    <w:abstractNumId w:val="0"/>
  </w:num>
  <w:num w:numId="17" w16cid:durableId="682903219">
    <w:abstractNumId w:val="4"/>
  </w:num>
  <w:num w:numId="18" w16cid:durableId="1710255908">
    <w:abstractNumId w:val="15"/>
  </w:num>
  <w:num w:numId="19" w16cid:durableId="10448631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9A"/>
    <w:rsid w:val="001A6989"/>
    <w:rsid w:val="0075779D"/>
    <w:rsid w:val="00B85695"/>
    <w:rsid w:val="00CC4708"/>
    <w:rsid w:val="00D23BB2"/>
    <w:rsid w:val="00F00E9A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D156"/>
  <w15:chartTrackingRefBased/>
  <w15:docId w15:val="{896DE001-1853-4268-9F9C-1ED495C4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695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6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8569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2026-08-05T15:44:00Z</dcterms:created>
  <dcterms:modified xsi:type="dcterms:W3CDTF">2026-08-05T15:44:00Z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bc2b8e55-cdde-404b-8e21-bfe43e55fa3d</vt:lpwstr>
  </property>
</Properties>
</file>