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104F6" w14:textId="43D09A78" w:rsidR="00142AEF" w:rsidRPr="00142AEF" w:rsidRDefault="00142AEF" w:rsidP="00142AEF">
      <w:pPr>
        <w:ind w:left="720" w:hanging="360"/>
        <w:jc w:val="center"/>
        <w:rPr>
          <w:rFonts w:ascii="Times New Roman" w:hAnsi="Times New Roman" w:cs="Times New Roman"/>
        </w:rPr>
      </w:pPr>
      <w:r w:rsidRPr="00142AEF">
        <w:rPr>
          <w:rFonts w:ascii="Times New Roman" w:hAnsi="Times New Roman" w:cs="Times New Roman"/>
        </w:rPr>
        <w:t>REFERENCES</w:t>
      </w:r>
    </w:p>
    <w:p w14:paraId="516C5CAF"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Ministry of Health and Family Welfare. National Program for Health Care of the Elderly (NPHCE): Operational Guidelines. New Delhi: Directorate General of Health Services, Government of India; 2011. Available from: https://nphce.nhp.gov.in/wp-content/uploads/2019/06/Operational_Guidelines_for_NPHCE_under_NHM_2010.pdf</w:t>
      </w:r>
    </w:p>
    <w:p w14:paraId="5790F223"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Ministry of Statistics and Programme Implementation. Elderly in India 2016. New Delhi: Government of India; 2016. Available from: http://mospi.nic.in/sites/default/files/publication_reports/ElderlyinIndia_2016.pdf</w:t>
      </w:r>
    </w:p>
    <w:p w14:paraId="7094C093"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Ministry of Health and Family Welfare. National Programme for Health Care of the Elderly (NPHCE). Available from: https://main.mohfw.gov.in/organisation/Departments-of-Health-and-Family-Welfare/national-programme-health-care-elderly-nphce</w:t>
      </w:r>
    </w:p>
    <w:p w14:paraId="20C2D370"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Institute for Social and Economic Change. The National Policy for Older Persons: Critical Issues in Implementation. Bangalore: ISEC; [cited 2025 Nov 5]. Available from: http://www.isec.ac.in/BKPAI%20Working%20paper%205.pdf</w:t>
      </w:r>
    </w:p>
    <w:p w14:paraId="51DE6932"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Ministry of Health and Family Welfare. Training Manual for Nurses: National Programme for Health Care of Elderly (NPHCE). New Delhi: Government of India; [cited 2025 Nov 5]. Available from: https://main.mohfw.gov.in/organisation/Departments-of-Health-and-Family-Welfare/national-programme-health-care-elderly-nphce</w:t>
      </w:r>
    </w:p>
    <w:p w14:paraId="49139C1F"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Kanji N, White A, Ernst E. Autogenic training to reduce anxiety in nursing students: randomized controlled trial. J Adv Nurs. 2006;53(6):729–35. doi:10.1111/j.1365-2648.2006.03779.x.</w:t>
      </w:r>
    </w:p>
    <w:p w14:paraId="474D5C53"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Stetter F, Kupper S. Autogenic training: a meta-analysis of clinical outcome studies. Appl Psychophysiol Biofeedback. 2002;27(1):45–98. doi:10.1023/A:10145765052.</w:t>
      </w:r>
    </w:p>
    <w:p w14:paraId="71B6595F"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Luthe W. About the methods of autogenic therapy. In: Peper E, Ancoli S, Quinn M, editors. Mind/Body Integration: Essential Readings in Biofeedback. Boston (MA): Springer US; 1979. p. 167–86.</w:t>
      </w:r>
    </w:p>
    <w:p w14:paraId="4E0F68A4"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Abuín MR. Terapia autógena: técnicas, fundamentos, aplicaciones en la salud y clínica y apoyo empírico. Clín Salud. 2016;27(3):133–45. doi:10.1016/j.clysa.2016.09.004.</w:t>
      </w:r>
    </w:p>
    <w:p w14:paraId="47E699FE"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Benson H, Proctor W. Relaxation Revolution. New York (NY): Scribner; 2010.</w:t>
      </w:r>
    </w:p>
    <w:p w14:paraId="6394A11F" w14:textId="77777777" w:rsidR="00FE7E0E" w:rsidRPr="00142AEF" w:rsidRDefault="00FE7E0E" w:rsidP="006311E1">
      <w:pPr>
        <w:pStyle w:val="ListParagraph"/>
        <w:numPr>
          <w:ilvl w:val="0"/>
          <w:numId w:val="1"/>
        </w:numPr>
        <w:jc w:val="both"/>
        <w:rPr>
          <w:rFonts w:ascii="Times New Roman" w:hAnsi="Times New Roman" w:cs="Times New Roman"/>
        </w:rPr>
      </w:pPr>
      <w:r w:rsidRPr="00142AEF">
        <w:rPr>
          <w:rFonts w:ascii="Times New Roman" w:hAnsi="Times New Roman" w:cs="Times New Roman"/>
        </w:rPr>
        <w:t>Asbury EA, Kanji N, Ernst E, Barbir M, Collins P. Autogenic training to manage symptomology in women with chest pain and normal coronary arteries. Menopause. 2009;16(1):60–5. doi:10.1097/gme.0b013e318184762e.</w:t>
      </w:r>
    </w:p>
    <w:p w14:paraId="15E31FF2" w14:textId="0E5FDDCC" w:rsidR="00FE7E0E" w:rsidRPr="00142AEF" w:rsidRDefault="00FE7E0E"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Ajimsha MS, Majeed NA, Chinnavan E, Thulasyammal RP. Effectiveness of autogenic training in improving motor performances in Parkinson’s disease. Complement Ther Med. 2014;22(3):419–25. doi:10.1016/j.ctim.2014.03.013.</w:t>
      </w:r>
    </w:p>
    <w:p w14:paraId="3D72AF43" w14:textId="77777777" w:rsidR="00FE7E0E" w:rsidRPr="00142AEF" w:rsidRDefault="00FE7E0E"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Rakel D, Rindfleisch A, Gudate T. The whole health process. In: Rakel D, editor. Integrative Medicine. 4th ed. Philadelphia (PA): Elsevier; 2018. p. 27–.</w:t>
      </w:r>
    </w:p>
    <w:p w14:paraId="518C87A0" w14:textId="77777777" w:rsidR="00FE7E0E" w:rsidRPr="00142AEF" w:rsidRDefault="00FE7E0E"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Kohlert A, Wick K, Rosendahl J. Autogenic training for reducing chronic pain: a systematic review and meta-analysis of randomized controlled trials. Int J Behav Med. 2021;28(5):555–68. doi:10.1007/S12529-021-10038-6.</w:t>
      </w:r>
    </w:p>
    <w:p w14:paraId="71975C5D" w14:textId="77777777" w:rsidR="00FE7E0E" w:rsidRPr="00142AEF" w:rsidRDefault="00FE7E0E"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lastRenderedPageBreak/>
        <w:t>Ramirez-Garcia MP, Leclerc-Loiselle J, Genest C, Lussier R, Dehghan G. Effectiveness of autogenic training on psychological well-being and quality of life in adults living with chronic physical health problems: a protocol for a systematic review of RCTs. Syst Rev. 2020;9(1):287. doi:10.1186/S13643-020-01336-3.</w:t>
      </w:r>
    </w:p>
    <w:p w14:paraId="619AB7DB" w14:textId="01A9BF2B" w:rsidR="008A4B91" w:rsidRPr="00142AEF" w:rsidRDefault="00FE7E0E"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Cleutjens FAHM, Boonen A, van Onna M. Geriatric syndromes in patients with rheumatoid arthritis: a literature overview. Clin Exp Rheumatol. 2019;37(3):496–501.</w:t>
      </w:r>
    </w:p>
    <w:p w14:paraId="4B415E11"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lKuwaity KW, Mohammad TN, Hussain MA, Alkhanani AN, Bakr Ali AM. Prevalence and determinant factors of osteoarthritis of the knee joint among elderly in Arar, KSA. Egypt J Hosp Med. 2018;72(9):5173–7.</w:t>
      </w:r>
    </w:p>
    <w:p w14:paraId="320F77CF"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Anderson AS, Loeser RF. Why is osteoarthritis an age-related disease? Best Pract Res Clin Rheumatol. 2010;24:15–26.</w:t>
      </w:r>
    </w:p>
    <w:p w14:paraId="7E34AD85"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Arnold CM, Faulkner RA. The effect of aquatic exercise and education on lowering fall risk in older adults with hip osteoarthritis. J Aging Phys Act. 2010;18:245–60.</w:t>
      </w:r>
    </w:p>
    <w:p w14:paraId="647ACDED"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Bennell KL, Egerton T, Martin J, Abbott H, Metcalf B, McManus F, Sims K, Pua YH, Wrigley TV, Forbes A, Smith C, Harris A, Buchbinder R. Effect of physical therapy on pain and function in patients with hip osteoarthritis: a randomized clinical trial. JAMA. 2014;311(19):1987–97.</w:t>
      </w:r>
    </w:p>
    <w:p w14:paraId="2BC19670"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Bhatia D, Bejarano T, Novo M. Current interventions in the management of knee osteoarthritis. J Pharm Bioallied Sci. 2013;5(1):30–8.</w:t>
      </w:r>
    </w:p>
    <w:p w14:paraId="75A4B5A3" w14:textId="77777777" w:rsid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Chen H, Zheng X, Huang H, Liu C, Wan Q, Shang S. The effects of a home-based exercise intervention on elderly patients with knee osteoarthritis: a quasi-experimental study. BMC Musculoskelet Disord. 2019;20:160.</w:t>
      </w:r>
    </w:p>
    <w:p w14:paraId="5988624F" w14:textId="1F17F87E"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Wang C, Schmid CH, Hibberd PL, Kalish R, Roubenoff R, Rones R, McAlindon T. Tai Chi is effective in treating knee osteoarthritis: a randomized controlled trial. Osteoarthritis Cartilage. 2008;16(3):230–8. doi:10.1016/S1063-4584(08)60092-8.</w:t>
      </w:r>
    </w:p>
    <w:p w14:paraId="64779D74" w14:textId="77777777" w:rsid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Chodzko-Zajko WJ, Proctor DN, Fiatarone Singh MA, Minson CT, Nigg CR, et al. Exercise and physical activity for older adults. Med Sci Sports Exerc. 2009;41(7):1510–30.</w:t>
      </w:r>
    </w:p>
    <w:p w14:paraId="62D2383D" w14:textId="731E177A"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Chopra A, Patil J, Bilampelly V, et al. Prevalence of rheumatic disease in rural population in Western India: a WHO-ILARCOPCORD study. J Assoc Physicians India. 2001;49:240–6.</w:t>
      </w:r>
    </w:p>
    <w:p w14:paraId="4B4BCB55"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Ciolac EG, Greve JM. Muscle strength and exercise intensity adaptation to resistance training in older women with knee osteoarthritis and total knee arthroplasty. Clinics (Sao Paulo). 2011;66(12):2079–84.</w:t>
      </w:r>
    </w:p>
    <w:p w14:paraId="46F6F294"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Ciolac EG, Brech GC, Greve JM. Age does not affect exercise intensity progression among women. J Strength Cond Res. 2010;24(11):3023–31.</w:t>
      </w:r>
    </w:p>
    <w:p w14:paraId="3F8703B7"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Ciolac EG, da Silva JMR, Greve JMD. Effects of resistance training in older women with knee osteoarthritis and total knee arthroplasty. Clinics (Sao Paulo). 2015;70(1):7–13.</w:t>
      </w:r>
    </w:p>
    <w:p w14:paraId="3DCA0ACC"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Ciolac EG, Garcez-Leme LE, Greve JM. Resistance exercise intensity progression in older men. Int J Sports Med. 2010;31(6):433–8.</w:t>
      </w:r>
    </w:p>
    <w:p w14:paraId="104FC445" w14:textId="77777777" w:rsidR="00CE428A" w:rsidRPr="00142AEF"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Clynes MA, Jameson KA, Edwards MH, Cooper C, Dennison EM. Impact of osteoarthritis on activities of daily living: does joint site matter? Aging Clin Exp Res. 2019;31(8):1049–56.</w:t>
      </w:r>
    </w:p>
    <w:p w14:paraId="61CC7B61" w14:textId="4D11C381" w:rsidR="00CE428A" w:rsidRDefault="00CE428A" w:rsidP="00142AEF">
      <w:pPr>
        <w:pStyle w:val="ListParagraph"/>
        <w:numPr>
          <w:ilvl w:val="0"/>
          <w:numId w:val="2"/>
        </w:numPr>
        <w:jc w:val="both"/>
        <w:rPr>
          <w:rFonts w:ascii="Times New Roman" w:hAnsi="Times New Roman" w:cs="Times New Roman"/>
        </w:rPr>
      </w:pPr>
      <w:r w:rsidRPr="00142AEF">
        <w:rPr>
          <w:rFonts w:ascii="Times New Roman" w:hAnsi="Times New Roman" w:cs="Times New Roman"/>
        </w:rPr>
        <w:t>Deyle GD, Henderson NE, Matekel RL, Ryder MG, Garber MB, Allison SC. Effectiveness of manual physical therapy and exercise in osteoarthritis of the knee: a randomized, controlled trial. Ann Intern Med. 2000;132(3):173–81.</w:t>
      </w:r>
    </w:p>
    <w:p w14:paraId="3C089827" w14:textId="77777777" w:rsidR="00E67097" w:rsidRDefault="00E67097" w:rsidP="00E67097">
      <w:pPr>
        <w:jc w:val="both"/>
        <w:rPr>
          <w:rFonts w:ascii="Times New Roman" w:hAnsi="Times New Roman" w:cs="Times New Roman"/>
        </w:rPr>
      </w:pPr>
    </w:p>
    <w:p w14:paraId="060C7C19" w14:textId="77777777" w:rsidR="00E67097" w:rsidRDefault="00E67097" w:rsidP="00E67097">
      <w:pPr>
        <w:jc w:val="both"/>
        <w:rPr>
          <w:rFonts w:ascii="Times New Roman" w:hAnsi="Times New Roman" w:cs="Times New Roman"/>
        </w:rPr>
      </w:pPr>
    </w:p>
    <w:p w14:paraId="5E552F1E" w14:textId="77777777" w:rsidR="00E67097" w:rsidRPr="00E67097" w:rsidRDefault="00E67097" w:rsidP="00E67097">
      <w:pPr>
        <w:jc w:val="both"/>
        <w:rPr>
          <w:rFonts w:ascii="Times New Roman" w:hAnsi="Times New Roman" w:cs="Times New Roman"/>
        </w:rPr>
      </w:pPr>
    </w:p>
    <w:sectPr w:rsidR="00E67097" w:rsidRPr="00E67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28B"/>
    <w:multiLevelType w:val="hybridMultilevel"/>
    <w:tmpl w:val="992A63BA"/>
    <w:lvl w:ilvl="0" w:tplc="280245BC">
      <w:start w:val="12"/>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 w15:restartNumberingAfterBreak="0">
    <w:nsid w:val="7FD02A61"/>
    <w:multiLevelType w:val="hybridMultilevel"/>
    <w:tmpl w:val="F54E3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021123">
    <w:abstractNumId w:val="1"/>
  </w:num>
  <w:num w:numId="2" w16cid:durableId="166797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16"/>
    <w:rsid w:val="00142AEF"/>
    <w:rsid w:val="0041129C"/>
    <w:rsid w:val="005C622B"/>
    <w:rsid w:val="006311E1"/>
    <w:rsid w:val="008A4B91"/>
    <w:rsid w:val="008C2816"/>
    <w:rsid w:val="00CE428A"/>
    <w:rsid w:val="00E67097"/>
    <w:rsid w:val="00FE7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2545"/>
  <w15:chartTrackingRefBased/>
  <w15:docId w15:val="{8612AD8A-49DA-427E-B728-1A039448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16"/>
    <w:rPr>
      <w:rFonts w:eastAsiaTheme="majorEastAsia" w:cstheme="majorBidi"/>
      <w:color w:val="272727" w:themeColor="text1" w:themeTint="D8"/>
    </w:rPr>
  </w:style>
  <w:style w:type="paragraph" w:styleId="Title">
    <w:name w:val="Title"/>
    <w:basedOn w:val="Normal"/>
    <w:next w:val="Normal"/>
    <w:link w:val="TitleChar"/>
    <w:uiPriority w:val="10"/>
    <w:qFormat/>
    <w:rsid w:val="008C2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816"/>
    <w:pPr>
      <w:spacing w:before="160"/>
      <w:jc w:val="center"/>
    </w:pPr>
    <w:rPr>
      <w:i/>
      <w:iCs/>
      <w:color w:val="404040" w:themeColor="text1" w:themeTint="BF"/>
    </w:rPr>
  </w:style>
  <w:style w:type="character" w:customStyle="1" w:styleId="QuoteChar">
    <w:name w:val="Quote Char"/>
    <w:basedOn w:val="DefaultParagraphFont"/>
    <w:link w:val="Quote"/>
    <w:uiPriority w:val="29"/>
    <w:rsid w:val="008C2816"/>
    <w:rPr>
      <w:i/>
      <w:iCs/>
      <w:color w:val="404040" w:themeColor="text1" w:themeTint="BF"/>
    </w:rPr>
  </w:style>
  <w:style w:type="paragraph" w:styleId="ListParagraph">
    <w:name w:val="List Paragraph"/>
    <w:basedOn w:val="Normal"/>
    <w:uiPriority w:val="34"/>
    <w:qFormat/>
    <w:rsid w:val="008C2816"/>
    <w:pPr>
      <w:ind w:left="720"/>
      <w:contextualSpacing/>
    </w:pPr>
  </w:style>
  <w:style w:type="character" w:styleId="IntenseEmphasis">
    <w:name w:val="Intense Emphasis"/>
    <w:basedOn w:val="DefaultParagraphFont"/>
    <w:uiPriority w:val="21"/>
    <w:qFormat/>
    <w:rsid w:val="008C2816"/>
    <w:rPr>
      <w:i/>
      <w:iCs/>
      <w:color w:val="0F4761" w:themeColor="accent1" w:themeShade="BF"/>
    </w:rPr>
  </w:style>
  <w:style w:type="paragraph" w:styleId="IntenseQuote">
    <w:name w:val="Intense Quote"/>
    <w:basedOn w:val="Normal"/>
    <w:next w:val="Normal"/>
    <w:link w:val="IntenseQuoteChar"/>
    <w:uiPriority w:val="30"/>
    <w:qFormat/>
    <w:rsid w:val="008C2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816"/>
    <w:rPr>
      <w:i/>
      <w:iCs/>
      <w:color w:val="0F4761" w:themeColor="accent1" w:themeShade="BF"/>
    </w:rPr>
  </w:style>
  <w:style w:type="character" w:styleId="IntenseReference">
    <w:name w:val="Intense Reference"/>
    <w:basedOn w:val="DefaultParagraphFont"/>
    <w:uiPriority w:val="32"/>
    <w:qFormat/>
    <w:rsid w:val="008C2816"/>
    <w:rPr>
      <w:b/>
      <w:bCs/>
      <w:smallCaps/>
      <w:color w:val="0F4761" w:themeColor="accent1" w:themeShade="BF"/>
      <w:spacing w:val="5"/>
    </w:rPr>
  </w:style>
  <w:style w:type="paragraph" w:styleId="NoSpacing">
    <w:name w:val="No Spacing"/>
    <w:uiPriority w:val="1"/>
    <w:qFormat/>
    <w:rsid w:val="00FE7E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kalvin</dc:creator>
  <cp:keywords/>
  <dc:description/>
  <cp:lastModifiedBy>manju kalvin</cp:lastModifiedBy>
  <cp:revision>2</cp:revision>
  <cp:lastPrinted>2025-11-05T06:52:00Z</cp:lastPrinted>
  <dcterms:created xsi:type="dcterms:W3CDTF">2025-11-05T06:25:00Z</dcterms:created>
  <dcterms:modified xsi:type="dcterms:W3CDTF">2025-11-23T18:59:00Z</dcterms:modified>
</cp:coreProperties>
</file>