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4E43" w14:textId="4FB5DEFB" w:rsidR="00D418B2" w:rsidRPr="00641656" w:rsidRDefault="00000000" w:rsidP="00641656">
      <w:pPr>
        <w:jc w:val="both"/>
        <w:rPr>
          <w:rFonts w:cs="Times New Roman"/>
          <w:szCs w:val="24"/>
        </w:rPr>
      </w:pPr>
      <w:r w:rsidRPr="00641656">
        <w:rPr>
          <w:rFonts w:cs="Times New Roman"/>
          <w:b/>
          <w:szCs w:val="24"/>
        </w:rPr>
        <w:t>CHAPTER 1</w:t>
      </w:r>
      <w:r w:rsidR="00641656">
        <w:rPr>
          <w:rFonts w:cs="Times New Roman"/>
          <w:b/>
          <w:szCs w:val="24"/>
        </w:rPr>
        <w:t xml:space="preserve"> (AMIT)</w:t>
      </w:r>
    </w:p>
    <w:p w14:paraId="78CF4291" w14:textId="77777777" w:rsidR="00D418B2" w:rsidRPr="00641656" w:rsidRDefault="00000000" w:rsidP="00641656">
      <w:pPr>
        <w:jc w:val="both"/>
        <w:rPr>
          <w:rFonts w:cs="Times New Roman"/>
          <w:szCs w:val="24"/>
        </w:rPr>
      </w:pPr>
      <w:r w:rsidRPr="00641656">
        <w:rPr>
          <w:rFonts w:cs="Times New Roman"/>
          <w:b/>
          <w:szCs w:val="24"/>
        </w:rPr>
        <w:t>INTRODUCTION</w:t>
      </w:r>
    </w:p>
    <w:p w14:paraId="4239B9E6"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1.1 Cancer as a Continuing Global Health Challenge</w:t>
      </w:r>
    </w:p>
    <w:p w14:paraId="3B9D84E5" w14:textId="77777777" w:rsidR="00D418B2" w:rsidRPr="00641656" w:rsidRDefault="00000000" w:rsidP="00641656">
      <w:pPr>
        <w:jc w:val="both"/>
        <w:rPr>
          <w:rFonts w:cs="Times New Roman"/>
          <w:szCs w:val="24"/>
        </w:rPr>
      </w:pPr>
      <w:r w:rsidRPr="00641656">
        <w:rPr>
          <w:rFonts w:cs="Times New Roman"/>
          <w:szCs w:val="24"/>
        </w:rPr>
        <w:t>Cancer is not a single disease but a broad family of disorders arising from the progressive acquisition of genetic, epigenetic, metabolic, and phenotypic changes that enable abnormal cells to survive, proliferate, interact with their surroundings, and disseminate. Contemporary cancer biology emphasizes that malignant behavior is shaped not only by tumor-cell mutations but also by tissue organization, immune interactions, stromal cells, vascular abnormalities, altered metabolism, and phenotypic plasticity. This systems-level view is important for drug development because the therapeutic response of a tumor is determined by both the intrinsic vulnerability of malignant cells and the extent to which a treatment can reach and remain active within the relevant biological compartments (Hanahan, 2022).</w:t>
      </w:r>
    </w:p>
    <w:p w14:paraId="250024F4" w14:textId="77777777" w:rsidR="00D418B2" w:rsidRPr="00641656" w:rsidRDefault="00000000" w:rsidP="00641656">
      <w:pPr>
        <w:jc w:val="both"/>
        <w:rPr>
          <w:rFonts w:cs="Times New Roman"/>
          <w:szCs w:val="24"/>
        </w:rPr>
      </w:pPr>
      <w:r w:rsidRPr="00641656">
        <w:rPr>
          <w:rFonts w:cs="Times New Roman"/>
          <w:szCs w:val="24"/>
        </w:rPr>
        <w:t>The worldwide burden of cancer remains substantial. The most recent GLOBOCAN estimates available for 2024 indicate approximately 20.6 million new cancer cases and 9.8 million cancer deaths worldwide. Colorectal cancer was the third most commonly diagnosed cancer and the second leading cause of cancer death, with more than two million new cases and approximately 918,000 deaths estimated for that year (Sung et al., 2026). These figures demonstrate that advances in screening and treatment have not removed the need for improved therapeutic strategies. They also emphasize the importance of developing approaches that can address both tumor-cell biology and the limitations imposed by drug distribution.</w:t>
      </w:r>
    </w:p>
    <w:p w14:paraId="11965D5D" w14:textId="77777777" w:rsidR="00D418B2" w:rsidRPr="00641656" w:rsidRDefault="00000000" w:rsidP="00641656">
      <w:pPr>
        <w:jc w:val="both"/>
        <w:rPr>
          <w:rFonts w:cs="Times New Roman"/>
          <w:szCs w:val="24"/>
        </w:rPr>
      </w:pPr>
      <w:r w:rsidRPr="00641656">
        <w:rPr>
          <w:rFonts w:cs="Times New Roman"/>
          <w:szCs w:val="24"/>
        </w:rPr>
        <w:t>A central problem in oncology is that pharmacological activity does not depend exclusively on the potency of an active molecule. Therapeutic benefit requires an appropriate concentration to reach the relevant tissue, enter the appropriate cell population, interact with its molecular target, and remain available for an adequate period. Conversely, exposure of healthy organs can produce dose-limiting toxicity. This relationship between efficacy, exposure, and toxicity provides a major rationale for pharmaceutical delivery systems capable of modifying drug disposition.</w:t>
      </w:r>
    </w:p>
    <w:p w14:paraId="50887F84" w14:textId="77777777" w:rsidR="00D418B2" w:rsidRPr="00641656" w:rsidRDefault="00000000" w:rsidP="00641656">
      <w:pPr>
        <w:jc w:val="both"/>
        <w:rPr>
          <w:rFonts w:cs="Times New Roman"/>
          <w:szCs w:val="24"/>
        </w:rPr>
      </w:pPr>
      <w:r w:rsidRPr="00641656">
        <w:rPr>
          <w:rFonts w:cs="Times New Roman"/>
          <w:szCs w:val="24"/>
        </w:rPr>
        <w:lastRenderedPageBreak/>
        <w:t>Nanomedicine has developed partly in response to this challenge. Nanocarriers can alter solubility, protect cargo, modify circulation, influence tissue distribution, and provide controlled or stimulus-responsive release. However, nanoparticle-based delivery should not be equated automatically with tumor targeting. The magnitude and mechanism of tumor accumulation are heterogeneous, and contemporary evidence has challenged overly simple interpretations of the enhanced permeability and retention (EPR) effect (Shi et al., 2017; Sindhwani et al., 2020). Accordingly, the present thesis approaches nanocarrier development as an evidence-driven formulation problem in which physicochemical attributes, drug exposure, biological uptake, and imaging are evaluated together.</w:t>
      </w:r>
    </w:p>
    <w:p w14:paraId="1F90D6C7"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 Colorectal Cancer: Biological Complexity and Therapeutic Need</w:t>
      </w:r>
    </w:p>
    <w:p w14:paraId="128C5262" w14:textId="77777777" w:rsidR="00D418B2" w:rsidRPr="00641656" w:rsidRDefault="00000000" w:rsidP="00641656">
      <w:pPr>
        <w:jc w:val="both"/>
        <w:rPr>
          <w:rFonts w:cs="Times New Roman"/>
          <w:szCs w:val="24"/>
        </w:rPr>
      </w:pPr>
      <w:r w:rsidRPr="00641656">
        <w:rPr>
          <w:rFonts w:cs="Times New Roman"/>
          <w:szCs w:val="24"/>
        </w:rPr>
        <w:t>Colorectal cancer (CRC) comprises malignant neoplasms arising in the colon and rectum and represents a biologically diverse group of tumors rather than a uniform disease entity. Tumor development can involve alterations in APC, KRAS, TP53, SMAD4, DNA mismatch-repair pathways, epigenetic regulation, and other molecular processes. Different combinations of these alterations produce distinct biological phenotypes and contribute to variation in prognosis and treatment response. Microsatellite instability and mismatch-repair status, for example, have direct implications for therapeutic selection, while RAS and BRAF alterations can influence the usefulness of particular targeted treatments (Dekker et al., 2019).</w:t>
      </w:r>
    </w:p>
    <w:p w14:paraId="2C413505" w14:textId="77777777" w:rsidR="00D418B2" w:rsidRPr="00641656" w:rsidRDefault="00000000" w:rsidP="00641656">
      <w:pPr>
        <w:jc w:val="both"/>
        <w:rPr>
          <w:rFonts w:cs="Times New Roman"/>
          <w:szCs w:val="24"/>
        </w:rPr>
      </w:pPr>
      <w:r w:rsidRPr="00641656">
        <w:rPr>
          <w:rFonts w:cs="Times New Roman"/>
          <w:szCs w:val="24"/>
        </w:rPr>
        <w:t>The clinical management of advanced CRC commonly involves combinations of cytotoxic chemotherapy, targeted biological agents, and, for selected molecular subgroups, immune checkpoint inhibition. Irinotecan remains an important component of systemic therapy, frequently used in combination regimens. Nevertheless, treatment may be limited by systemic toxicity, acquired resistance, tumor heterogeneity, and inadequate exposure of poorly perfused or biologically protected tumor regions. These limitations create a pharmaceutical question: can the disposition and cellular delivery of established anticancer agents be modified in a way that improves the therapeutic relationship between exposure and effect?</w:t>
      </w:r>
    </w:p>
    <w:p w14:paraId="5C9BDC3A" w14:textId="77777777" w:rsidR="00D418B2" w:rsidRPr="00641656" w:rsidRDefault="00000000" w:rsidP="00641656">
      <w:pPr>
        <w:jc w:val="both"/>
        <w:rPr>
          <w:rFonts w:cs="Times New Roman"/>
          <w:szCs w:val="24"/>
        </w:rPr>
      </w:pPr>
      <w:r w:rsidRPr="00641656">
        <w:rPr>
          <w:rFonts w:cs="Times New Roman"/>
          <w:szCs w:val="24"/>
        </w:rPr>
        <w:t xml:space="preserve">Combination therapy is particularly relevant to CRC because malignant cells can adapt to selective pressure through pathway redundancy, altered DNA repair, changes in apoptosis, </w:t>
      </w:r>
      <w:r w:rsidRPr="00641656">
        <w:rPr>
          <w:rFonts w:cs="Times New Roman"/>
          <w:szCs w:val="24"/>
        </w:rPr>
        <w:lastRenderedPageBreak/>
        <w:t>metabolic adaptation, and interactions with the tumor microenvironment. A rational combination can therefore attack complementary biological vulnerabilities. In the proposed system, irinotecan is considered primarily as a DNA-damage-inducing agent, whereas sorafenib provides a mechanistically different kinase-directed pressure. The scientific value of the combination depends on whether both drugs can be delivered in a reproducible relationship and whether the resulting exposure produces a measurable improvement in biological activity.</w:t>
      </w:r>
    </w:p>
    <w:p w14:paraId="625C8DFC" w14:textId="77777777" w:rsidR="00D418B2" w:rsidRPr="00641656" w:rsidRDefault="00000000" w:rsidP="00641656">
      <w:pPr>
        <w:jc w:val="both"/>
        <w:rPr>
          <w:rFonts w:cs="Times New Roman"/>
          <w:szCs w:val="24"/>
        </w:rPr>
      </w:pPr>
      <w:r w:rsidRPr="00641656">
        <w:rPr>
          <w:rFonts w:cs="Times New Roman"/>
          <w:b/>
          <w:szCs w:val="24"/>
        </w:rPr>
        <w:t>Table 1.1. Therapeutic and formulation considerations for the proposed irinotecan–sorafenib dendrimerosome</w:t>
      </w:r>
    </w:p>
    <w:tbl>
      <w:tblPr>
        <w:tblStyle w:val="TableGrid"/>
        <w:tblW w:w="0" w:type="auto"/>
        <w:jc w:val="center"/>
        <w:tblLook w:val="04A0" w:firstRow="1" w:lastRow="0" w:firstColumn="1" w:lastColumn="0" w:noHBand="0" w:noVBand="1"/>
      </w:tblPr>
      <w:tblGrid>
        <w:gridCol w:w="2191"/>
        <w:gridCol w:w="2183"/>
        <w:gridCol w:w="2469"/>
        <w:gridCol w:w="2147"/>
      </w:tblGrid>
      <w:tr w:rsidR="00D418B2" w:rsidRPr="00641656" w14:paraId="6AAFA5E5" w14:textId="77777777">
        <w:trPr>
          <w:jc w:val="center"/>
        </w:trPr>
        <w:tc>
          <w:tcPr>
            <w:tcW w:w="2250" w:type="dxa"/>
            <w:shd w:val="clear" w:color="auto" w:fill="D9EAF7"/>
            <w:vAlign w:val="center"/>
          </w:tcPr>
          <w:p w14:paraId="13BFF27D" w14:textId="77777777" w:rsidR="00D418B2" w:rsidRPr="00641656" w:rsidRDefault="00000000" w:rsidP="00641656">
            <w:pPr>
              <w:jc w:val="both"/>
              <w:rPr>
                <w:rFonts w:cs="Times New Roman"/>
                <w:szCs w:val="24"/>
              </w:rPr>
            </w:pPr>
            <w:r w:rsidRPr="00641656">
              <w:rPr>
                <w:rFonts w:cs="Times New Roman"/>
                <w:b/>
                <w:szCs w:val="24"/>
              </w:rPr>
              <w:t>Element</w:t>
            </w:r>
          </w:p>
        </w:tc>
        <w:tc>
          <w:tcPr>
            <w:tcW w:w="2250" w:type="dxa"/>
            <w:shd w:val="clear" w:color="auto" w:fill="D9EAF7"/>
            <w:vAlign w:val="center"/>
          </w:tcPr>
          <w:p w14:paraId="45C65524" w14:textId="77777777" w:rsidR="00D418B2" w:rsidRPr="00641656" w:rsidRDefault="00000000" w:rsidP="00641656">
            <w:pPr>
              <w:jc w:val="both"/>
              <w:rPr>
                <w:rFonts w:cs="Times New Roman"/>
                <w:szCs w:val="24"/>
              </w:rPr>
            </w:pPr>
            <w:r w:rsidRPr="00641656">
              <w:rPr>
                <w:rFonts w:cs="Times New Roman"/>
                <w:b/>
                <w:szCs w:val="24"/>
              </w:rPr>
              <w:t>Principal issue</w:t>
            </w:r>
          </w:p>
        </w:tc>
        <w:tc>
          <w:tcPr>
            <w:tcW w:w="2250" w:type="dxa"/>
            <w:shd w:val="clear" w:color="auto" w:fill="D9EAF7"/>
            <w:vAlign w:val="center"/>
          </w:tcPr>
          <w:p w14:paraId="64BD149A" w14:textId="77777777" w:rsidR="00D418B2" w:rsidRPr="00641656" w:rsidRDefault="00000000" w:rsidP="00641656">
            <w:pPr>
              <w:jc w:val="both"/>
              <w:rPr>
                <w:rFonts w:cs="Times New Roman"/>
                <w:szCs w:val="24"/>
              </w:rPr>
            </w:pPr>
            <w:r w:rsidRPr="00641656">
              <w:rPr>
                <w:rFonts w:cs="Times New Roman"/>
                <w:b/>
                <w:szCs w:val="24"/>
              </w:rPr>
              <w:t>Formulation implication</w:t>
            </w:r>
          </w:p>
        </w:tc>
        <w:tc>
          <w:tcPr>
            <w:tcW w:w="2250" w:type="dxa"/>
            <w:shd w:val="clear" w:color="auto" w:fill="D9EAF7"/>
            <w:vAlign w:val="center"/>
          </w:tcPr>
          <w:p w14:paraId="44CC3F92" w14:textId="77777777" w:rsidR="00D418B2" w:rsidRPr="00641656" w:rsidRDefault="00000000" w:rsidP="00641656">
            <w:pPr>
              <w:jc w:val="both"/>
              <w:rPr>
                <w:rFonts w:cs="Times New Roman"/>
                <w:szCs w:val="24"/>
              </w:rPr>
            </w:pPr>
            <w:r w:rsidRPr="00641656">
              <w:rPr>
                <w:rFonts w:cs="Times New Roman"/>
                <w:b/>
                <w:szCs w:val="24"/>
              </w:rPr>
              <w:t>Required evidence</w:t>
            </w:r>
          </w:p>
        </w:tc>
      </w:tr>
      <w:tr w:rsidR="00D418B2" w:rsidRPr="00641656" w14:paraId="4C8E514B" w14:textId="77777777">
        <w:trPr>
          <w:jc w:val="center"/>
        </w:trPr>
        <w:tc>
          <w:tcPr>
            <w:tcW w:w="2250" w:type="dxa"/>
            <w:vAlign w:val="center"/>
          </w:tcPr>
          <w:p w14:paraId="6F7C2492" w14:textId="77777777" w:rsidR="00D418B2" w:rsidRPr="00641656" w:rsidRDefault="00000000" w:rsidP="00641656">
            <w:pPr>
              <w:jc w:val="both"/>
              <w:rPr>
                <w:rFonts w:cs="Times New Roman"/>
                <w:szCs w:val="24"/>
              </w:rPr>
            </w:pPr>
            <w:r w:rsidRPr="00641656">
              <w:rPr>
                <w:rFonts w:cs="Times New Roman"/>
                <w:szCs w:val="24"/>
              </w:rPr>
              <w:t>Irinotecan</w:t>
            </w:r>
          </w:p>
        </w:tc>
        <w:tc>
          <w:tcPr>
            <w:tcW w:w="2250" w:type="dxa"/>
            <w:vAlign w:val="center"/>
          </w:tcPr>
          <w:p w14:paraId="0893E1D7" w14:textId="77777777" w:rsidR="00D418B2" w:rsidRPr="00641656" w:rsidRDefault="00000000" w:rsidP="00641656">
            <w:pPr>
              <w:jc w:val="both"/>
              <w:rPr>
                <w:rFonts w:cs="Times New Roman"/>
                <w:szCs w:val="24"/>
              </w:rPr>
            </w:pPr>
            <w:r w:rsidRPr="00641656">
              <w:rPr>
                <w:rFonts w:cs="Times New Roman"/>
                <w:szCs w:val="24"/>
              </w:rPr>
              <w:t>Topoisomerase I inhibitor; converted to active SN-38</w:t>
            </w:r>
          </w:p>
        </w:tc>
        <w:tc>
          <w:tcPr>
            <w:tcW w:w="2250" w:type="dxa"/>
            <w:vAlign w:val="center"/>
          </w:tcPr>
          <w:p w14:paraId="2C4B9EB1" w14:textId="77777777" w:rsidR="00D418B2" w:rsidRPr="00641656" w:rsidRDefault="00000000" w:rsidP="00641656">
            <w:pPr>
              <w:jc w:val="both"/>
              <w:rPr>
                <w:rFonts w:cs="Times New Roman"/>
                <w:szCs w:val="24"/>
              </w:rPr>
            </w:pPr>
            <w:r w:rsidRPr="00641656">
              <w:rPr>
                <w:rFonts w:cs="Times New Roman"/>
                <w:szCs w:val="24"/>
              </w:rPr>
              <w:t>Maintain chemical integrity and regulate exposure</w:t>
            </w:r>
          </w:p>
        </w:tc>
        <w:tc>
          <w:tcPr>
            <w:tcW w:w="2250" w:type="dxa"/>
            <w:vAlign w:val="center"/>
          </w:tcPr>
          <w:p w14:paraId="6C13BEDF" w14:textId="77777777" w:rsidR="00D418B2" w:rsidRPr="00641656" w:rsidRDefault="00000000" w:rsidP="00641656">
            <w:pPr>
              <w:jc w:val="both"/>
              <w:rPr>
                <w:rFonts w:cs="Times New Roman"/>
                <w:szCs w:val="24"/>
              </w:rPr>
            </w:pPr>
            <w:r w:rsidRPr="00641656">
              <w:rPr>
                <w:rFonts w:cs="Times New Roman"/>
                <w:szCs w:val="24"/>
              </w:rPr>
              <w:t>Validated assay; stability; release; SN-38 assessment where relevant</w:t>
            </w:r>
          </w:p>
        </w:tc>
      </w:tr>
      <w:tr w:rsidR="00D418B2" w:rsidRPr="00641656" w14:paraId="4F36AA4C" w14:textId="77777777">
        <w:trPr>
          <w:jc w:val="center"/>
        </w:trPr>
        <w:tc>
          <w:tcPr>
            <w:tcW w:w="2250" w:type="dxa"/>
            <w:vAlign w:val="center"/>
          </w:tcPr>
          <w:p w14:paraId="0AD193D3" w14:textId="77777777" w:rsidR="00D418B2" w:rsidRPr="00641656" w:rsidRDefault="00000000" w:rsidP="00641656">
            <w:pPr>
              <w:jc w:val="both"/>
              <w:rPr>
                <w:rFonts w:cs="Times New Roman"/>
                <w:szCs w:val="24"/>
              </w:rPr>
            </w:pPr>
            <w:r w:rsidRPr="00641656">
              <w:rPr>
                <w:rFonts w:cs="Times New Roman"/>
                <w:szCs w:val="24"/>
              </w:rPr>
              <w:t>Sorafenib</w:t>
            </w:r>
          </w:p>
        </w:tc>
        <w:tc>
          <w:tcPr>
            <w:tcW w:w="2250" w:type="dxa"/>
            <w:vAlign w:val="center"/>
          </w:tcPr>
          <w:p w14:paraId="2520B682" w14:textId="77777777" w:rsidR="00D418B2" w:rsidRPr="00641656" w:rsidRDefault="00000000" w:rsidP="00641656">
            <w:pPr>
              <w:jc w:val="both"/>
              <w:rPr>
                <w:rFonts w:cs="Times New Roman"/>
                <w:szCs w:val="24"/>
              </w:rPr>
            </w:pPr>
            <w:r w:rsidRPr="00641656">
              <w:rPr>
                <w:rFonts w:cs="Times New Roman"/>
                <w:szCs w:val="24"/>
              </w:rPr>
              <w:t>Multikinase inhibitor with relatively hydrophobic character</w:t>
            </w:r>
          </w:p>
        </w:tc>
        <w:tc>
          <w:tcPr>
            <w:tcW w:w="2250" w:type="dxa"/>
            <w:vAlign w:val="center"/>
          </w:tcPr>
          <w:p w14:paraId="73065D2F" w14:textId="77777777" w:rsidR="00D418B2" w:rsidRPr="00641656" w:rsidRDefault="00000000" w:rsidP="00641656">
            <w:pPr>
              <w:jc w:val="both"/>
              <w:rPr>
                <w:rFonts w:cs="Times New Roman"/>
                <w:szCs w:val="24"/>
              </w:rPr>
            </w:pPr>
            <w:r w:rsidRPr="00641656">
              <w:rPr>
                <w:rFonts w:cs="Times New Roman"/>
                <w:szCs w:val="24"/>
              </w:rPr>
              <w:t>Provide compatible hydrophobic/interfacial environment</w:t>
            </w:r>
          </w:p>
        </w:tc>
        <w:tc>
          <w:tcPr>
            <w:tcW w:w="2250" w:type="dxa"/>
            <w:vAlign w:val="center"/>
          </w:tcPr>
          <w:p w14:paraId="5631CA9C" w14:textId="77777777" w:rsidR="00D418B2" w:rsidRPr="00641656" w:rsidRDefault="00000000" w:rsidP="00641656">
            <w:pPr>
              <w:jc w:val="both"/>
              <w:rPr>
                <w:rFonts w:cs="Times New Roman"/>
                <w:szCs w:val="24"/>
              </w:rPr>
            </w:pPr>
            <w:r w:rsidRPr="00641656">
              <w:rPr>
                <w:rFonts w:cs="Times New Roman"/>
                <w:szCs w:val="24"/>
              </w:rPr>
              <w:t>Drug content; encapsulation; stability</w:t>
            </w:r>
          </w:p>
        </w:tc>
      </w:tr>
      <w:tr w:rsidR="00D418B2" w:rsidRPr="00641656" w14:paraId="69AE6ED4" w14:textId="77777777">
        <w:trPr>
          <w:jc w:val="center"/>
        </w:trPr>
        <w:tc>
          <w:tcPr>
            <w:tcW w:w="2250" w:type="dxa"/>
            <w:vAlign w:val="center"/>
          </w:tcPr>
          <w:p w14:paraId="7F300776" w14:textId="77777777" w:rsidR="00D418B2" w:rsidRPr="00641656" w:rsidRDefault="00000000" w:rsidP="00641656">
            <w:pPr>
              <w:jc w:val="both"/>
              <w:rPr>
                <w:rFonts w:cs="Times New Roman"/>
                <w:szCs w:val="24"/>
              </w:rPr>
            </w:pPr>
            <w:r w:rsidRPr="00641656">
              <w:rPr>
                <w:rFonts w:cs="Times New Roman"/>
                <w:szCs w:val="24"/>
              </w:rPr>
              <w:t>Combination</w:t>
            </w:r>
          </w:p>
        </w:tc>
        <w:tc>
          <w:tcPr>
            <w:tcW w:w="2250" w:type="dxa"/>
            <w:vAlign w:val="center"/>
          </w:tcPr>
          <w:p w14:paraId="709B429C" w14:textId="77777777" w:rsidR="00D418B2" w:rsidRPr="00641656" w:rsidRDefault="00000000" w:rsidP="00641656">
            <w:pPr>
              <w:jc w:val="both"/>
              <w:rPr>
                <w:rFonts w:cs="Times New Roman"/>
                <w:szCs w:val="24"/>
              </w:rPr>
            </w:pPr>
            <w:r w:rsidRPr="00641656">
              <w:rPr>
                <w:rFonts w:cs="Times New Roman"/>
                <w:szCs w:val="24"/>
              </w:rPr>
              <w:t>Different pharmacokinetic and physicochemical properties</w:t>
            </w:r>
          </w:p>
        </w:tc>
        <w:tc>
          <w:tcPr>
            <w:tcW w:w="2250" w:type="dxa"/>
            <w:vAlign w:val="center"/>
          </w:tcPr>
          <w:p w14:paraId="0F57478C" w14:textId="77777777" w:rsidR="00D418B2" w:rsidRPr="00641656" w:rsidRDefault="00000000" w:rsidP="00641656">
            <w:pPr>
              <w:jc w:val="both"/>
              <w:rPr>
                <w:rFonts w:cs="Times New Roman"/>
                <w:szCs w:val="24"/>
              </w:rPr>
            </w:pPr>
            <w:r w:rsidRPr="00641656">
              <w:rPr>
                <w:rFonts w:cs="Times New Roman"/>
                <w:szCs w:val="24"/>
              </w:rPr>
              <w:t>Control actual delivered ratio rather than only nominal ratio</w:t>
            </w:r>
          </w:p>
        </w:tc>
        <w:tc>
          <w:tcPr>
            <w:tcW w:w="2250" w:type="dxa"/>
            <w:vAlign w:val="center"/>
          </w:tcPr>
          <w:p w14:paraId="2260767D" w14:textId="77777777" w:rsidR="00D418B2" w:rsidRPr="00641656" w:rsidRDefault="00000000" w:rsidP="00641656">
            <w:pPr>
              <w:jc w:val="both"/>
              <w:rPr>
                <w:rFonts w:cs="Times New Roman"/>
                <w:szCs w:val="24"/>
              </w:rPr>
            </w:pPr>
            <w:r w:rsidRPr="00641656">
              <w:rPr>
                <w:rFonts w:cs="Times New Roman"/>
                <w:szCs w:val="24"/>
              </w:rPr>
              <w:t>Separate quantification of both drugs in formulation and release</w:t>
            </w:r>
          </w:p>
        </w:tc>
      </w:tr>
      <w:tr w:rsidR="00D418B2" w:rsidRPr="00641656" w14:paraId="36711BB9" w14:textId="77777777">
        <w:trPr>
          <w:jc w:val="center"/>
        </w:trPr>
        <w:tc>
          <w:tcPr>
            <w:tcW w:w="2250" w:type="dxa"/>
            <w:vAlign w:val="center"/>
          </w:tcPr>
          <w:p w14:paraId="63DE978D" w14:textId="77777777" w:rsidR="00D418B2" w:rsidRPr="00641656" w:rsidRDefault="00000000" w:rsidP="00641656">
            <w:pPr>
              <w:jc w:val="both"/>
              <w:rPr>
                <w:rFonts w:cs="Times New Roman"/>
                <w:szCs w:val="24"/>
              </w:rPr>
            </w:pPr>
            <w:r w:rsidRPr="00641656">
              <w:rPr>
                <w:rFonts w:cs="Times New Roman"/>
                <w:szCs w:val="24"/>
              </w:rPr>
              <w:t>Dendrimerosome</w:t>
            </w:r>
          </w:p>
        </w:tc>
        <w:tc>
          <w:tcPr>
            <w:tcW w:w="2250" w:type="dxa"/>
            <w:vAlign w:val="center"/>
          </w:tcPr>
          <w:p w14:paraId="6D68E292" w14:textId="77777777" w:rsidR="00D418B2" w:rsidRPr="00641656" w:rsidRDefault="00000000" w:rsidP="00641656">
            <w:pPr>
              <w:jc w:val="both"/>
              <w:rPr>
                <w:rFonts w:cs="Times New Roman"/>
                <w:szCs w:val="24"/>
              </w:rPr>
            </w:pPr>
            <w:r w:rsidRPr="00641656">
              <w:rPr>
                <w:rFonts w:cs="Times New Roman"/>
                <w:szCs w:val="24"/>
              </w:rPr>
              <w:t xml:space="preserve">Self-assembled vesicle from amphiphilic dendritic building </w:t>
            </w:r>
            <w:r w:rsidRPr="00641656">
              <w:rPr>
                <w:rFonts w:cs="Times New Roman"/>
                <w:szCs w:val="24"/>
              </w:rPr>
              <w:lastRenderedPageBreak/>
              <w:t>blocks</w:t>
            </w:r>
          </w:p>
        </w:tc>
        <w:tc>
          <w:tcPr>
            <w:tcW w:w="2250" w:type="dxa"/>
            <w:vAlign w:val="center"/>
          </w:tcPr>
          <w:p w14:paraId="6BC8FFE2" w14:textId="77777777" w:rsidR="00D418B2" w:rsidRPr="00641656" w:rsidRDefault="00000000" w:rsidP="00641656">
            <w:pPr>
              <w:jc w:val="both"/>
              <w:rPr>
                <w:rFonts w:cs="Times New Roman"/>
                <w:szCs w:val="24"/>
              </w:rPr>
            </w:pPr>
            <w:r w:rsidRPr="00641656">
              <w:rPr>
                <w:rFonts w:cs="Times New Roman"/>
                <w:szCs w:val="24"/>
              </w:rPr>
              <w:lastRenderedPageBreak/>
              <w:t>Optimize assembly, membrane organization and colloidal stability</w:t>
            </w:r>
          </w:p>
        </w:tc>
        <w:tc>
          <w:tcPr>
            <w:tcW w:w="2250" w:type="dxa"/>
            <w:vAlign w:val="center"/>
          </w:tcPr>
          <w:p w14:paraId="190D8341" w14:textId="77777777" w:rsidR="00D418B2" w:rsidRPr="00641656" w:rsidRDefault="00000000" w:rsidP="00641656">
            <w:pPr>
              <w:jc w:val="both"/>
              <w:rPr>
                <w:rFonts w:cs="Times New Roman"/>
                <w:szCs w:val="24"/>
              </w:rPr>
            </w:pPr>
            <w:r w:rsidRPr="00641656">
              <w:rPr>
                <w:rFonts w:cs="Times New Roman"/>
                <w:szCs w:val="24"/>
              </w:rPr>
              <w:t>Size, PDI, zeta potential, morphology, stability</w:t>
            </w:r>
          </w:p>
        </w:tc>
      </w:tr>
      <w:tr w:rsidR="00D418B2" w:rsidRPr="00641656" w14:paraId="353BCFC9" w14:textId="77777777">
        <w:trPr>
          <w:jc w:val="center"/>
        </w:trPr>
        <w:tc>
          <w:tcPr>
            <w:tcW w:w="2250" w:type="dxa"/>
            <w:vAlign w:val="center"/>
          </w:tcPr>
          <w:p w14:paraId="2C414A25" w14:textId="77777777" w:rsidR="00D418B2" w:rsidRPr="00641656" w:rsidRDefault="00000000" w:rsidP="00641656">
            <w:pPr>
              <w:jc w:val="both"/>
              <w:rPr>
                <w:rFonts w:cs="Times New Roman"/>
                <w:szCs w:val="24"/>
              </w:rPr>
            </w:pPr>
            <w:r w:rsidRPr="00641656">
              <w:rPr>
                <w:rFonts w:cs="Times New Roman"/>
                <w:szCs w:val="24"/>
              </w:rPr>
              <w:t>Theranostic function</w:t>
            </w:r>
          </w:p>
        </w:tc>
        <w:tc>
          <w:tcPr>
            <w:tcW w:w="2250" w:type="dxa"/>
            <w:vAlign w:val="center"/>
          </w:tcPr>
          <w:p w14:paraId="5FC64149" w14:textId="77777777" w:rsidR="00D418B2" w:rsidRPr="00641656" w:rsidRDefault="00000000" w:rsidP="00641656">
            <w:pPr>
              <w:jc w:val="both"/>
              <w:rPr>
                <w:rFonts w:cs="Times New Roman"/>
                <w:szCs w:val="24"/>
              </w:rPr>
            </w:pPr>
            <w:r w:rsidRPr="00641656">
              <w:rPr>
                <w:rFonts w:cs="Times New Roman"/>
                <w:szCs w:val="24"/>
              </w:rPr>
              <w:t>Imaging signal may report carrier distribution</w:t>
            </w:r>
          </w:p>
        </w:tc>
        <w:tc>
          <w:tcPr>
            <w:tcW w:w="2250" w:type="dxa"/>
            <w:vAlign w:val="center"/>
          </w:tcPr>
          <w:p w14:paraId="53C3712C" w14:textId="77777777" w:rsidR="00D418B2" w:rsidRPr="00641656" w:rsidRDefault="00000000" w:rsidP="00641656">
            <w:pPr>
              <w:jc w:val="both"/>
              <w:rPr>
                <w:rFonts w:cs="Times New Roman"/>
                <w:szCs w:val="24"/>
              </w:rPr>
            </w:pPr>
            <w:r w:rsidRPr="00641656">
              <w:rPr>
                <w:rFonts w:cs="Times New Roman"/>
                <w:szCs w:val="24"/>
              </w:rPr>
              <w:t>Ensure probe does not compromise carrier or assay validity</w:t>
            </w:r>
          </w:p>
        </w:tc>
        <w:tc>
          <w:tcPr>
            <w:tcW w:w="2250" w:type="dxa"/>
            <w:vAlign w:val="center"/>
          </w:tcPr>
          <w:p w14:paraId="0BD99528" w14:textId="77777777" w:rsidR="00D418B2" w:rsidRPr="00641656" w:rsidRDefault="00000000" w:rsidP="00641656">
            <w:pPr>
              <w:jc w:val="both"/>
              <w:rPr>
                <w:rFonts w:cs="Times New Roman"/>
                <w:szCs w:val="24"/>
              </w:rPr>
            </w:pPr>
            <w:r w:rsidRPr="00641656">
              <w:rPr>
                <w:rFonts w:cs="Times New Roman"/>
                <w:szCs w:val="24"/>
              </w:rPr>
              <w:t>Probe controls; localization; signal stability</w:t>
            </w:r>
          </w:p>
        </w:tc>
      </w:tr>
      <w:tr w:rsidR="00D418B2" w:rsidRPr="00641656" w14:paraId="58E288E1" w14:textId="77777777">
        <w:trPr>
          <w:jc w:val="center"/>
        </w:trPr>
        <w:tc>
          <w:tcPr>
            <w:tcW w:w="2250" w:type="dxa"/>
            <w:vAlign w:val="center"/>
          </w:tcPr>
          <w:p w14:paraId="529F2AF5" w14:textId="77777777" w:rsidR="00D418B2" w:rsidRPr="00641656" w:rsidRDefault="00000000" w:rsidP="00641656">
            <w:pPr>
              <w:jc w:val="both"/>
              <w:rPr>
                <w:rFonts w:cs="Times New Roman"/>
                <w:szCs w:val="24"/>
              </w:rPr>
            </w:pPr>
            <w:r w:rsidRPr="00641656">
              <w:rPr>
                <w:rFonts w:cs="Times New Roman"/>
                <w:szCs w:val="24"/>
              </w:rPr>
              <w:t>Biological response</w:t>
            </w:r>
          </w:p>
        </w:tc>
        <w:tc>
          <w:tcPr>
            <w:tcW w:w="2250" w:type="dxa"/>
            <w:vAlign w:val="center"/>
          </w:tcPr>
          <w:p w14:paraId="3F3FEA25" w14:textId="77777777" w:rsidR="00D418B2" w:rsidRPr="00641656" w:rsidRDefault="00000000" w:rsidP="00641656">
            <w:pPr>
              <w:jc w:val="both"/>
              <w:rPr>
                <w:rFonts w:cs="Times New Roman"/>
                <w:szCs w:val="24"/>
              </w:rPr>
            </w:pPr>
            <w:r w:rsidRPr="00641656">
              <w:rPr>
                <w:rFonts w:cs="Times New Roman"/>
                <w:szCs w:val="24"/>
              </w:rPr>
              <w:t>Depends on uptake, release and molecular phenotype</w:t>
            </w:r>
          </w:p>
        </w:tc>
        <w:tc>
          <w:tcPr>
            <w:tcW w:w="2250" w:type="dxa"/>
            <w:vAlign w:val="center"/>
          </w:tcPr>
          <w:p w14:paraId="120671EC" w14:textId="77777777" w:rsidR="00D418B2" w:rsidRPr="00641656" w:rsidRDefault="00000000" w:rsidP="00641656">
            <w:pPr>
              <w:jc w:val="both"/>
              <w:rPr>
                <w:rFonts w:cs="Times New Roman"/>
                <w:szCs w:val="24"/>
              </w:rPr>
            </w:pPr>
            <w:r w:rsidRPr="00641656">
              <w:rPr>
                <w:rFonts w:cs="Times New Roman"/>
                <w:szCs w:val="24"/>
              </w:rPr>
              <w:t>Use free-drug, blank and single-drug controls</w:t>
            </w:r>
          </w:p>
        </w:tc>
        <w:tc>
          <w:tcPr>
            <w:tcW w:w="2250" w:type="dxa"/>
            <w:vAlign w:val="center"/>
          </w:tcPr>
          <w:p w14:paraId="1C4D3477" w14:textId="77777777" w:rsidR="00D418B2" w:rsidRPr="00641656" w:rsidRDefault="00000000" w:rsidP="00641656">
            <w:pPr>
              <w:jc w:val="both"/>
              <w:rPr>
                <w:rFonts w:cs="Times New Roman"/>
                <w:szCs w:val="24"/>
              </w:rPr>
            </w:pPr>
            <w:r w:rsidRPr="00641656">
              <w:rPr>
                <w:rFonts w:cs="Times New Roman"/>
                <w:szCs w:val="24"/>
              </w:rPr>
              <w:t>Viability, uptake, apoptosis/cell cycle and combination analysis</w:t>
            </w:r>
          </w:p>
        </w:tc>
      </w:tr>
    </w:tbl>
    <w:p w14:paraId="05A9FCCE" w14:textId="77777777" w:rsidR="00D418B2" w:rsidRPr="00641656" w:rsidRDefault="00000000" w:rsidP="00641656">
      <w:pPr>
        <w:spacing w:after="200"/>
        <w:jc w:val="both"/>
        <w:rPr>
          <w:rFonts w:cs="Times New Roman"/>
          <w:szCs w:val="24"/>
        </w:rPr>
      </w:pPr>
      <w:r w:rsidRPr="00641656">
        <w:rPr>
          <w:rFonts w:cs="Times New Roman"/>
          <w:i/>
          <w:szCs w:val="24"/>
        </w:rPr>
        <w:t xml:space="preserve">Note. </w:t>
      </w:r>
      <w:r w:rsidRPr="00641656">
        <w:rPr>
          <w:rFonts w:cs="Times New Roman"/>
          <w:szCs w:val="24"/>
        </w:rPr>
        <w:t>Values in the table are development considerations rather than experimental results.</w:t>
      </w:r>
    </w:p>
    <w:p w14:paraId="65540EE0"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1.3 Irinotecan: Pharmacology and Formulation Considerations</w:t>
      </w:r>
    </w:p>
    <w:p w14:paraId="64CB8F60" w14:textId="77777777" w:rsidR="00D418B2" w:rsidRPr="00641656" w:rsidRDefault="00000000" w:rsidP="00641656">
      <w:pPr>
        <w:jc w:val="both"/>
        <w:rPr>
          <w:rFonts w:cs="Times New Roman"/>
          <w:szCs w:val="24"/>
        </w:rPr>
      </w:pPr>
      <w:r w:rsidRPr="00641656">
        <w:rPr>
          <w:rFonts w:cs="Times New Roman"/>
          <w:szCs w:val="24"/>
        </w:rPr>
        <w:t>Irinotecan hydrochloride is a semisynthetic camptothecin derivative whose antineoplastic action is associated primarily with inhibition of DNA topoisomerase I. During normal DNA metabolism, topoisomerase I transiently cleaves one DNA strand, permits controlled torsional relaxation, and then religates the strand. Irinotecan and its active metabolite interfere with this cycle by stabilizing the cleavage complex. When replication machinery encounters these stabilized complexes, persistent DNA lesions can arise, contributing to replication stress, cell-cycle disruption, and cell death.</w:t>
      </w:r>
    </w:p>
    <w:p w14:paraId="70483435" w14:textId="77777777" w:rsidR="00D418B2" w:rsidRPr="00641656" w:rsidRDefault="00000000" w:rsidP="00641656">
      <w:pPr>
        <w:jc w:val="both"/>
        <w:rPr>
          <w:rFonts w:cs="Times New Roman"/>
          <w:szCs w:val="24"/>
        </w:rPr>
      </w:pPr>
      <w:r w:rsidRPr="00641656">
        <w:rPr>
          <w:rFonts w:cs="Times New Roman"/>
          <w:szCs w:val="24"/>
        </w:rPr>
        <w:t>A distinctive feature of irinotecan pharmacology is its metabolic conversion to SN-38. Clinical pharmacokinetic studies describe irinotecan as a precursor of the substantially more cytotoxic SN-38, with activation mediated primarily by carboxylesterases. SN-38 is subsequently inactivated through glucuronidation, particularly by UGT1A1, and drug transport and elimination pathways also contribute to interindividual exposure (Rivory &amp; Robert, 1995; Mathijssen et al., 2001). The FDA's pharmacogenomic labeling resources specifically identify UGT1A1 as a biomarker associated with irinotecan labeling, underscoring the clinical importance of variability in exposure and toxicity (U.S. Food and Drug Administration [FDA], 2024).</w:t>
      </w:r>
    </w:p>
    <w:p w14:paraId="1D07C965" w14:textId="77777777" w:rsidR="00D418B2" w:rsidRPr="00641656" w:rsidRDefault="00000000" w:rsidP="00641656">
      <w:pPr>
        <w:jc w:val="both"/>
        <w:rPr>
          <w:rFonts w:cs="Times New Roman"/>
          <w:szCs w:val="24"/>
        </w:rPr>
      </w:pPr>
      <w:r w:rsidRPr="00641656">
        <w:rPr>
          <w:rFonts w:cs="Times New Roman"/>
          <w:szCs w:val="24"/>
        </w:rPr>
        <w:t xml:space="preserve">This metabolic complexity has direct implications for formulation development. A carrier should not be evaluated solely by the amount of irinotecan associated with particles. Drug </w:t>
      </w:r>
      <w:r w:rsidRPr="00641656">
        <w:rPr>
          <w:rFonts w:cs="Times New Roman"/>
          <w:szCs w:val="24"/>
        </w:rPr>
        <w:lastRenderedPageBreak/>
        <w:t>integrity, release, conversion, and exposure must be considered together. Excessively rapid release can reduce the pharmacokinetic advantage of encapsulation, whereas excessively slow release can limit availability at the biological target. The optimal profile is therefore not necessarily the slowest possible release but the profile that produces the intended exposure while maintaining formulation stability.</w:t>
      </w:r>
    </w:p>
    <w:p w14:paraId="4EC5F026" w14:textId="77777777" w:rsidR="00D418B2" w:rsidRPr="00641656" w:rsidRDefault="00000000" w:rsidP="00641656">
      <w:pPr>
        <w:jc w:val="both"/>
        <w:rPr>
          <w:rFonts w:cs="Times New Roman"/>
          <w:szCs w:val="24"/>
        </w:rPr>
      </w:pPr>
      <w:r w:rsidRPr="00641656">
        <w:rPr>
          <w:rFonts w:cs="Times New Roman"/>
          <w:szCs w:val="24"/>
        </w:rPr>
        <w:t>Analytically, measurement of irinotecan should be sufficiently specific to distinguish the parent compound from relevant degradation products and, when the research question requires, from SN-38. Chromatographic methods should therefore be developed and validated before quantitative conclusions are drawn from loading or release experiments. The current ICH Q2(R2) framework emphasizes specificity, accuracy, precision, range, and related performance characteristics for analytical procedures used in pharmaceutical quality control (ICH, 2024).</w:t>
      </w:r>
    </w:p>
    <w:p w14:paraId="1A9AAE16"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1.4 Sorafenib: Pharmacological Basis for Combination</w:t>
      </w:r>
    </w:p>
    <w:p w14:paraId="3B153206" w14:textId="77777777" w:rsidR="00D418B2" w:rsidRPr="00641656" w:rsidRDefault="00000000" w:rsidP="00641656">
      <w:pPr>
        <w:jc w:val="both"/>
        <w:rPr>
          <w:rFonts w:cs="Times New Roman"/>
          <w:szCs w:val="24"/>
        </w:rPr>
      </w:pPr>
      <w:r w:rsidRPr="00641656">
        <w:rPr>
          <w:rFonts w:cs="Times New Roman"/>
          <w:szCs w:val="24"/>
        </w:rPr>
        <w:t>Sorafenib is an orally active multikinase inhibitor with activity against RAF-family signaling and several receptor tyrosine kinases involved in tumor-cell signaling and angiogenesis. Its pharmacological profile differs fundamentally from that of irinotecan. Whereas irinotecan-associated cytotoxicity is linked to replication-associated DNA damage, sorafenib can interfere with kinase-dependent proliferative and survival signaling and with pathways that support tumor vascularization. The combination therefore provides a conceptual opportunity to apply pharmacological pressure at more than one level of tumor biology.</w:t>
      </w:r>
    </w:p>
    <w:p w14:paraId="372CD437" w14:textId="77777777" w:rsidR="00D418B2" w:rsidRPr="00641656" w:rsidRDefault="00000000" w:rsidP="00641656">
      <w:pPr>
        <w:jc w:val="both"/>
        <w:rPr>
          <w:rFonts w:cs="Times New Roman"/>
          <w:szCs w:val="24"/>
        </w:rPr>
      </w:pPr>
      <w:r w:rsidRPr="00641656">
        <w:rPr>
          <w:rFonts w:cs="Times New Roman"/>
          <w:szCs w:val="24"/>
        </w:rPr>
        <w:t>Mechanistic complementarity, however, should not be interpreted as proof of synergy. Drug interactions depend on concentration, sequence, duration of exposure, molecular phenotype, and adaptive cellular responses. In a nanocarrier, these variables are additionally influenced by loading, intracellular trafficking, and release kinetics. A formulation can contain two drugs simultaneously but still fail to reproduce the intended biological combination if one agent is released substantially earlier than the other.</w:t>
      </w:r>
    </w:p>
    <w:p w14:paraId="4DD6191F" w14:textId="77777777" w:rsidR="00D418B2" w:rsidRPr="00641656" w:rsidRDefault="00000000" w:rsidP="00641656">
      <w:pPr>
        <w:jc w:val="both"/>
        <w:rPr>
          <w:rFonts w:cs="Times New Roman"/>
          <w:szCs w:val="24"/>
        </w:rPr>
      </w:pPr>
      <w:r w:rsidRPr="00641656">
        <w:rPr>
          <w:rFonts w:cs="Times New Roman"/>
          <w:szCs w:val="24"/>
        </w:rPr>
        <w:t xml:space="preserve">Sorafenib's comparatively hydrophobic character also creates a formulation challenge. Its physicochemical properties may favor association with hydrophobic or interfacial regions of a vesicle, whereas irinotecan can occupy a different microenvironment. This difference </w:t>
      </w:r>
      <w:r w:rsidRPr="00641656">
        <w:rPr>
          <w:rFonts w:cs="Times New Roman"/>
          <w:szCs w:val="24"/>
        </w:rPr>
        <w:lastRenderedPageBreak/>
        <w:t>provides a rationale for investigating a vesicular architecture with chemically distinct domains. The use of Janus dendrimers is attractive in this context because their broken molecular symmetry creates amphiphilic behavior that can drive self-assembly into organized supramolecular structures.</w:t>
      </w:r>
    </w:p>
    <w:p w14:paraId="298E9D9E"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1.5 Rationale for Combination Therapy and Exposure-Ratio Control</w:t>
      </w:r>
    </w:p>
    <w:p w14:paraId="5F418AB1" w14:textId="77777777" w:rsidR="00D418B2" w:rsidRPr="00641656" w:rsidRDefault="00000000" w:rsidP="00641656">
      <w:pPr>
        <w:jc w:val="both"/>
        <w:rPr>
          <w:rFonts w:cs="Times New Roman"/>
          <w:szCs w:val="24"/>
        </w:rPr>
      </w:pPr>
      <w:r w:rsidRPr="00641656">
        <w:rPr>
          <w:rFonts w:cs="Times New Roman"/>
          <w:szCs w:val="24"/>
        </w:rPr>
        <w:t>The objective of combination therapy is not simply to administer two active drugs. A scientifically defensible combination strategy requires an understanding of how the agents interact across concentration and effect ranges. Depending on the system, a combination may be synergistic, additive, or antagonistic. Quantitative approaches such as the median-effect and combination-index framework developed by Chou provide one established method for evaluating drug interactions, although the method requires appropriate dose-response data and careful experimental design (Chou, 2006).</w:t>
      </w:r>
    </w:p>
    <w:p w14:paraId="70728F66" w14:textId="77777777" w:rsidR="00D418B2" w:rsidRPr="00641656" w:rsidRDefault="00000000" w:rsidP="00641656">
      <w:pPr>
        <w:jc w:val="both"/>
        <w:rPr>
          <w:rFonts w:cs="Times New Roman"/>
          <w:szCs w:val="24"/>
        </w:rPr>
      </w:pPr>
      <w:r w:rsidRPr="00641656">
        <w:rPr>
          <w:rFonts w:cs="Times New Roman"/>
          <w:szCs w:val="24"/>
        </w:rPr>
        <w:t>For the proposed formulation, the delivered drug ratio is a critical variable. Suppose a carrier is manufactured with a defined irinotecan:sorafenib ratio but releases irinotecan rapidly while retaining sorafenib. The cells will experience an exposure sequence that differs from the nominal formulation ratio. The resulting biological response cannot then be attributed confidently to the intended combination. For this reason, both drugs should be quantified independently during formulation characterization and release testing.</w:t>
      </w:r>
    </w:p>
    <w:p w14:paraId="75F439DB" w14:textId="77777777" w:rsidR="00D418B2" w:rsidRPr="00641656" w:rsidRDefault="00000000" w:rsidP="00641656">
      <w:pPr>
        <w:jc w:val="both"/>
        <w:rPr>
          <w:rFonts w:cs="Times New Roman"/>
          <w:szCs w:val="24"/>
        </w:rPr>
      </w:pPr>
      <w:r w:rsidRPr="00641656">
        <w:rPr>
          <w:rFonts w:cs="Times New Roman"/>
          <w:szCs w:val="24"/>
        </w:rPr>
        <w:t>Co-loading creates a physical opportunity to reduce some mismatch between separately administered formulations. Both agents can travel within the same carrier population, allowing their distribution to be studied together. This does not guarantee synchronized release or identical intracellular concentrations, but it provides a controllable framework for investigating these variables. The proposed research therefore treats co-loading as a hypothesis that must be tested through physicochemical characterization, release studies, cellular uptake, and pharmacological response.</w:t>
      </w:r>
    </w:p>
    <w:p w14:paraId="355C85DD"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1.6 Nanomedicine as a Pharmaceutical Strategy</w:t>
      </w:r>
    </w:p>
    <w:p w14:paraId="39883A24" w14:textId="77777777" w:rsidR="00D418B2" w:rsidRPr="00641656" w:rsidRDefault="00000000" w:rsidP="00641656">
      <w:pPr>
        <w:jc w:val="both"/>
        <w:rPr>
          <w:rFonts w:cs="Times New Roman"/>
          <w:szCs w:val="24"/>
        </w:rPr>
      </w:pPr>
      <w:r w:rsidRPr="00641656">
        <w:rPr>
          <w:rFonts w:cs="Times New Roman"/>
          <w:szCs w:val="24"/>
        </w:rPr>
        <w:t xml:space="preserve">Cancer nanomedicine seeks to use nanoscale structures to modify the delivery, exposure, or biological interaction of therapeutic agents. Liposomes, polymeric nanoparticles, micelles, </w:t>
      </w:r>
      <w:r w:rsidRPr="00641656">
        <w:rPr>
          <w:rFonts w:cs="Times New Roman"/>
          <w:szCs w:val="24"/>
        </w:rPr>
        <w:lastRenderedPageBreak/>
        <w:t>dendrimers, protein-based systems, inorganic nanoparticles, and hybrid carriers have all been investigated. The common objective is to overcome limitations that cannot be solved readily by changing the active pharmaceutical ingredient alone.</w:t>
      </w:r>
    </w:p>
    <w:p w14:paraId="3A2B3C2A" w14:textId="77777777" w:rsidR="00D418B2" w:rsidRPr="00641656" w:rsidRDefault="00000000" w:rsidP="00641656">
      <w:pPr>
        <w:jc w:val="both"/>
        <w:rPr>
          <w:rFonts w:cs="Times New Roman"/>
          <w:szCs w:val="24"/>
        </w:rPr>
      </w:pPr>
      <w:r w:rsidRPr="00641656">
        <w:rPr>
          <w:rFonts w:cs="Times New Roman"/>
          <w:szCs w:val="24"/>
        </w:rPr>
        <w:t>The clinical history of liposomal medicines demonstrates that a nanocarrier can become part of a clinically meaningful pharmacological product. Doxil, the liposomal formulation of doxorubicin, is a prominent example in which prolonged circulation and altered distribution were achieved through carefully engineered vesicle composition and remote loading (Barenholz, 2012). The lesson is broader than the individual product: nanomedicine succeeds when physicochemical engineering and biological behavior are developed together.</w:t>
      </w:r>
    </w:p>
    <w:p w14:paraId="27AFDCDE" w14:textId="77777777" w:rsidR="00D418B2" w:rsidRPr="00641656" w:rsidRDefault="00000000" w:rsidP="00641656">
      <w:pPr>
        <w:jc w:val="both"/>
        <w:rPr>
          <w:rFonts w:cs="Times New Roman"/>
          <w:szCs w:val="24"/>
        </w:rPr>
      </w:pPr>
      <w:r w:rsidRPr="00641656">
        <w:rPr>
          <w:rFonts w:cs="Times New Roman"/>
          <w:szCs w:val="24"/>
        </w:rPr>
        <w:t>At the same time, the field has learned that the biological behavior of nanoparticles is context dependent. The EPR effect can contribute to tumor accumulation, but its magnitude varies among tumors and patients. Tumor perfusion, vascular structure, extracellular matrix, interstitial pressure, macrophage uptake, and lymphatic function can all influence delivery. Contemporary work has further challenged the assumption that nanoparticles routinely enter tumors through large passive endothelial gaps; active trans-endothelial mechanisms have been reported as important routes in experimental models (Sindhwani et al., 2020).</w:t>
      </w:r>
    </w:p>
    <w:p w14:paraId="20B900AD" w14:textId="77777777" w:rsidR="00D418B2" w:rsidRPr="00641656" w:rsidRDefault="00000000" w:rsidP="00641656">
      <w:pPr>
        <w:jc w:val="both"/>
        <w:rPr>
          <w:rFonts w:cs="Times New Roman"/>
          <w:szCs w:val="24"/>
        </w:rPr>
      </w:pPr>
      <w:r w:rsidRPr="00641656">
        <w:rPr>
          <w:rFonts w:cs="Times New Roman"/>
          <w:szCs w:val="24"/>
        </w:rPr>
        <w:t>The implication for the present thesis is that a dendrimerosome should be evaluated as a delivery system with measurable properties rather than as an automatically tumor-targeted object. Imaging is therefore valuable because it can provide evidence about localization and distribution. Therapeutic efficacy should be interpreted alongside these measurements rather than assumed from particle formation alone.</w:t>
      </w:r>
    </w:p>
    <w:p w14:paraId="745BA005"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1.7 Vesicular Drug-Delivery Systems</w:t>
      </w:r>
    </w:p>
    <w:p w14:paraId="7A16E257" w14:textId="77777777" w:rsidR="00D418B2" w:rsidRPr="00641656" w:rsidRDefault="00000000" w:rsidP="00641656">
      <w:pPr>
        <w:jc w:val="both"/>
        <w:rPr>
          <w:rFonts w:cs="Times New Roman"/>
          <w:szCs w:val="24"/>
        </w:rPr>
      </w:pPr>
      <w:r w:rsidRPr="00641656">
        <w:rPr>
          <w:rFonts w:cs="Times New Roman"/>
          <w:szCs w:val="24"/>
        </w:rPr>
        <w:t>Vesicular systems are organized supramolecular structures that separate an internal aqueous compartment from the surrounding medium through a membrane or membrane-like interface. Their ability to accommodate hydrophilic and hydrophobic molecules in different regions has made them attractive for combination delivery. Liposomes provide the best-established example, but the broader class includes niosomes, polymersomes, transferosomes, and dendrimer-derived vesicles.</w:t>
      </w:r>
    </w:p>
    <w:p w14:paraId="5AF60DA1" w14:textId="77777777" w:rsidR="00D418B2" w:rsidRPr="00641656" w:rsidRDefault="00000000" w:rsidP="00641656">
      <w:pPr>
        <w:jc w:val="both"/>
        <w:rPr>
          <w:rFonts w:cs="Times New Roman"/>
          <w:szCs w:val="24"/>
        </w:rPr>
      </w:pPr>
      <w:r w:rsidRPr="00641656">
        <w:rPr>
          <w:rFonts w:cs="Times New Roman"/>
          <w:szCs w:val="24"/>
        </w:rPr>
        <w:lastRenderedPageBreak/>
        <w:t>The pharmaceutical performance of a vesicle depends on molecular composition, membrane organization, size, surface charge, hydration, rigidity, drug–carrier interactions, and environmental conditions. Particle size influences colloidal behavior and biological distribution, while the polydispersity index provides information about population uniformity. Zeta potential offers insight into electrostatic surface behavior, although interpretation must account for ionic strength and measurement medium.</w:t>
      </w:r>
    </w:p>
    <w:p w14:paraId="2C75B43A" w14:textId="77777777" w:rsidR="00D418B2" w:rsidRPr="00641656" w:rsidRDefault="00000000" w:rsidP="00641656">
      <w:pPr>
        <w:jc w:val="both"/>
        <w:rPr>
          <w:rFonts w:cs="Times New Roman"/>
          <w:szCs w:val="24"/>
        </w:rPr>
      </w:pPr>
      <w:r w:rsidRPr="00641656">
        <w:rPr>
          <w:rFonts w:cs="Times New Roman"/>
          <w:szCs w:val="24"/>
        </w:rPr>
        <w:t>For a dual-drug formulation, vesicle design becomes more demanding because the two compounds may compete for different molecular environments. Increasing one drug's loading can alter membrane packing, curvature, osmotic balance, or the location available to the second drug. A formulation that achieves high loading of one agent at the expense of instability or poor loading of the other may therefore be inferior to a formulation with slightly lower loading but better overall performance.</w:t>
      </w:r>
    </w:p>
    <w:p w14:paraId="3A8FEDA3" w14:textId="77777777" w:rsidR="00D418B2" w:rsidRPr="00641656" w:rsidRDefault="00000000" w:rsidP="00641656">
      <w:pPr>
        <w:jc w:val="both"/>
        <w:rPr>
          <w:rFonts w:cs="Times New Roman"/>
          <w:szCs w:val="24"/>
        </w:rPr>
      </w:pPr>
      <w:r w:rsidRPr="00641656">
        <w:rPr>
          <w:rFonts w:cs="Times New Roman"/>
          <w:szCs w:val="24"/>
        </w:rPr>
        <w:t>Controlled release is another central property. The membrane can act as a diffusion barrier, and release may depend on drug partitioning, membrane thickness, hydration, temperature, pH, ionic conditions, protein interactions, and carrier degradation. Release should therefore be evaluated under defined conditions and interpreted together with stability. Mathematical models may help identify plausible mechanisms, but model selection should follow experimental evidence rather than simply assigning a familiar kinetic label to a curve.</w:t>
      </w:r>
    </w:p>
    <w:p w14:paraId="3E9C5484"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1.8 Dendrimers and Janus Dendrimers</w:t>
      </w:r>
    </w:p>
    <w:p w14:paraId="0E631EAD" w14:textId="77777777" w:rsidR="00D418B2" w:rsidRPr="00641656" w:rsidRDefault="00000000" w:rsidP="00641656">
      <w:pPr>
        <w:jc w:val="both"/>
        <w:rPr>
          <w:rFonts w:cs="Times New Roman"/>
          <w:szCs w:val="24"/>
        </w:rPr>
      </w:pPr>
      <w:r w:rsidRPr="00641656">
        <w:rPr>
          <w:rFonts w:cs="Times New Roman"/>
          <w:szCs w:val="24"/>
        </w:rPr>
        <w:t>Dendrimers are highly branched macromolecules characterized by a defined core, repeated branching units, and a large number of terminal functional groups. Their molecular architecture permits control over size, surface chemistry, and functionalization. Depending on generation and terminal groups, dendrimers can interact with drugs through electrostatic forces, hydrogen bonding, hydrophobic interactions, or encapsulation within internal domains.</w:t>
      </w:r>
    </w:p>
    <w:p w14:paraId="0B9C9AB5" w14:textId="77777777" w:rsidR="00D418B2" w:rsidRPr="00641656" w:rsidRDefault="00000000" w:rsidP="00641656">
      <w:pPr>
        <w:jc w:val="both"/>
        <w:rPr>
          <w:rFonts w:cs="Times New Roman"/>
          <w:szCs w:val="24"/>
        </w:rPr>
      </w:pPr>
      <w:r w:rsidRPr="00641656">
        <w:rPr>
          <w:rFonts w:cs="Times New Roman"/>
          <w:szCs w:val="24"/>
        </w:rPr>
        <w:t>Janus dendrimers differ from conventional approximately symmetric dendritic structures because chemically distinct regions are incorporated into the same molecule. This broken symmetry produces amphiphilic behavior and can promote self-assembly. Rather than functioning only as individual macromolecules, Janus dendrimers can organize into higher-</w:t>
      </w:r>
      <w:r w:rsidRPr="00641656">
        <w:rPr>
          <w:rFonts w:cs="Times New Roman"/>
          <w:szCs w:val="24"/>
        </w:rPr>
        <w:lastRenderedPageBreak/>
        <w:t>order structures including vesicles and related morphologies. Dendrimerosomes are one such supramolecular outcome.</w:t>
      </w:r>
    </w:p>
    <w:p w14:paraId="11E7CCA7" w14:textId="77777777" w:rsidR="00D418B2" w:rsidRPr="00641656" w:rsidRDefault="00000000" w:rsidP="00641656">
      <w:pPr>
        <w:jc w:val="both"/>
        <w:rPr>
          <w:rFonts w:cs="Times New Roman"/>
          <w:szCs w:val="24"/>
        </w:rPr>
      </w:pPr>
      <w:r w:rsidRPr="00641656">
        <w:rPr>
          <w:rFonts w:cs="Times New Roman"/>
          <w:szCs w:val="24"/>
        </w:rPr>
        <w:t>The pharmaceutical relevance of this architecture lies in the ability to combine molecular definition with vesicular organization. A Janus dendrimer can be designed with distinct hydrophilic and hydrophobic characteristics, while the assembled vesicle can provide a spatially organized carrier for therapeutic and imaging components. Literature on dendrimerosomes describes them as a developing class of nanovesicles with potential applications in drug delivery and theranostics, while also emphasizing that their properties remain less extensively characterized than established liposomal platforms (Giustini et al., 2012; Jeevanandam et al., 2022).</w:t>
      </w:r>
    </w:p>
    <w:p w14:paraId="04A2CD4E" w14:textId="77777777" w:rsidR="00D418B2" w:rsidRPr="00641656" w:rsidRDefault="00000000" w:rsidP="00641656">
      <w:pPr>
        <w:jc w:val="both"/>
        <w:rPr>
          <w:rFonts w:cs="Times New Roman"/>
          <w:szCs w:val="24"/>
        </w:rPr>
      </w:pPr>
      <w:r w:rsidRPr="00641656">
        <w:rPr>
          <w:rFonts w:cs="Times New Roman"/>
          <w:szCs w:val="24"/>
        </w:rPr>
        <w:t>Surface chemistry remains a critical determinant of safety. Strongly cationic dendritic materials can interact efficiently with cell membranes but may also increase nonspecific toxicity. Surface shielding, controlled functionalization, or selection of less disruptive terminal groups may therefore be required. The present formulation should consequently be characterized not only for its ability to form vesicles but also for the biological consequences of its surface chemistry.</w:t>
      </w:r>
    </w:p>
    <w:p w14:paraId="74AAEA5F" w14:textId="77777777" w:rsidR="00D418B2" w:rsidRPr="00641656" w:rsidRDefault="00000000" w:rsidP="00641656">
      <w:pPr>
        <w:jc w:val="both"/>
        <w:rPr>
          <w:rFonts w:cs="Times New Roman"/>
          <w:szCs w:val="24"/>
        </w:rPr>
      </w:pPr>
      <w:r w:rsidRPr="00641656">
        <w:rPr>
          <w:rFonts w:cs="Times New Roman"/>
          <w:b/>
          <w:szCs w:val="24"/>
        </w:rPr>
        <w:t>Figure 1.1. Conceptual rationale for irinotecan–sorafenib dendrimerosome theranostics</w:t>
      </w:r>
    </w:p>
    <w:p w14:paraId="5BEE31D3" w14:textId="365633B9" w:rsidR="00D418B2" w:rsidRPr="00641656" w:rsidRDefault="00641656" w:rsidP="00641656">
      <w:pPr>
        <w:jc w:val="both"/>
        <w:rPr>
          <w:rFonts w:cs="Times New Roman"/>
          <w:szCs w:val="24"/>
        </w:rPr>
      </w:pPr>
      <w:r w:rsidRPr="00641656">
        <w:rPr>
          <w:rFonts w:cs="Times New Roman"/>
          <w:szCs w:val="24"/>
        </w:rPr>
        <w:drawing>
          <wp:inline distT="0" distB="0" distL="0" distR="0" wp14:anchorId="240B21B1" wp14:editId="7BB04A4F">
            <wp:extent cx="5715000" cy="3371215"/>
            <wp:effectExtent l="0" t="0" r="0" b="635"/>
            <wp:docPr id="37098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0086" name=""/>
                    <pic:cNvPicPr/>
                  </pic:nvPicPr>
                  <pic:blipFill>
                    <a:blip r:embed="rId6"/>
                    <a:stretch>
                      <a:fillRect/>
                    </a:stretch>
                  </pic:blipFill>
                  <pic:spPr>
                    <a:xfrm>
                      <a:off x="0" y="0"/>
                      <a:ext cx="5715000" cy="3371215"/>
                    </a:xfrm>
                    <a:prstGeom prst="rect">
                      <a:avLst/>
                    </a:prstGeom>
                  </pic:spPr>
                </pic:pic>
              </a:graphicData>
            </a:graphic>
          </wp:inline>
        </w:drawing>
      </w:r>
    </w:p>
    <w:p w14:paraId="5BFA5A78" w14:textId="77777777" w:rsidR="00D418B2" w:rsidRPr="00641656" w:rsidRDefault="00000000" w:rsidP="00641656">
      <w:pPr>
        <w:jc w:val="both"/>
        <w:rPr>
          <w:rFonts w:cs="Times New Roman"/>
          <w:szCs w:val="24"/>
        </w:rPr>
      </w:pPr>
      <w:r w:rsidRPr="00641656">
        <w:rPr>
          <w:rFonts w:cs="Times New Roman"/>
          <w:i/>
          <w:szCs w:val="24"/>
        </w:rPr>
        <w:lastRenderedPageBreak/>
        <w:t xml:space="preserve">Note. </w:t>
      </w:r>
      <w:r w:rsidRPr="00641656">
        <w:rPr>
          <w:rFonts w:cs="Times New Roman"/>
          <w:szCs w:val="24"/>
        </w:rPr>
        <w:t>The diagram links the therapeutic problem, dual-drug strategy, dendrimerosome platform, controlled exposure, imaging and measurable biological evidence. It is a conceptual framework and does not represent experimental data.</w:t>
      </w:r>
    </w:p>
    <w:p w14:paraId="2E6DA03C"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1.9 Dendrimerosomes as an Emerging Vesicular Platform</w:t>
      </w:r>
    </w:p>
    <w:p w14:paraId="3EA8F431" w14:textId="77777777" w:rsidR="00D418B2" w:rsidRPr="00641656" w:rsidRDefault="00000000" w:rsidP="00641656">
      <w:pPr>
        <w:jc w:val="both"/>
        <w:rPr>
          <w:rFonts w:cs="Times New Roman"/>
          <w:szCs w:val="24"/>
        </w:rPr>
      </w:pPr>
      <w:r w:rsidRPr="00641656">
        <w:rPr>
          <w:rFonts w:cs="Times New Roman"/>
          <w:szCs w:val="24"/>
        </w:rPr>
        <w:t>Dendrimerosomes are vesicular assemblies formed from amphiphilic dendritic building blocks. Early work demonstrated that Janus-type dendritic molecules can self-organize in aqueous media into vesicular structures that resemble the bilayer organization of biological membranes. Giustini et al. (2012), for example, demonstrated the formation of dendrimerosomes from a Janus dendritic material and investigated their ability to accommodate an integral membrane protein. Subsequent literature has expanded the conceptual scope of dendrimerosomes toward drug delivery, imaging, and multifunctional nanomedicine.</w:t>
      </w:r>
    </w:p>
    <w:p w14:paraId="72ACBFD5" w14:textId="77777777" w:rsidR="00D418B2" w:rsidRPr="00641656" w:rsidRDefault="00000000" w:rsidP="00641656">
      <w:pPr>
        <w:jc w:val="both"/>
        <w:rPr>
          <w:rFonts w:cs="Times New Roman"/>
          <w:szCs w:val="24"/>
        </w:rPr>
      </w:pPr>
      <w:r w:rsidRPr="00641656">
        <w:rPr>
          <w:rFonts w:cs="Times New Roman"/>
          <w:szCs w:val="24"/>
        </w:rPr>
        <w:t>The potential advantage of dendrimerosomes is their combination of self-assembly and molecular design. A conventional lipid vesicle is assembled from amphiphiles whose composition can be varied, but the molecular architecture of the individual lipid is relatively simple. Janus dendrimers provide a more highly organized building block with multiple functional groups and a defined asymmetric architecture. This may allow systematic adjustment of membrane properties and surface functionality.</w:t>
      </w:r>
    </w:p>
    <w:p w14:paraId="68484BE2" w14:textId="77777777" w:rsidR="00D418B2" w:rsidRPr="00641656" w:rsidRDefault="00000000" w:rsidP="00641656">
      <w:pPr>
        <w:jc w:val="both"/>
        <w:rPr>
          <w:rFonts w:cs="Times New Roman"/>
          <w:szCs w:val="24"/>
        </w:rPr>
      </w:pPr>
      <w:r w:rsidRPr="00641656">
        <w:rPr>
          <w:rFonts w:cs="Times New Roman"/>
          <w:szCs w:val="24"/>
        </w:rPr>
        <w:t>The same structural complexity creates development challenges. Dendrimerosome formation can depend on concentration, solvent history, hydration conditions, temperature, molecular composition, and processing energy. Small changes in these parameters may influence size distribution or morphology. A thesis-level formulation program should therefore characterize process variables and establish reproducible preparation conditions rather than reporting only a successful batch.</w:t>
      </w:r>
    </w:p>
    <w:p w14:paraId="38940088" w14:textId="77777777" w:rsidR="00D418B2" w:rsidRPr="00641656" w:rsidRDefault="00000000" w:rsidP="00641656">
      <w:pPr>
        <w:jc w:val="both"/>
        <w:rPr>
          <w:rFonts w:cs="Times New Roman"/>
          <w:szCs w:val="24"/>
        </w:rPr>
      </w:pPr>
      <w:r w:rsidRPr="00641656">
        <w:rPr>
          <w:rFonts w:cs="Times New Roman"/>
          <w:szCs w:val="24"/>
        </w:rPr>
        <w:t>The emerging status of dendrimerosomes also means that conventional liposomal benchmarks remain useful. Parameters such as size, PDI, surface charge, morphology, encapsulation efficiency, drug release, stability, and biological compatibility should be reported in a way that permits comparison with more established nanovesicles. This approach strengthens the translational value of the platform.</w:t>
      </w:r>
    </w:p>
    <w:p w14:paraId="20E53CAC" w14:textId="77777777" w:rsidR="00D418B2" w:rsidRPr="00641656" w:rsidRDefault="00000000" w:rsidP="00641656">
      <w:pPr>
        <w:jc w:val="both"/>
        <w:rPr>
          <w:rFonts w:cs="Times New Roman"/>
          <w:szCs w:val="24"/>
        </w:rPr>
      </w:pPr>
      <w:r w:rsidRPr="00641656">
        <w:rPr>
          <w:rFonts w:cs="Times New Roman"/>
          <w:b/>
          <w:szCs w:val="24"/>
        </w:rPr>
        <w:lastRenderedPageBreak/>
        <w:t>Figure 1.2. Conceptual architecture of a dual-drug dendrimerosome</w:t>
      </w:r>
    </w:p>
    <w:p w14:paraId="15554F1B" w14:textId="586EA27C" w:rsidR="00D418B2" w:rsidRPr="00641656" w:rsidRDefault="00E70809" w:rsidP="00641656">
      <w:pPr>
        <w:jc w:val="both"/>
        <w:rPr>
          <w:rFonts w:cs="Times New Roman"/>
          <w:szCs w:val="24"/>
        </w:rPr>
      </w:pPr>
      <w:r w:rsidRPr="00E70809">
        <w:rPr>
          <w:rFonts w:cs="Times New Roman"/>
          <w:szCs w:val="24"/>
        </w:rPr>
        <w:drawing>
          <wp:inline distT="0" distB="0" distL="0" distR="0" wp14:anchorId="275C5BFF" wp14:editId="2F844C0D">
            <wp:extent cx="5715000" cy="5227320"/>
            <wp:effectExtent l="0" t="0" r="0" b="0"/>
            <wp:docPr id="83143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37073" name=""/>
                    <pic:cNvPicPr/>
                  </pic:nvPicPr>
                  <pic:blipFill rotWithShape="1">
                    <a:blip r:embed="rId7"/>
                    <a:srcRect b="8533"/>
                    <a:stretch>
                      <a:fillRect/>
                    </a:stretch>
                  </pic:blipFill>
                  <pic:spPr bwMode="auto">
                    <a:xfrm>
                      <a:off x="0" y="0"/>
                      <a:ext cx="5715000" cy="5227320"/>
                    </a:xfrm>
                    <a:prstGeom prst="rect">
                      <a:avLst/>
                    </a:prstGeom>
                    <a:ln>
                      <a:noFill/>
                    </a:ln>
                    <a:extLst>
                      <a:ext uri="{53640926-AAD7-44D8-BBD7-CCE9431645EC}">
                        <a14:shadowObscured xmlns:a14="http://schemas.microsoft.com/office/drawing/2010/main"/>
                      </a:ext>
                    </a:extLst>
                  </pic:spPr>
                </pic:pic>
              </a:graphicData>
            </a:graphic>
          </wp:inline>
        </w:drawing>
      </w:r>
    </w:p>
    <w:p w14:paraId="04C87044" w14:textId="77777777" w:rsidR="00D418B2" w:rsidRPr="00641656" w:rsidRDefault="00000000" w:rsidP="00641656">
      <w:pPr>
        <w:jc w:val="both"/>
        <w:rPr>
          <w:rFonts w:cs="Times New Roman"/>
          <w:szCs w:val="24"/>
        </w:rPr>
      </w:pPr>
      <w:r w:rsidRPr="00641656">
        <w:rPr>
          <w:rFonts w:cs="Times New Roman"/>
          <w:i/>
          <w:szCs w:val="24"/>
        </w:rPr>
        <w:t xml:space="preserve">Note. </w:t>
      </w:r>
      <w:r w:rsidRPr="00641656">
        <w:rPr>
          <w:rFonts w:cs="Times New Roman"/>
          <w:szCs w:val="24"/>
        </w:rPr>
        <w:t>The illustration represents a formulation hypothesis. Exact molecular localization of irinotecan, sorafenib and any imaging probe should be established experimentally.</w:t>
      </w:r>
    </w:p>
    <w:p w14:paraId="18878FB0"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1.10 EPR Effect: Historical Rationale and Contemporary Qualification</w:t>
      </w:r>
    </w:p>
    <w:p w14:paraId="23A00225" w14:textId="77777777" w:rsidR="00D418B2" w:rsidRPr="00641656" w:rsidRDefault="00000000" w:rsidP="00641656">
      <w:pPr>
        <w:jc w:val="both"/>
        <w:rPr>
          <w:rFonts w:cs="Times New Roman"/>
          <w:szCs w:val="24"/>
        </w:rPr>
      </w:pPr>
      <w:r w:rsidRPr="00641656">
        <w:rPr>
          <w:rFonts w:cs="Times New Roman"/>
          <w:szCs w:val="24"/>
        </w:rPr>
        <w:t xml:space="preserve">The enhanced permeability and retention effect describes a pattern in which some tumors exhibit abnormal vascular permeability and impaired lymphatic drainage, potentially allowing macromolecules and nanoparticles to accumulate in tumor tissue. The concept has played a major role in the development of passive tumor-targeting strategies (Maeda, 2015). </w:t>
      </w:r>
      <w:r w:rsidRPr="00641656">
        <w:rPr>
          <w:rFonts w:cs="Times New Roman"/>
          <w:szCs w:val="24"/>
        </w:rPr>
        <w:lastRenderedPageBreak/>
        <w:t>It remains relevant, but its biological magnitude is variable and should not be treated as a universal property of all solid tumors.</w:t>
      </w:r>
    </w:p>
    <w:p w14:paraId="4C7F098D" w14:textId="77777777" w:rsidR="00D418B2" w:rsidRPr="00641656" w:rsidRDefault="00000000" w:rsidP="00641656">
      <w:pPr>
        <w:jc w:val="both"/>
        <w:rPr>
          <w:rFonts w:cs="Times New Roman"/>
          <w:szCs w:val="24"/>
        </w:rPr>
      </w:pPr>
      <w:r w:rsidRPr="00641656">
        <w:rPr>
          <w:rFonts w:cs="Times New Roman"/>
          <w:szCs w:val="24"/>
        </w:rPr>
        <w:t>Tumor vessels can differ substantially in structure and function. Blood flow may be reduced by vascular compression, necrosis can create poorly perfused regions, and dense extracellular matrix can restrict movement through the interstitium. Nanoparticles may also be captured by macrophages or other components of the mononuclear phagocyte system. Consequently, prolonged circulation may improve the probability of tumor exposure without guaranteeing deep penetration into malignant cells.</w:t>
      </w:r>
    </w:p>
    <w:p w14:paraId="409E4455" w14:textId="77777777" w:rsidR="00D418B2" w:rsidRPr="00641656" w:rsidRDefault="00000000" w:rsidP="00641656">
      <w:pPr>
        <w:jc w:val="both"/>
        <w:rPr>
          <w:rFonts w:cs="Times New Roman"/>
          <w:szCs w:val="24"/>
        </w:rPr>
      </w:pPr>
      <w:r w:rsidRPr="00641656">
        <w:rPr>
          <w:rFonts w:cs="Times New Roman"/>
          <w:szCs w:val="24"/>
        </w:rPr>
        <w:t>Modern evidence has further complicated the traditional passive-extravasation narrative. Sindhwani et al. (2020) reported experimental evidence that active trans-endothelial transport accounted for a major proportion of nanoparticle entry into tumors in the models examined. The study does not eliminate the importance of vascular permeability, but it illustrates why nanocarrier design should be based on measured transport mechanisms rather than simplified assumptions.</w:t>
      </w:r>
    </w:p>
    <w:p w14:paraId="12B0501E" w14:textId="77777777" w:rsidR="00D418B2" w:rsidRPr="00641656" w:rsidRDefault="00000000" w:rsidP="00641656">
      <w:pPr>
        <w:jc w:val="both"/>
        <w:rPr>
          <w:rFonts w:cs="Times New Roman"/>
          <w:szCs w:val="24"/>
        </w:rPr>
      </w:pPr>
      <w:r w:rsidRPr="00641656">
        <w:rPr>
          <w:rFonts w:cs="Times New Roman"/>
          <w:szCs w:val="24"/>
        </w:rPr>
        <w:t>For the proposed theranostic system, this uncertainty is an argument for measurement. If a carrier contains a stable imaging signal, distribution can be investigated directly. Imaging should not be interpreted as proof of therapeutic release, however. Carrier localization, drug concentration, intracellular uptake, and pharmacodynamic effect remain distinct variables.</w:t>
      </w:r>
    </w:p>
    <w:p w14:paraId="10FE3D35"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1.11 Tumor Microenvironment and Barriers to Delivery</w:t>
      </w:r>
    </w:p>
    <w:p w14:paraId="047ED779" w14:textId="77777777" w:rsidR="00D418B2" w:rsidRPr="00641656" w:rsidRDefault="00000000" w:rsidP="00641656">
      <w:pPr>
        <w:jc w:val="both"/>
        <w:rPr>
          <w:rFonts w:cs="Times New Roman"/>
          <w:szCs w:val="24"/>
        </w:rPr>
      </w:pPr>
      <w:r w:rsidRPr="00641656">
        <w:rPr>
          <w:rFonts w:cs="Times New Roman"/>
          <w:szCs w:val="24"/>
        </w:rPr>
        <w:t>The tumor microenvironment comprises malignant cells together with endothelial cells, fibroblasts, immune populations, extracellular matrix, soluble mediators, and abnormal physical conditions. This environment can function as both a biological and a physical barrier to drug delivery. High interstitial pressure may oppose fluid movement, collagen-rich extracellular matrix can hinder diffusion, and abnormal vasculature can create heterogeneous perfusion.</w:t>
      </w:r>
    </w:p>
    <w:p w14:paraId="111CFFCC" w14:textId="77777777" w:rsidR="00D418B2" w:rsidRPr="00641656" w:rsidRDefault="00000000" w:rsidP="00641656">
      <w:pPr>
        <w:jc w:val="both"/>
        <w:rPr>
          <w:rFonts w:cs="Times New Roman"/>
          <w:szCs w:val="24"/>
        </w:rPr>
      </w:pPr>
      <w:r w:rsidRPr="00641656">
        <w:rPr>
          <w:rFonts w:cs="Times New Roman"/>
          <w:szCs w:val="24"/>
        </w:rPr>
        <w:t xml:space="preserve">The microenvironment is dynamic. Treatment can change vascular organization, inflammatory signaling, stromal composition, and tumor-cell density. Therefore, the distribution of a nanoparticle before treatment may not be identical to its distribution after </w:t>
      </w:r>
      <w:r w:rsidRPr="00641656">
        <w:rPr>
          <w:rFonts w:cs="Times New Roman"/>
          <w:szCs w:val="24"/>
        </w:rPr>
        <w:lastRenderedPageBreak/>
        <w:t>repeated dosing or combination therapy. This reinforces the importance of studying delivery in the context of the intended treatment sequence.</w:t>
      </w:r>
    </w:p>
    <w:p w14:paraId="208DE97D" w14:textId="77777777" w:rsidR="00D418B2" w:rsidRPr="00641656" w:rsidRDefault="00000000" w:rsidP="00641656">
      <w:pPr>
        <w:jc w:val="both"/>
        <w:rPr>
          <w:rFonts w:cs="Times New Roman"/>
          <w:szCs w:val="24"/>
        </w:rPr>
      </w:pPr>
      <w:r w:rsidRPr="00641656">
        <w:rPr>
          <w:rFonts w:cs="Times New Roman"/>
          <w:szCs w:val="24"/>
        </w:rPr>
        <w:t>Particle size is often presented as a single optimization target, but there is no universal particle size that maximizes every desired biological function. Smaller particles may penetrate some barriers more effectively but may also clear differently. Surface charge, shape, deformability, protein adsorption, and colloidal stability also influence behavior. Formulation optimization should consequently consider multiple quality attributes rather than maximizing one parameter.</w:t>
      </w:r>
    </w:p>
    <w:p w14:paraId="7F43129C" w14:textId="77777777" w:rsidR="00D418B2" w:rsidRPr="00641656" w:rsidRDefault="00000000" w:rsidP="00641656">
      <w:pPr>
        <w:jc w:val="both"/>
        <w:rPr>
          <w:rFonts w:cs="Times New Roman"/>
          <w:szCs w:val="24"/>
        </w:rPr>
      </w:pPr>
      <w:r w:rsidRPr="00641656">
        <w:rPr>
          <w:rFonts w:cs="Times New Roman"/>
          <w:szCs w:val="24"/>
        </w:rPr>
        <w:t>The proposed dendrimerosome should therefore be developed around a balanced set of requirements: sufficient stability for biological handling, suitable size and uniformity, controlled drug release, acceptable surface properties, and measurable cellular interaction. These properties should be connected experimentally rather than optimized in isolation.</w:t>
      </w:r>
    </w:p>
    <w:p w14:paraId="4B2DDF56"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1.12 Theranostics and the Role of Imaging</w:t>
      </w:r>
    </w:p>
    <w:p w14:paraId="39DDB90A" w14:textId="77777777" w:rsidR="00D418B2" w:rsidRPr="00641656" w:rsidRDefault="00000000" w:rsidP="00641656">
      <w:pPr>
        <w:jc w:val="both"/>
        <w:rPr>
          <w:rFonts w:cs="Times New Roman"/>
          <w:szCs w:val="24"/>
        </w:rPr>
      </w:pPr>
      <w:r w:rsidRPr="00641656">
        <w:rPr>
          <w:rFonts w:cs="Times New Roman"/>
          <w:szCs w:val="24"/>
        </w:rPr>
        <w:t>Theranostics combines therapeutic and diagnostic or imaging functions within a coordinated platform. In cancer nanomedicine, the concept is valuable because delivery itself can be difficult to observe. A therapeutic response observed at the endpoint does not necessarily reveal whether the carrier reached the tumor, whether it was internalized, or whether the drug was released in the appropriate compartment.</w:t>
      </w:r>
    </w:p>
    <w:p w14:paraId="0A108376" w14:textId="77777777" w:rsidR="00D418B2" w:rsidRPr="00641656" w:rsidRDefault="00000000" w:rsidP="00641656">
      <w:pPr>
        <w:jc w:val="both"/>
        <w:rPr>
          <w:rFonts w:cs="Times New Roman"/>
          <w:szCs w:val="24"/>
        </w:rPr>
      </w:pPr>
      <w:r w:rsidRPr="00641656">
        <w:rPr>
          <w:rFonts w:cs="Times New Roman"/>
          <w:szCs w:val="24"/>
        </w:rPr>
        <w:t>A useful imaging function should answer a defined development question. It may be used to determine carrier distribution, cellular uptake, persistence, or spatial heterogeneity. Fluorescence approaches are particularly useful for laboratory studies because they can be combined with microscopy and flow cytometry. Their limitations include tissue scattering, limited penetration depth, photobleaching, quenching, and the possibility that a released probe will produce a signal that no longer represents carrier-associated material.</w:t>
      </w:r>
    </w:p>
    <w:p w14:paraId="368FFCA4" w14:textId="77777777" w:rsidR="00D418B2" w:rsidRPr="00641656" w:rsidRDefault="00000000" w:rsidP="00641656">
      <w:pPr>
        <w:jc w:val="both"/>
        <w:rPr>
          <w:rFonts w:cs="Times New Roman"/>
          <w:szCs w:val="24"/>
        </w:rPr>
      </w:pPr>
      <w:r w:rsidRPr="00641656">
        <w:rPr>
          <w:rFonts w:cs="Times New Roman"/>
          <w:szCs w:val="24"/>
        </w:rPr>
        <w:t>For the proposed dendrimerosome, imaging should therefore be treated as an analytical layer rather than an ornamental feature. The probe must be compatible with the vesicle, should not substantially change drug loading or stability, and should be evaluated with appropriate controls. A carrier-associated signal should be distinguished from free-probe signal where possible.</w:t>
      </w:r>
    </w:p>
    <w:p w14:paraId="4CDBF0F3"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lastRenderedPageBreak/>
        <w:t>1.13 Cellular Uptake and Intracellular Trafficking</w:t>
      </w:r>
    </w:p>
    <w:p w14:paraId="2CB77E29" w14:textId="77777777" w:rsidR="00D418B2" w:rsidRPr="00641656" w:rsidRDefault="00000000" w:rsidP="00641656">
      <w:pPr>
        <w:jc w:val="both"/>
        <w:rPr>
          <w:rFonts w:cs="Times New Roman"/>
          <w:szCs w:val="24"/>
        </w:rPr>
      </w:pPr>
      <w:r w:rsidRPr="00641656">
        <w:rPr>
          <w:rFonts w:cs="Times New Roman"/>
          <w:szCs w:val="24"/>
        </w:rPr>
        <w:t>After exposure to biological fluids, nanoparticles acquire a dynamic interface shaped by adsorbed proteins and other biomolecules. This biomolecular corona can alter the apparent identity of the particle and influence cellular recognition, uptake, and biodistribution (Monopoli et al., 2012). Consequently, uptake measured in protein-free culture conditions may not predict uptake in physiological media.</w:t>
      </w:r>
    </w:p>
    <w:p w14:paraId="166FA33E" w14:textId="77777777" w:rsidR="00D418B2" w:rsidRPr="00641656" w:rsidRDefault="00000000" w:rsidP="00641656">
      <w:pPr>
        <w:jc w:val="both"/>
        <w:rPr>
          <w:rFonts w:cs="Times New Roman"/>
          <w:szCs w:val="24"/>
        </w:rPr>
      </w:pPr>
      <w:r w:rsidRPr="00641656">
        <w:rPr>
          <w:rFonts w:cs="Times New Roman"/>
          <w:szCs w:val="24"/>
        </w:rPr>
        <w:t>Cellular uptake can occur through several endocytic pathways and is influenced by particle size, surface chemistry, cell type, receptor expression, and the surrounding medium. Internalized particles may traffic through early and late endosomes, lysosomes, recycling pathways, or other compartments. The site of drug release is important because a high total uptake does not necessarily mean high pharmacological delivery to the relevant intracellular target.</w:t>
      </w:r>
    </w:p>
    <w:p w14:paraId="53D64BC7" w14:textId="77777777" w:rsidR="00D418B2" w:rsidRPr="00641656" w:rsidRDefault="00000000" w:rsidP="00641656">
      <w:pPr>
        <w:jc w:val="both"/>
        <w:rPr>
          <w:rFonts w:cs="Times New Roman"/>
          <w:szCs w:val="24"/>
        </w:rPr>
      </w:pPr>
      <w:r w:rsidRPr="00641656">
        <w:rPr>
          <w:rFonts w:cs="Times New Roman"/>
          <w:szCs w:val="24"/>
        </w:rPr>
        <w:t>Irinotecan-associated activity ultimately depends on access to nuclear DNA and topoisomerase I-related processes, while sorafenib acts through kinase signaling pathways. A successful dual-drug carrier should therefore be evaluated not simply for uptake but for the relationship between uptake, release, and biological effect.</w:t>
      </w:r>
    </w:p>
    <w:p w14:paraId="5F25EB5B" w14:textId="77777777" w:rsidR="00D418B2" w:rsidRPr="00641656" w:rsidRDefault="00000000" w:rsidP="00641656">
      <w:pPr>
        <w:jc w:val="both"/>
        <w:rPr>
          <w:rFonts w:cs="Times New Roman"/>
          <w:szCs w:val="24"/>
        </w:rPr>
      </w:pPr>
      <w:r w:rsidRPr="00641656">
        <w:rPr>
          <w:rFonts w:cs="Times New Roman"/>
          <w:szCs w:val="24"/>
        </w:rPr>
        <w:t>Microscopy and flow cytometry provide complementary evidence. Microscopy can demonstrate spatial localization, while flow cytometry can quantify cell-associated signal across large populations. However, surface-bound particles can contribute to fluorescence measurements. Appropriate controls and, when necessary, quenching, temperature-dependent uptake experiments, or confocal optical sectioning should be used to support claims of internalization.</w:t>
      </w:r>
    </w:p>
    <w:p w14:paraId="4CC2E8A3"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1.14 Controlled Release and Pharmacokinetic Rationale</w:t>
      </w:r>
    </w:p>
    <w:p w14:paraId="6C63823D" w14:textId="77777777" w:rsidR="00D418B2" w:rsidRPr="00641656" w:rsidRDefault="00000000" w:rsidP="00641656">
      <w:pPr>
        <w:jc w:val="both"/>
        <w:rPr>
          <w:rFonts w:cs="Times New Roman"/>
          <w:szCs w:val="24"/>
        </w:rPr>
      </w:pPr>
      <w:r w:rsidRPr="00641656">
        <w:rPr>
          <w:rFonts w:cs="Times New Roman"/>
          <w:szCs w:val="24"/>
        </w:rPr>
        <w:t>Controlled release refers to deliberate regulation of the rate at which a drug becomes available from a carrier. In nanomedicine, release is closely connected to pharmacokinetics because the free-drug concentration determines much of the immediate pharmacological exposure. A carrier that accumulates in a tissue but retains its payload indefinitely may have limited therapeutic value, whereas a carrier that releases its cargo immediately may provide little advantage over the free drug.</w:t>
      </w:r>
    </w:p>
    <w:p w14:paraId="408853DF" w14:textId="77777777" w:rsidR="00D418B2" w:rsidRPr="00641656" w:rsidRDefault="00000000" w:rsidP="00641656">
      <w:pPr>
        <w:jc w:val="both"/>
        <w:rPr>
          <w:rFonts w:cs="Times New Roman"/>
          <w:szCs w:val="24"/>
        </w:rPr>
      </w:pPr>
      <w:r w:rsidRPr="00641656">
        <w:rPr>
          <w:rFonts w:cs="Times New Roman"/>
          <w:szCs w:val="24"/>
        </w:rPr>
        <w:lastRenderedPageBreak/>
        <w:t>For dual-drug systems, release must be evaluated separately for each agent. The formulation may produce a matched release profile, a deliberately sequential profile, or an uncontrolled differential release. Each outcome can have different biological consequences. Therefore, the irinotecan:sorafenib ratio in the released fraction should be reported alongside cumulative release.</w:t>
      </w:r>
    </w:p>
    <w:p w14:paraId="490679A3" w14:textId="77777777" w:rsidR="00D418B2" w:rsidRPr="00641656" w:rsidRDefault="00000000" w:rsidP="00641656">
      <w:pPr>
        <w:jc w:val="both"/>
        <w:rPr>
          <w:rFonts w:cs="Times New Roman"/>
          <w:szCs w:val="24"/>
        </w:rPr>
      </w:pPr>
      <w:r w:rsidRPr="00641656">
        <w:rPr>
          <w:rFonts w:cs="Times New Roman"/>
          <w:szCs w:val="24"/>
        </w:rPr>
        <w:t>Experimental release conditions require careful definition. Buffer composition, pH, temperature, ionic strength, protein content, sink conditions, sampling schedule, and separation method can all influence the observed profile. Dialysis-based methods introduce a secondary diffusion barrier and therefore should include free-drug controls to distinguish carrier-controlled release from membrane-controlled transport.</w:t>
      </w:r>
    </w:p>
    <w:p w14:paraId="18754413" w14:textId="77777777" w:rsidR="00D418B2" w:rsidRPr="00641656" w:rsidRDefault="00000000" w:rsidP="00641656">
      <w:pPr>
        <w:jc w:val="both"/>
        <w:rPr>
          <w:rFonts w:cs="Times New Roman"/>
          <w:szCs w:val="24"/>
        </w:rPr>
      </w:pPr>
      <w:r w:rsidRPr="00641656">
        <w:rPr>
          <w:rFonts w:cs="Times New Roman"/>
          <w:szCs w:val="24"/>
        </w:rPr>
        <w:t>Kinetic models such as zero-order, first-order, Higuchi, and Korsmeyer–Peppas models can be useful when applied appropriately. The objective should be to identify or compare plausible mechanisms rather than to force every dataset into a familiar mathematical category. Mechanistic interpretation is strengthened when release data are considered together with morphology, membrane composition, and stability.</w:t>
      </w:r>
    </w:p>
    <w:p w14:paraId="65C148EB" w14:textId="77777777" w:rsidR="00D418B2" w:rsidRPr="00641656" w:rsidRDefault="00000000" w:rsidP="00641656">
      <w:pPr>
        <w:jc w:val="both"/>
        <w:rPr>
          <w:rFonts w:cs="Times New Roman"/>
          <w:szCs w:val="24"/>
        </w:rPr>
      </w:pPr>
      <w:r w:rsidRPr="00641656">
        <w:rPr>
          <w:rFonts w:cs="Times New Roman"/>
          <w:b/>
          <w:szCs w:val="24"/>
        </w:rPr>
        <w:t>Table 1.2. Critical quality attributes and proposed analytical approaches</w:t>
      </w:r>
    </w:p>
    <w:tbl>
      <w:tblPr>
        <w:tblStyle w:val="TableGrid"/>
        <w:tblW w:w="0" w:type="auto"/>
        <w:jc w:val="center"/>
        <w:tblLook w:val="04A0" w:firstRow="1" w:lastRow="0" w:firstColumn="1" w:lastColumn="0" w:noHBand="0" w:noVBand="1"/>
      </w:tblPr>
      <w:tblGrid>
        <w:gridCol w:w="2248"/>
        <w:gridCol w:w="2247"/>
        <w:gridCol w:w="2248"/>
        <w:gridCol w:w="2247"/>
      </w:tblGrid>
      <w:tr w:rsidR="00D418B2" w:rsidRPr="00641656" w14:paraId="1D0955E2" w14:textId="77777777">
        <w:trPr>
          <w:jc w:val="center"/>
        </w:trPr>
        <w:tc>
          <w:tcPr>
            <w:tcW w:w="2250" w:type="dxa"/>
            <w:shd w:val="clear" w:color="auto" w:fill="D9EAF7"/>
            <w:vAlign w:val="center"/>
          </w:tcPr>
          <w:p w14:paraId="43174C2B" w14:textId="77777777" w:rsidR="00D418B2" w:rsidRPr="00641656" w:rsidRDefault="00000000" w:rsidP="00641656">
            <w:pPr>
              <w:jc w:val="both"/>
              <w:rPr>
                <w:rFonts w:cs="Times New Roman"/>
                <w:szCs w:val="24"/>
              </w:rPr>
            </w:pPr>
            <w:r w:rsidRPr="00641656">
              <w:rPr>
                <w:rFonts w:cs="Times New Roman"/>
                <w:b/>
                <w:szCs w:val="24"/>
              </w:rPr>
              <w:t>Critical quality attribute</w:t>
            </w:r>
          </w:p>
        </w:tc>
        <w:tc>
          <w:tcPr>
            <w:tcW w:w="2250" w:type="dxa"/>
            <w:shd w:val="clear" w:color="auto" w:fill="D9EAF7"/>
            <w:vAlign w:val="center"/>
          </w:tcPr>
          <w:p w14:paraId="6FD1DD91" w14:textId="77777777" w:rsidR="00D418B2" w:rsidRPr="00641656" w:rsidRDefault="00000000" w:rsidP="00641656">
            <w:pPr>
              <w:jc w:val="both"/>
              <w:rPr>
                <w:rFonts w:cs="Times New Roman"/>
                <w:szCs w:val="24"/>
              </w:rPr>
            </w:pPr>
            <w:r w:rsidRPr="00641656">
              <w:rPr>
                <w:rFonts w:cs="Times New Roman"/>
                <w:b/>
                <w:szCs w:val="24"/>
              </w:rPr>
              <w:t>Importance</w:t>
            </w:r>
          </w:p>
        </w:tc>
        <w:tc>
          <w:tcPr>
            <w:tcW w:w="2250" w:type="dxa"/>
            <w:shd w:val="clear" w:color="auto" w:fill="D9EAF7"/>
            <w:vAlign w:val="center"/>
          </w:tcPr>
          <w:p w14:paraId="612DFC9C" w14:textId="77777777" w:rsidR="00D418B2" w:rsidRPr="00641656" w:rsidRDefault="00000000" w:rsidP="00641656">
            <w:pPr>
              <w:jc w:val="both"/>
              <w:rPr>
                <w:rFonts w:cs="Times New Roman"/>
                <w:szCs w:val="24"/>
              </w:rPr>
            </w:pPr>
            <w:r w:rsidRPr="00641656">
              <w:rPr>
                <w:rFonts w:cs="Times New Roman"/>
                <w:b/>
                <w:szCs w:val="24"/>
              </w:rPr>
              <w:t>Potential method</w:t>
            </w:r>
          </w:p>
        </w:tc>
        <w:tc>
          <w:tcPr>
            <w:tcW w:w="2250" w:type="dxa"/>
            <w:shd w:val="clear" w:color="auto" w:fill="D9EAF7"/>
            <w:vAlign w:val="center"/>
          </w:tcPr>
          <w:p w14:paraId="3C40CD1B" w14:textId="77777777" w:rsidR="00D418B2" w:rsidRPr="00641656" w:rsidRDefault="00000000" w:rsidP="00641656">
            <w:pPr>
              <w:jc w:val="both"/>
              <w:rPr>
                <w:rFonts w:cs="Times New Roman"/>
                <w:szCs w:val="24"/>
              </w:rPr>
            </w:pPr>
            <w:r w:rsidRPr="00641656">
              <w:rPr>
                <w:rFonts w:cs="Times New Roman"/>
                <w:b/>
                <w:szCs w:val="24"/>
              </w:rPr>
              <w:t>Interpretive consideration</w:t>
            </w:r>
          </w:p>
        </w:tc>
      </w:tr>
      <w:tr w:rsidR="00D418B2" w:rsidRPr="00641656" w14:paraId="04A1FFA2" w14:textId="77777777">
        <w:trPr>
          <w:jc w:val="center"/>
        </w:trPr>
        <w:tc>
          <w:tcPr>
            <w:tcW w:w="2250" w:type="dxa"/>
            <w:vAlign w:val="center"/>
          </w:tcPr>
          <w:p w14:paraId="0A30871C" w14:textId="77777777" w:rsidR="00D418B2" w:rsidRPr="00641656" w:rsidRDefault="00000000" w:rsidP="00641656">
            <w:pPr>
              <w:jc w:val="both"/>
              <w:rPr>
                <w:rFonts w:cs="Times New Roman"/>
                <w:szCs w:val="24"/>
              </w:rPr>
            </w:pPr>
            <w:r w:rsidRPr="00641656">
              <w:rPr>
                <w:rFonts w:cs="Times New Roman"/>
                <w:szCs w:val="24"/>
              </w:rPr>
              <w:t>Particle size</w:t>
            </w:r>
          </w:p>
        </w:tc>
        <w:tc>
          <w:tcPr>
            <w:tcW w:w="2250" w:type="dxa"/>
            <w:vAlign w:val="center"/>
          </w:tcPr>
          <w:p w14:paraId="02BC0602" w14:textId="77777777" w:rsidR="00D418B2" w:rsidRPr="00641656" w:rsidRDefault="00000000" w:rsidP="00641656">
            <w:pPr>
              <w:jc w:val="both"/>
              <w:rPr>
                <w:rFonts w:cs="Times New Roman"/>
                <w:szCs w:val="24"/>
              </w:rPr>
            </w:pPr>
            <w:r w:rsidRPr="00641656">
              <w:rPr>
                <w:rFonts w:cs="Times New Roman"/>
                <w:szCs w:val="24"/>
              </w:rPr>
              <w:t>Affects colloidal behavior and biological transport</w:t>
            </w:r>
          </w:p>
        </w:tc>
        <w:tc>
          <w:tcPr>
            <w:tcW w:w="2250" w:type="dxa"/>
            <w:vAlign w:val="center"/>
          </w:tcPr>
          <w:p w14:paraId="023F1D1F" w14:textId="77777777" w:rsidR="00D418B2" w:rsidRPr="00641656" w:rsidRDefault="00000000" w:rsidP="00641656">
            <w:pPr>
              <w:jc w:val="both"/>
              <w:rPr>
                <w:rFonts w:cs="Times New Roman"/>
                <w:szCs w:val="24"/>
              </w:rPr>
            </w:pPr>
            <w:r w:rsidRPr="00641656">
              <w:rPr>
                <w:rFonts w:cs="Times New Roman"/>
                <w:szCs w:val="24"/>
              </w:rPr>
              <w:t>Dynamic light scattering</w:t>
            </w:r>
          </w:p>
        </w:tc>
        <w:tc>
          <w:tcPr>
            <w:tcW w:w="2250" w:type="dxa"/>
            <w:vAlign w:val="center"/>
          </w:tcPr>
          <w:p w14:paraId="4A4CF00D" w14:textId="77777777" w:rsidR="00D418B2" w:rsidRPr="00641656" w:rsidRDefault="00000000" w:rsidP="00641656">
            <w:pPr>
              <w:jc w:val="both"/>
              <w:rPr>
                <w:rFonts w:cs="Times New Roman"/>
                <w:szCs w:val="24"/>
              </w:rPr>
            </w:pPr>
            <w:r w:rsidRPr="00641656">
              <w:rPr>
                <w:rFonts w:cs="Times New Roman"/>
                <w:szCs w:val="24"/>
              </w:rPr>
              <w:t xml:space="preserve">Report </w:t>
            </w:r>
            <w:proofErr w:type="gramStart"/>
            <w:r w:rsidRPr="00641656">
              <w:rPr>
                <w:rFonts w:cs="Times New Roman"/>
                <w:szCs w:val="24"/>
              </w:rPr>
              <w:t>mean</w:t>
            </w:r>
            <w:proofErr w:type="gramEnd"/>
            <w:r w:rsidRPr="00641656">
              <w:rPr>
                <w:rFonts w:cs="Times New Roman"/>
                <w:szCs w:val="24"/>
              </w:rPr>
              <w:t>, distribution and measurement conditions</w:t>
            </w:r>
          </w:p>
        </w:tc>
      </w:tr>
      <w:tr w:rsidR="00D418B2" w:rsidRPr="00641656" w14:paraId="094B90DE" w14:textId="77777777">
        <w:trPr>
          <w:jc w:val="center"/>
        </w:trPr>
        <w:tc>
          <w:tcPr>
            <w:tcW w:w="2250" w:type="dxa"/>
            <w:vAlign w:val="center"/>
          </w:tcPr>
          <w:p w14:paraId="55D89EAD" w14:textId="77777777" w:rsidR="00D418B2" w:rsidRPr="00641656" w:rsidRDefault="00000000" w:rsidP="00641656">
            <w:pPr>
              <w:jc w:val="both"/>
              <w:rPr>
                <w:rFonts w:cs="Times New Roman"/>
                <w:szCs w:val="24"/>
              </w:rPr>
            </w:pPr>
            <w:r w:rsidRPr="00641656">
              <w:rPr>
                <w:rFonts w:cs="Times New Roman"/>
                <w:szCs w:val="24"/>
              </w:rPr>
              <w:t>PDI</w:t>
            </w:r>
          </w:p>
        </w:tc>
        <w:tc>
          <w:tcPr>
            <w:tcW w:w="2250" w:type="dxa"/>
            <w:vAlign w:val="center"/>
          </w:tcPr>
          <w:p w14:paraId="724C2EDB" w14:textId="77777777" w:rsidR="00D418B2" w:rsidRPr="00641656" w:rsidRDefault="00000000" w:rsidP="00641656">
            <w:pPr>
              <w:jc w:val="both"/>
              <w:rPr>
                <w:rFonts w:cs="Times New Roman"/>
                <w:szCs w:val="24"/>
              </w:rPr>
            </w:pPr>
            <w:r w:rsidRPr="00641656">
              <w:rPr>
                <w:rFonts w:cs="Times New Roman"/>
                <w:szCs w:val="24"/>
              </w:rPr>
              <w:t>Indicates size-population uniformity</w:t>
            </w:r>
          </w:p>
        </w:tc>
        <w:tc>
          <w:tcPr>
            <w:tcW w:w="2250" w:type="dxa"/>
            <w:vAlign w:val="center"/>
          </w:tcPr>
          <w:p w14:paraId="6FAE89DB" w14:textId="77777777" w:rsidR="00D418B2" w:rsidRPr="00641656" w:rsidRDefault="00000000" w:rsidP="00641656">
            <w:pPr>
              <w:jc w:val="both"/>
              <w:rPr>
                <w:rFonts w:cs="Times New Roman"/>
                <w:szCs w:val="24"/>
              </w:rPr>
            </w:pPr>
            <w:r w:rsidRPr="00641656">
              <w:rPr>
                <w:rFonts w:cs="Times New Roman"/>
                <w:szCs w:val="24"/>
              </w:rPr>
              <w:t>Dynamic light scattering</w:t>
            </w:r>
          </w:p>
        </w:tc>
        <w:tc>
          <w:tcPr>
            <w:tcW w:w="2250" w:type="dxa"/>
            <w:vAlign w:val="center"/>
          </w:tcPr>
          <w:p w14:paraId="15EB91F8" w14:textId="77777777" w:rsidR="00D418B2" w:rsidRPr="00641656" w:rsidRDefault="00000000" w:rsidP="00641656">
            <w:pPr>
              <w:jc w:val="both"/>
              <w:rPr>
                <w:rFonts w:cs="Times New Roman"/>
                <w:szCs w:val="24"/>
              </w:rPr>
            </w:pPr>
            <w:r w:rsidRPr="00641656">
              <w:rPr>
                <w:rFonts w:cs="Times New Roman"/>
                <w:szCs w:val="24"/>
              </w:rPr>
              <w:t>Interpret with preparation and dilution conditions</w:t>
            </w:r>
          </w:p>
        </w:tc>
      </w:tr>
      <w:tr w:rsidR="00D418B2" w:rsidRPr="00641656" w14:paraId="74D86A4F" w14:textId="77777777">
        <w:trPr>
          <w:jc w:val="center"/>
        </w:trPr>
        <w:tc>
          <w:tcPr>
            <w:tcW w:w="2250" w:type="dxa"/>
            <w:vAlign w:val="center"/>
          </w:tcPr>
          <w:p w14:paraId="330149D9" w14:textId="77777777" w:rsidR="00D418B2" w:rsidRPr="00641656" w:rsidRDefault="00000000" w:rsidP="00641656">
            <w:pPr>
              <w:jc w:val="both"/>
              <w:rPr>
                <w:rFonts w:cs="Times New Roman"/>
                <w:szCs w:val="24"/>
              </w:rPr>
            </w:pPr>
            <w:r w:rsidRPr="00641656">
              <w:rPr>
                <w:rFonts w:cs="Times New Roman"/>
                <w:szCs w:val="24"/>
              </w:rPr>
              <w:t>Zeta potential</w:t>
            </w:r>
          </w:p>
        </w:tc>
        <w:tc>
          <w:tcPr>
            <w:tcW w:w="2250" w:type="dxa"/>
            <w:vAlign w:val="center"/>
          </w:tcPr>
          <w:p w14:paraId="537AE252" w14:textId="77777777" w:rsidR="00D418B2" w:rsidRPr="00641656" w:rsidRDefault="00000000" w:rsidP="00641656">
            <w:pPr>
              <w:jc w:val="both"/>
              <w:rPr>
                <w:rFonts w:cs="Times New Roman"/>
                <w:szCs w:val="24"/>
              </w:rPr>
            </w:pPr>
            <w:r w:rsidRPr="00641656">
              <w:rPr>
                <w:rFonts w:cs="Times New Roman"/>
                <w:szCs w:val="24"/>
              </w:rPr>
              <w:t>Reflects electrostatic surface characteristics</w:t>
            </w:r>
          </w:p>
        </w:tc>
        <w:tc>
          <w:tcPr>
            <w:tcW w:w="2250" w:type="dxa"/>
            <w:vAlign w:val="center"/>
          </w:tcPr>
          <w:p w14:paraId="2C49517C" w14:textId="77777777" w:rsidR="00D418B2" w:rsidRPr="00641656" w:rsidRDefault="00000000" w:rsidP="00641656">
            <w:pPr>
              <w:jc w:val="both"/>
              <w:rPr>
                <w:rFonts w:cs="Times New Roman"/>
                <w:szCs w:val="24"/>
              </w:rPr>
            </w:pPr>
            <w:r w:rsidRPr="00641656">
              <w:rPr>
                <w:rFonts w:cs="Times New Roman"/>
                <w:szCs w:val="24"/>
              </w:rPr>
              <w:t>Electrophoretic light scattering</w:t>
            </w:r>
          </w:p>
        </w:tc>
        <w:tc>
          <w:tcPr>
            <w:tcW w:w="2250" w:type="dxa"/>
            <w:vAlign w:val="center"/>
          </w:tcPr>
          <w:p w14:paraId="13C7D8E4" w14:textId="77777777" w:rsidR="00D418B2" w:rsidRPr="00641656" w:rsidRDefault="00000000" w:rsidP="00641656">
            <w:pPr>
              <w:jc w:val="both"/>
              <w:rPr>
                <w:rFonts w:cs="Times New Roman"/>
                <w:szCs w:val="24"/>
              </w:rPr>
            </w:pPr>
            <w:r w:rsidRPr="00641656">
              <w:rPr>
                <w:rFonts w:cs="Times New Roman"/>
                <w:szCs w:val="24"/>
              </w:rPr>
              <w:t>Consider ionic strength and medium</w:t>
            </w:r>
          </w:p>
        </w:tc>
      </w:tr>
      <w:tr w:rsidR="00D418B2" w:rsidRPr="00641656" w14:paraId="65FD3B70" w14:textId="77777777">
        <w:trPr>
          <w:jc w:val="center"/>
        </w:trPr>
        <w:tc>
          <w:tcPr>
            <w:tcW w:w="2250" w:type="dxa"/>
            <w:vAlign w:val="center"/>
          </w:tcPr>
          <w:p w14:paraId="2D733D7B" w14:textId="77777777" w:rsidR="00D418B2" w:rsidRPr="00641656" w:rsidRDefault="00000000" w:rsidP="00641656">
            <w:pPr>
              <w:jc w:val="both"/>
              <w:rPr>
                <w:rFonts w:cs="Times New Roman"/>
                <w:szCs w:val="24"/>
              </w:rPr>
            </w:pPr>
            <w:r w:rsidRPr="00641656">
              <w:rPr>
                <w:rFonts w:cs="Times New Roman"/>
                <w:szCs w:val="24"/>
              </w:rPr>
              <w:lastRenderedPageBreak/>
              <w:t>Morphology</w:t>
            </w:r>
          </w:p>
        </w:tc>
        <w:tc>
          <w:tcPr>
            <w:tcW w:w="2250" w:type="dxa"/>
            <w:vAlign w:val="center"/>
          </w:tcPr>
          <w:p w14:paraId="390A5700" w14:textId="77777777" w:rsidR="00D418B2" w:rsidRPr="00641656" w:rsidRDefault="00000000" w:rsidP="00641656">
            <w:pPr>
              <w:jc w:val="both"/>
              <w:rPr>
                <w:rFonts w:cs="Times New Roman"/>
                <w:szCs w:val="24"/>
              </w:rPr>
            </w:pPr>
            <w:r w:rsidRPr="00641656">
              <w:rPr>
                <w:rFonts w:cs="Times New Roman"/>
                <w:szCs w:val="24"/>
              </w:rPr>
              <w:t>Confirms vesicular structure</w:t>
            </w:r>
          </w:p>
        </w:tc>
        <w:tc>
          <w:tcPr>
            <w:tcW w:w="2250" w:type="dxa"/>
            <w:vAlign w:val="center"/>
          </w:tcPr>
          <w:p w14:paraId="5CB86122" w14:textId="77777777" w:rsidR="00D418B2" w:rsidRPr="00641656" w:rsidRDefault="00000000" w:rsidP="00641656">
            <w:pPr>
              <w:jc w:val="both"/>
              <w:rPr>
                <w:rFonts w:cs="Times New Roman"/>
                <w:szCs w:val="24"/>
              </w:rPr>
            </w:pPr>
            <w:r w:rsidRPr="00641656">
              <w:rPr>
                <w:rFonts w:cs="Times New Roman"/>
                <w:szCs w:val="24"/>
              </w:rPr>
              <w:t>TEM, cryo-TEM or validated microscopy</w:t>
            </w:r>
          </w:p>
        </w:tc>
        <w:tc>
          <w:tcPr>
            <w:tcW w:w="2250" w:type="dxa"/>
            <w:vAlign w:val="center"/>
          </w:tcPr>
          <w:p w14:paraId="28732FCB" w14:textId="77777777" w:rsidR="00D418B2" w:rsidRPr="00641656" w:rsidRDefault="00000000" w:rsidP="00641656">
            <w:pPr>
              <w:jc w:val="both"/>
              <w:rPr>
                <w:rFonts w:cs="Times New Roman"/>
                <w:szCs w:val="24"/>
              </w:rPr>
            </w:pPr>
            <w:r w:rsidRPr="00641656">
              <w:rPr>
                <w:rFonts w:cs="Times New Roman"/>
                <w:szCs w:val="24"/>
              </w:rPr>
              <w:t>Correlate morphology with size data</w:t>
            </w:r>
          </w:p>
        </w:tc>
      </w:tr>
      <w:tr w:rsidR="00D418B2" w:rsidRPr="00641656" w14:paraId="1E857545" w14:textId="77777777">
        <w:trPr>
          <w:jc w:val="center"/>
        </w:trPr>
        <w:tc>
          <w:tcPr>
            <w:tcW w:w="2250" w:type="dxa"/>
            <w:vAlign w:val="center"/>
          </w:tcPr>
          <w:p w14:paraId="3EDE1679" w14:textId="77777777" w:rsidR="00D418B2" w:rsidRPr="00641656" w:rsidRDefault="00000000" w:rsidP="00641656">
            <w:pPr>
              <w:jc w:val="both"/>
              <w:rPr>
                <w:rFonts w:cs="Times New Roman"/>
                <w:szCs w:val="24"/>
              </w:rPr>
            </w:pPr>
            <w:r w:rsidRPr="00641656">
              <w:rPr>
                <w:rFonts w:cs="Times New Roman"/>
                <w:szCs w:val="24"/>
              </w:rPr>
              <w:t>Drug content</w:t>
            </w:r>
          </w:p>
        </w:tc>
        <w:tc>
          <w:tcPr>
            <w:tcW w:w="2250" w:type="dxa"/>
            <w:vAlign w:val="center"/>
          </w:tcPr>
          <w:p w14:paraId="6910F12D" w14:textId="77777777" w:rsidR="00D418B2" w:rsidRPr="00641656" w:rsidRDefault="00000000" w:rsidP="00641656">
            <w:pPr>
              <w:jc w:val="both"/>
              <w:rPr>
                <w:rFonts w:cs="Times New Roman"/>
                <w:szCs w:val="24"/>
              </w:rPr>
            </w:pPr>
            <w:r w:rsidRPr="00641656">
              <w:rPr>
                <w:rFonts w:cs="Times New Roman"/>
                <w:szCs w:val="24"/>
              </w:rPr>
              <w:t>Confirms actual amount of each active</w:t>
            </w:r>
          </w:p>
        </w:tc>
        <w:tc>
          <w:tcPr>
            <w:tcW w:w="2250" w:type="dxa"/>
            <w:vAlign w:val="center"/>
          </w:tcPr>
          <w:p w14:paraId="4A0147A7" w14:textId="77777777" w:rsidR="00D418B2" w:rsidRPr="00641656" w:rsidRDefault="00000000" w:rsidP="00641656">
            <w:pPr>
              <w:jc w:val="both"/>
              <w:rPr>
                <w:rFonts w:cs="Times New Roman"/>
                <w:szCs w:val="24"/>
              </w:rPr>
            </w:pPr>
            <w:r w:rsidRPr="00641656">
              <w:rPr>
                <w:rFonts w:cs="Times New Roman"/>
                <w:szCs w:val="24"/>
              </w:rPr>
              <w:t>Validated HPLC/UPLC method</w:t>
            </w:r>
          </w:p>
        </w:tc>
        <w:tc>
          <w:tcPr>
            <w:tcW w:w="2250" w:type="dxa"/>
            <w:vAlign w:val="center"/>
          </w:tcPr>
          <w:p w14:paraId="2E26B89F" w14:textId="77777777" w:rsidR="00D418B2" w:rsidRPr="00641656" w:rsidRDefault="00000000" w:rsidP="00641656">
            <w:pPr>
              <w:jc w:val="both"/>
              <w:rPr>
                <w:rFonts w:cs="Times New Roman"/>
                <w:szCs w:val="24"/>
              </w:rPr>
            </w:pPr>
            <w:r w:rsidRPr="00641656">
              <w:rPr>
                <w:rFonts w:cs="Times New Roman"/>
                <w:szCs w:val="24"/>
              </w:rPr>
              <w:t>Quantify irinotecan and sorafenib independently</w:t>
            </w:r>
          </w:p>
        </w:tc>
      </w:tr>
      <w:tr w:rsidR="00D418B2" w:rsidRPr="00641656" w14:paraId="7065FF27" w14:textId="77777777">
        <w:trPr>
          <w:jc w:val="center"/>
        </w:trPr>
        <w:tc>
          <w:tcPr>
            <w:tcW w:w="2250" w:type="dxa"/>
            <w:vAlign w:val="center"/>
          </w:tcPr>
          <w:p w14:paraId="00F092D0" w14:textId="77777777" w:rsidR="00D418B2" w:rsidRPr="00641656" w:rsidRDefault="00000000" w:rsidP="00641656">
            <w:pPr>
              <w:jc w:val="both"/>
              <w:rPr>
                <w:rFonts w:cs="Times New Roman"/>
                <w:szCs w:val="24"/>
              </w:rPr>
            </w:pPr>
            <w:r w:rsidRPr="00641656">
              <w:rPr>
                <w:rFonts w:cs="Times New Roman"/>
                <w:szCs w:val="24"/>
              </w:rPr>
              <w:t>Encapsulation efficiency</w:t>
            </w:r>
          </w:p>
        </w:tc>
        <w:tc>
          <w:tcPr>
            <w:tcW w:w="2250" w:type="dxa"/>
            <w:vAlign w:val="center"/>
          </w:tcPr>
          <w:p w14:paraId="283CF8A0" w14:textId="77777777" w:rsidR="00D418B2" w:rsidRPr="00641656" w:rsidRDefault="00000000" w:rsidP="00641656">
            <w:pPr>
              <w:jc w:val="both"/>
              <w:rPr>
                <w:rFonts w:cs="Times New Roman"/>
                <w:szCs w:val="24"/>
              </w:rPr>
            </w:pPr>
            <w:r w:rsidRPr="00641656">
              <w:rPr>
                <w:rFonts w:cs="Times New Roman"/>
                <w:szCs w:val="24"/>
              </w:rPr>
              <w:t>Measures fraction associated with carrier</w:t>
            </w:r>
          </w:p>
        </w:tc>
        <w:tc>
          <w:tcPr>
            <w:tcW w:w="2250" w:type="dxa"/>
            <w:vAlign w:val="center"/>
          </w:tcPr>
          <w:p w14:paraId="461ADB68" w14:textId="77777777" w:rsidR="00D418B2" w:rsidRPr="00641656" w:rsidRDefault="00000000" w:rsidP="00641656">
            <w:pPr>
              <w:jc w:val="both"/>
              <w:rPr>
                <w:rFonts w:cs="Times New Roman"/>
                <w:szCs w:val="24"/>
              </w:rPr>
            </w:pPr>
            <w:r w:rsidRPr="00641656">
              <w:rPr>
                <w:rFonts w:cs="Times New Roman"/>
                <w:szCs w:val="24"/>
              </w:rPr>
              <w:t>Separation plus validated assay</w:t>
            </w:r>
          </w:p>
        </w:tc>
        <w:tc>
          <w:tcPr>
            <w:tcW w:w="2250" w:type="dxa"/>
            <w:vAlign w:val="center"/>
          </w:tcPr>
          <w:p w14:paraId="0F5FFC7D" w14:textId="77777777" w:rsidR="00D418B2" w:rsidRPr="00641656" w:rsidRDefault="00000000" w:rsidP="00641656">
            <w:pPr>
              <w:jc w:val="both"/>
              <w:rPr>
                <w:rFonts w:cs="Times New Roman"/>
                <w:szCs w:val="24"/>
              </w:rPr>
            </w:pPr>
            <w:r w:rsidRPr="00641656">
              <w:rPr>
                <w:rFonts w:cs="Times New Roman"/>
                <w:szCs w:val="24"/>
              </w:rPr>
              <w:t>Report separately for both drugs</w:t>
            </w:r>
          </w:p>
        </w:tc>
      </w:tr>
      <w:tr w:rsidR="00D418B2" w:rsidRPr="00641656" w14:paraId="1B5F2308" w14:textId="77777777">
        <w:trPr>
          <w:jc w:val="center"/>
        </w:trPr>
        <w:tc>
          <w:tcPr>
            <w:tcW w:w="2250" w:type="dxa"/>
            <w:vAlign w:val="center"/>
          </w:tcPr>
          <w:p w14:paraId="13FA80C5" w14:textId="77777777" w:rsidR="00D418B2" w:rsidRPr="00641656" w:rsidRDefault="00000000" w:rsidP="00641656">
            <w:pPr>
              <w:jc w:val="both"/>
              <w:rPr>
                <w:rFonts w:cs="Times New Roman"/>
                <w:szCs w:val="24"/>
              </w:rPr>
            </w:pPr>
            <w:r w:rsidRPr="00641656">
              <w:rPr>
                <w:rFonts w:cs="Times New Roman"/>
                <w:szCs w:val="24"/>
              </w:rPr>
              <w:t>Drug ratio</w:t>
            </w:r>
          </w:p>
        </w:tc>
        <w:tc>
          <w:tcPr>
            <w:tcW w:w="2250" w:type="dxa"/>
            <w:vAlign w:val="center"/>
          </w:tcPr>
          <w:p w14:paraId="0C2AB3F3" w14:textId="77777777" w:rsidR="00D418B2" w:rsidRPr="00641656" w:rsidRDefault="00000000" w:rsidP="00641656">
            <w:pPr>
              <w:jc w:val="both"/>
              <w:rPr>
                <w:rFonts w:cs="Times New Roman"/>
                <w:szCs w:val="24"/>
              </w:rPr>
            </w:pPr>
            <w:r w:rsidRPr="00641656">
              <w:rPr>
                <w:rFonts w:cs="Times New Roman"/>
                <w:szCs w:val="24"/>
              </w:rPr>
              <w:t>Defines composition actually associated with carrier</w:t>
            </w:r>
          </w:p>
        </w:tc>
        <w:tc>
          <w:tcPr>
            <w:tcW w:w="2250" w:type="dxa"/>
            <w:vAlign w:val="center"/>
          </w:tcPr>
          <w:p w14:paraId="5D463576" w14:textId="77777777" w:rsidR="00D418B2" w:rsidRPr="00641656" w:rsidRDefault="00000000" w:rsidP="00641656">
            <w:pPr>
              <w:jc w:val="both"/>
              <w:rPr>
                <w:rFonts w:cs="Times New Roman"/>
                <w:szCs w:val="24"/>
              </w:rPr>
            </w:pPr>
            <w:r w:rsidRPr="00641656">
              <w:rPr>
                <w:rFonts w:cs="Times New Roman"/>
                <w:szCs w:val="24"/>
              </w:rPr>
              <w:t>Individual quantitative assays</w:t>
            </w:r>
          </w:p>
        </w:tc>
        <w:tc>
          <w:tcPr>
            <w:tcW w:w="2250" w:type="dxa"/>
            <w:vAlign w:val="center"/>
          </w:tcPr>
          <w:p w14:paraId="697DD4F1" w14:textId="77777777" w:rsidR="00D418B2" w:rsidRPr="00641656" w:rsidRDefault="00000000" w:rsidP="00641656">
            <w:pPr>
              <w:jc w:val="both"/>
              <w:rPr>
                <w:rFonts w:cs="Times New Roman"/>
                <w:szCs w:val="24"/>
              </w:rPr>
            </w:pPr>
            <w:r w:rsidRPr="00641656">
              <w:rPr>
                <w:rFonts w:cs="Times New Roman"/>
                <w:szCs w:val="24"/>
              </w:rPr>
              <w:t>Compare nominal and measured ratios</w:t>
            </w:r>
          </w:p>
        </w:tc>
      </w:tr>
      <w:tr w:rsidR="00D418B2" w:rsidRPr="00641656" w14:paraId="52306217" w14:textId="77777777">
        <w:trPr>
          <w:jc w:val="center"/>
        </w:trPr>
        <w:tc>
          <w:tcPr>
            <w:tcW w:w="2250" w:type="dxa"/>
            <w:vAlign w:val="center"/>
          </w:tcPr>
          <w:p w14:paraId="2BCF9897" w14:textId="77777777" w:rsidR="00D418B2" w:rsidRPr="00641656" w:rsidRDefault="00000000" w:rsidP="00641656">
            <w:pPr>
              <w:jc w:val="both"/>
              <w:rPr>
                <w:rFonts w:cs="Times New Roman"/>
                <w:szCs w:val="24"/>
              </w:rPr>
            </w:pPr>
            <w:r w:rsidRPr="00641656">
              <w:rPr>
                <w:rFonts w:cs="Times New Roman"/>
                <w:szCs w:val="24"/>
              </w:rPr>
              <w:t>Release profile</w:t>
            </w:r>
          </w:p>
        </w:tc>
        <w:tc>
          <w:tcPr>
            <w:tcW w:w="2250" w:type="dxa"/>
            <w:vAlign w:val="center"/>
          </w:tcPr>
          <w:p w14:paraId="561D928D" w14:textId="77777777" w:rsidR="00D418B2" w:rsidRPr="00641656" w:rsidRDefault="00000000" w:rsidP="00641656">
            <w:pPr>
              <w:jc w:val="both"/>
              <w:rPr>
                <w:rFonts w:cs="Times New Roman"/>
                <w:szCs w:val="24"/>
              </w:rPr>
            </w:pPr>
            <w:r w:rsidRPr="00641656">
              <w:rPr>
                <w:rFonts w:cs="Times New Roman"/>
                <w:szCs w:val="24"/>
              </w:rPr>
              <w:t>Defines temporal availability</w:t>
            </w:r>
          </w:p>
        </w:tc>
        <w:tc>
          <w:tcPr>
            <w:tcW w:w="2250" w:type="dxa"/>
            <w:vAlign w:val="center"/>
          </w:tcPr>
          <w:p w14:paraId="478BFFD1" w14:textId="77777777" w:rsidR="00D418B2" w:rsidRPr="00641656" w:rsidRDefault="00000000" w:rsidP="00641656">
            <w:pPr>
              <w:jc w:val="both"/>
              <w:rPr>
                <w:rFonts w:cs="Times New Roman"/>
                <w:szCs w:val="24"/>
              </w:rPr>
            </w:pPr>
            <w:r w:rsidRPr="00641656">
              <w:rPr>
                <w:rFonts w:cs="Times New Roman"/>
                <w:szCs w:val="24"/>
              </w:rPr>
              <w:t>Validated in-vitro release method</w:t>
            </w:r>
          </w:p>
        </w:tc>
        <w:tc>
          <w:tcPr>
            <w:tcW w:w="2250" w:type="dxa"/>
            <w:vAlign w:val="center"/>
          </w:tcPr>
          <w:p w14:paraId="60E1D189" w14:textId="77777777" w:rsidR="00D418B2" w:rsidRPr="00641656" w:rsidRDefault="00000000" w:rsidP="00641656">
            <w:pPr>
              <w:jc w:val="both"/>
              <w:rPr>
                <w:rFonts w:cs="Times New Roman"/>
                <w:szCs w:val="24"/>
              </w:rPr>
            </w:pPr>
            <w:r w:rsidRPr="00641656">
              <w:rPr>
                <w:rFonts w:cs="Times New Roman"/>
                <w:szCs w:val="24"/>
              </w:rPr>
              <w:t>Analyze each drug independently</w:t>
            </w:r>
          </w:p>
        </w:tc>
      </w:tr>
      <w:tr w:rsidR="00D418B2" w:rsidRPr="00641656" w14:paraId="7FB33F19" w14:textId="77777777">
        <w:trPr>
          <w:jc w:val="center"/>
        </w:trPr>
        <w:tc>
          <w:tcPr>
            <w:tcW w:w="2250" w:type="dxa"/>
            <w:vAlign w:val="center"/>
          </w:tcPr>
          <w:p w14:paraId="252FE6B9" w14:textId="77777777" w:rsidR="00D418B2" w:rsidRPr="00641656" w:rsidRDefault="00000000" w:rsidP="00641656">
            <w:pPr>
              <w:jc w:val="both"/>
              <w:rPr>
                <w:rFonts w:cs="Times New Roman"/>
                <w:szCs w:val="24"/>
              </w:rPr>
            </w:pPr>
            <w:r w:rsidRPr="00641656">
              <w:rPr>
                <w:rFonts w:cs="Times New Roman"/>
                <w:szCs w:val="24"/>
              </w:rPr>
              <w:t>Stability</w:t>
            </w:r>
          </w:p>
        </w:tc>
        <w:tc>
          <w:tcPr>
            <w:tcW w:w="2250" w:type="dxa"/>
            <w:vAlign w:val="center"/>
          </w:tcPr>
          <w:p w14:paraId="39B2FCEE" w14:textId="77777777" w:rsidR="00D418B2" w:rsidRPr="00641656" w:rsidRDefault="00000000" w:rsidP="00641656">
            <w:pPr>
              <w:jc w:val="both"/>
              <w:rPr>
                <w:rFonts w:cs="Times New Roman"/>
                <w:szCs w:val="24"/>
              </w:rPr>
            </w:pPr>
            <w:r w:rsidRPr="00641656">
              <w:rPr>
                <w:rFonts w:cs="Times New Roman"/>
                <w:szCs w:val="24"/>
              </w:rPr>
              <w:t>Determines suitability for storage and use</w:t>
            </w:r>
          </w:p>
        </w:tc>
        <w:tc>
          <w:tcPr>
            <w:tcW w:w="2250" w:type="dxa"/>
            <w:vAlign w:val="center"/>
          </w:tcPr>
          <w:p w14:paraId="229E195E" w14:textId="77777777" w:rsidR="00D418B2" w:rsidRPr="00641656" w:rsidRDefault="00000000" w:rsidP="00641656">
            <w:pPr>
              <w:jc w:val="both"/>
              <w:rPr>
                <w:rFonts w:cs="Times New Roman"/>
                <w:szCs w:val="24"/>
              </w:rPr>
            </w:pPr>
            <w:r w:rsidRPr="00641656">
              <w:rPr>
                <w:rFonts w:cs="Times New Roman"/>
                <w:szCs w:val="24"/>
              </w:rPr>
              <w:t>Longitudinal physicochemical and chemical testing</w:t>
            </w:r>
          </w:p>
        </w:tc>
        <w:tc>
          <w:tcPr>
            <w:tcW w:w="2250" w:type="dxa"/>
            <w:vAlign w:val="center"/>
          </w:tcPr>
          <w:p w14:paraId="263FFBFF" w14:textId="77777777" w:rsidR="00D418B2" w:rsidRPr="00641656" w:rsidRDefault="00000000" w:rsidP="00641656">
            <w:pPr>
              <w:jc w:val="both"/>
              <w:rPr>
                <w:rFonts w:cs="Times New Roman"/>
                <w:szCs w:val="24"/>
              </w:rPr>
            </w:pPr>
            <w:r w:rsidRPr="00641656">
              <w:rPr>
                <w:rFonts w:cs="Times New Roman"/>
                <w:szCs w:val="24"/>
              </w:rPr>
              <w:t>Use predefined acceptance criteria</w:t>
            </w:r>
          </w:p>
        </w:tc>
      </w:tr>
      <w:tr w:rsidR="00D418B2" w:rsidRPr="00641656" w14:paraId="7124529E" w14:textId="77777777">
        <w:trPr>
          <w:jc w:val="center"/>
        </w:trPr>
        <w:tc>
          <w:tcPr>
            <w:tcW w:w="2250" w:type="dxa"/>
            <w:vAlign w:val="center"/>
          </w:tcPr>
          <w:p w14:paraId="1A889DA4" w14:textId="77777777" w:rsidR="00D418B2" w:rsidRPr="00641656" w:rsidRDefault="00000000" w:rsidP="00641656">
            <w:pPr>
              <w:jc w:val="both"/>
              <w:rPr>
                <w:rFonts w:cs="Times New Roman"/>
                <w:szCs w:val="24"/>
              </w:rPr>
            </w:pPr>
            <w:r w:rsidRPr="00641656">
              <w:rPr>
                <w:rFonts w:cs="Times New Roman"/>
                <w:szCs w:val="24"/>
              </w:rPr>
              <w:t>Imaging signal</w:t>
            </w:r>
          </w:p>
        </w:tc>
        <w:tc>
          <w:tcPr>
            <w:tcW w:w="2250" w:type="dxa"/>
            <w:vAlign w:val="center"/>
          </w:tcPr>
          <w:p w14:paraId="0614644A" w14:textId="77777777" w:rsidR="00D418B2" w:rsidRPr="00641656" w:rsidRDefault="00000000" w:rsidP="00641656">
            <w:pPr>
              <w:jc w:val="both"/>
              <w:rPr>
                <w:rFonts w:cs="Times New Roman"/>
                <w:szCs w:val="24"/>
              </w:rPr>
            </w:pPr>
            <w:r w:rsidRPr="00641656">
              <w:rPr>
                <w:rFonts w:cs="Times New Roman"/>
                <w:szCs w:val="24"/>
              </w:rPr>
              <w:t>Provides evidence of carrier localization</w:t>
            </w:r>
          </w:p>
        </w:tc>
        <w:tc>
          <w:tcPr>
            <w:tcW w:w="2250" w:type="dxa"/>
            <w:vAlign w:val="center"/>
          </w:tcPr>
          <w:p w14:paraId="575817D7" w14:textId="77777777" w:rsidR="00D418B2" w:rsidRPr="00641656" w:rsidRDefault="00000000" w:rsidP="00641656">
            <w:pPr>
              <w:jc w:val="both"/>
              <w:rPr>
                <w:rFonts w:cs="Times New Roman"/>
                <w:szCs w:val="24"/>
              </w:rPr>
            </w:pPr>
            <w:r w:rsidRPr="00641656">
              <w:rPr>
                <w:rFonts w:cs="Times New Roman"/>
                <w:szCs w:val="24"/>
              </w:rPr>
              <w:t xml:space="preserve">Fluorescence microscopy/flow cytometry or </w:t>
            </w:r>
            <w:proofErr w:type="gramStart"/>
            <w:r w:rsidRPr="00641656">
              <w:rPr>
                <w:rFonts w:cs="Times New Roman"/>
                <w:szCs w:val="24"/>
              </w:rPr>
              <w:t>other</w:t>
            </w:r>
            <w:proofErr w:type="gramEnd"/>
            <w:r w:rsidRPr="00641656">
              <w:rPr>
                <w:rFonts w:cs="Times New Roman"/>
                <w:szCs w:val="24"/>
              </w:rPr>
              <w:t xml:space="preserve"> validated modality</w:t>
            </w:r>
          </w:p>
        </w:tc>
        <w:tc>
          <w:tcPr>
            <w:tcW w:w="2250" w:type="dxa"/>
            <w:vAlign w:val="center"/>
          </w:tcPr>
          <w:p w14:paraId="69976C58" w14:textId="77777777" w:rsidR="00D418B2" w:rsidRPr="00641656" w:rsidRDefault="00000000" w:rsidP="00641656">
            <w:pPr>
              <w:jc w:val="both"/>
              <w:rPr>
                <w:rFonts w:cs="Times New Roman"/>
                <w:szCs w:val="24"/>
              </w:rPr>
            </w:pPr>
            <w:r w:rsidRPr="00641656">
              <w:rPr>
                <w:rFonts w:cs="Times New Roman"/>
                <w:szCs w:val="24"/>
              </w:rPr>
              <w:t>Control for free probe and photophysical artifacts</w:t>
            </w:r>
          </w:p>
        </w:tc>
      </w:tr>
    </w:tbl>
    <w:p w14:paraId="198271C2" w14:textId="77777777" w:rsidR="00D418B2" w:rsidRPr="00641656" w:rsidRDefault="00000000" w:rsidP="00641656">
      <w:pPr>
        <w:spacing w:after="200"/>
        <w:jc w:val="both"/>
        <w:rPr>
          <w:rFonts w:cs="Times New Roman"/>
          <w:szCs w:val="24"/>
        </w:rPr>
      </w:pPr>
      <w:r w:rsidRPr="00641656">
        <w:rPr>
          <w:rFonts w:cs="Times New Roman"/>
          <w:i/>
          <w:szCs w:val="24"/>
        </w:rPr>
        <w:t xml:space="preserve">Note. </w:t>
      </w:r>
      <w:r w:rsidRPr="00641656">
        <w:rPr>
          <w:rFonts w:cs="Times New Roman"/>
          <w:szCs w:val="24"/>
        </w:rPr>
        <w:t>Analytical procedures should be validated to a level appropriate for their intended use. ICH Q2(R2) provides a current framework for analytical procedure validation.</w:t>
      </w:r>
    </w:p>
    <w:p w14:paraId="3C52EAC8"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1.15 Biocompatibility and Safety</w:t>
      </w:r>
    </w:p>
    <w:p w14:paraId="5405C330" w14:textId="77777777" w:rsidR="00D418B2" w:rsidRPr="00641656" w:rsidRDefault="00000000" w:rsidP="00641656">
      <w:pPr>
        <w:jc w:val="both"/>
        <w:rPr>
          <w:rFonts w:cs="Times New Roman"/>
          <w:szCs w:val="24"/>
        </w:rPr>
      </w:pPr>
      <w:r w:rsidRPr="00641656">
        <w:rPr>
          <w:rFonts w:cs="Times New Roman"/>
          <w:szCs w:val="24"/>
        </w:rPr>
        <w:t xml:space="preserve">The therapeutic value of a nanocarrier is inseparable from its safety profile. A formulation can increase drug uptake while simultaneously increasing nonspecific membrane damage, complement activation, inflammatory signaling, or organ accumulation. Consequently, </w:t>
      </w:r>
      <w:r w:rsidRPr="00641656">
        <w:rPr>
          <w:rFonts w:cs="Times New Roman"/>
          <w:szCs w:val="24"/>
        </w:rPr>
        <w:lastRenderedPageBreak/>
        <w:t>blank-carrier controls are essential for interpreting cytotoxicity and other biological outcomes.</w:t>
      </w:r>
    </w:p>
    <w:p w14:paraId="7C1DDBAE" w14:textId="77777777" w:rsidR="00D418B2" w:rsidRPr="00641656" w:rsidRDefault="00000000" w:rsidP="00641656">
      <w:pPr>
        <w:jc w:val="both"/>
        <w:rPr>
          <w:rFonts w:cs="Times New Roman"/>
          <w:szCs w:val="24"/>
        </w:rPr>
      </w:pPr>
      <w:r w:rsidRPr="00641656">
        <w:rPr>
          <w:rFonts w:cs="Times New Roman"/>
          <w:szCs w:val="24"/>
        </w:rPr>
        <w:t>Surface charge is one important determinant of nanoparticle–cell interactions. Strongly positive surfaces can enhance association with negatively charged membranes, but this same interaction can increase membrane disruption. Neutral or shielded surfaces may improve colloidal stability or reduce nonspecific interactions but can also decrease cellular association. The formulation objective is therefore a balanced surface rather than the maximum possible cellular uptake.</w:t>
      </w:r>
    </w:p>
    <w:p w14:paraId="20819AD9" w14:textId="77777777" w:rsidR="00D418B2" w:rsidRPr="00641656" w:rsidRDefault="00000000" w:rsidP="00641656">
      <w:pPr>
        <w:jc w:val="both"/>
        <w:rPr>
          <w:rFonts w:cs="Times New Roman"/>
          <w:szCs w:val="24"/>
        </w:rPr>
      </w:pPr>
      <w:r w:rsidRPr="00641656">
        <w:rPr>
          <w:rFonts w:cs="Times New Roman"/>
          <w:szCs w:val="24"/>
        </w:rPr>
        <w:t>Assay interference must also be considered. Nanoparticles can absorb, scatter, quench, or otherwise alter optical readouts. A reduction in apparent cell viability should therefore not automatically be attributed to the intended pharmacological mechanism. Blank particles and particle-only assay controls are particularly important for colorimetric and fluorescence-based methods.</w:t>
      </w:r>
    </w:p>
    <w:p w14:paraId="271E3B65" w14:textId="77777777" w:rsidR="00D418B2" w:rsidRPr="00641656" w:rsidRDefault="00000000" w:rsidP="00641656">
      <w:pPr>
        <w:jc w:val="both"/>
        <w:rPr>
          <w:rFonts w:cs="Times New Roman"/>
          <w:szCs w:val="24"/>
        </w:rPr>
      </w:pPr>
      <w:r w:rsidRPr="00641656">
        <w:rPr>
          <w:rFonts w:cs="Times New Roman"/>
          <w:szCs w:val="24"/>
        </w:rPr>
        <w:t xml:space="preserve">If the project proceeds to animal studies, safety assessment should extend beyond tumor response to include body weight, clinical observations, appropriate hematological and biochemical measures, and histopathological evaluation </w:t>
      </w:r>
      <w:proofErr w:type="gramStart"/>
      <w:r w:rsidRPr="00641656">
        <w:rPr>
          <w:rFonts w:cs="Times New Roman"/>
          <w:szCs w:val="24"/>
        </w:rPr>
        <w:t>where</w:t>
      </w:r>
      <w:proofErr w:type="gramEnd"/>
      <w:r w:rsidRPr="00641656">
        <w:rPr>
          <w:rFonts w:cs="Times New Roman"/>
          <w:szCs w:val="24"/>
        </w:rPr>
        <w:t xml:space="preserve"> justified by the study design and ethical approval. The central translational criterion is an improved therapeutic relationship, not merely a larger antitumor effect at any cost.</w:t>
      </w:r>
    </w:p>
    <w:p w14:paraId="4DD94CE2"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1.16 Quality by Design and Systematic Formulation Development</w:t>
      </w:r>
    </w:p>
    <w:p w14:paraId="246766F9" w14:textId="77777777" w:rsidR="00D418B2" w:rsidRPr="00641656" w:rsidRDefault="00000000" w:rsidP="00641656">
      <w:pPr>
        <w:jc w:val="both"/>
        <w:rPr>
          <w:rFonts w:cs="Times New Roman"/>
          <w:szCs w:val="24"/>
        </w:rPr>
      </w:pPr>
      <w:r w:rsidRPr="00641656">
        <w:rPr>
          <w:rFonts w:cs="Times New Roman"/>
          <w:szCs w:val="24"/>
        </w:rPr>
        <w:t>Quality by Design (QbD) provides a structured approach for connecting formulation and process variables to product performance. Instead of treating formulation optimization as repeated trial and error, QbD begins with a quality target product profile and identifies critical material attributes, critical process parameters, and critical quality attributes. This framework is particularly appropriate for a multifunctional dual-drug nanocarrier because several variables may interact.</w:t>
      </w:r>
    </w:p>
    <w:p w14:paraId="2DE63560" w14:textId="77777777" w:rsidR="00D418B2" w:rsidRPr="00641656" w:rsidRDefault="00000000" w:rsidP="00641656">
      <w:pPr>
        <w:jc w:val="both"/>
        <w:rPr>
          <w:rFonts w:cs="Times New Roman"/>
          <w:szCs w:val="24"/>
        </w:rPr>
      </w:pPr>
      <w:r w:rsidRPr="00641656">
        <w:rPr>
          <w:rFonts w:cs="Times New Roman"/>
          <w:szCs w:val="24"/>
        </w:rPr>
        <w:t xml:space="preserve">Potential formulation factors include dendrimer concentration, drug-to-carrier ratio, solvent composition, hydration conditions, mixing intensity, temperature, and purification conditions. Responses may include particle size, PDI, zeta potential, encapsulation efficiency, drug ratio, release rate, and stability. Design of Experiments can evaluate several </w:t>
      </w:r>
      <w:r w:rsidRPr="00641656">
        <w:rPr>
          <w:rFonts w:cs="Times New Roman"/>
          <w:szCs w:val="24"/>
        </w:rPr>
        <w:lastRenderedPageBreak/>
        <w:t>factors simultaneously and can reveal interactions that one-factor-at-a-time experimentation may miss.</w:t>
      </w:r>
    </w:p>
    <w:p w14:paraId="739A7252" w14:textId="77777777" w:rsidR="00D418B2" w:rsidRPr="00641656" w:rsidRDefault="00000000" w:rsidP="00641656">
      <w:pPr>
        <w:jc w:val="both"/>
        <w:rPr>
          <w:rFonts w:cs="Times New Roman"/>
          <w:szCs w:val="24"/>
        </w:rPr>
      </w:pPr>
      <w:r w:rsidRPr="00641656">
        <w:rPr>
          <w:rFonts w:cs="Times New Roman"/>
          <w:szCs w:val="24"/>
        </w:rPr>
        <w:t>Analytical reliability is part of QbD rather than a separate activity. If the method used to quantify drug content is insufficiently specific, apparent formulation differences may simply reflect analytical variability. ICH Q2(R2) emphasizes a risk-based framework for demonstrating analytical procedure performance, including characteristics such as specificity, accuracy, precision, detection and quantitation limits where applicable, linearity, and range (ICH, 2024).</w:t>
      </w:r>
    </w:p>
    <w:p w14:paraId="0720BAD0" w14:textId="77777777" w:rsidR="00D418B2" w:rsidRPr="00641656" w:rsidRDefault="00000000" w:rsidP="00641656">
      <w:pPr>
        <w:jc w:val="both"/>
        <w:rPr>
          <w:rFonts w:cs="Times New Roman"/>
          <w:szCs w:val="24"/>
        </w:rPr>
      </w:pPr>
      <w:r w:rsidRPr="00641656">
        <w:rPr>
          <w:rFonts w:cs="Times New Roman"/>
          <w:szCs w:val="24"/>
        </w:rPr>
        <w:t>The optimized formulation should be confirmed using independent preparation batches. A mathematical optimum that cannot be reproduced is not a robust pharmaceutical formulation. Batch-to-batch reproducibility should therefore be considered an important quality attribute of the development process.</w:t>
      </w:r>
    </w:p>
    <w:p w14:paraId="0DAB7D54"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1.17 Rationale for Co-Loading Irinotecan and Sorafenib</w:t>
      </w:r>
    </w:p>
    <w:p w14:paraId="06F3C919" w14:textId="77777777" w:rsidR="00D418B2" w:rsidRPr="00641656" w:rsidRDefault="00000000" w:rsidP="00641656">
      <w:pPr>
        <w:jc w:val="both"/>
        <w:rPr>
          <w:rFonts w:cs="Times New Roman"/>
          <w:szCs w:val="24"/>
        </w:rPr>
      </w:pPr>
      <w:r w:rsidRPr="00641656">
        <w:rPr>
          <w:rFonts w:cs="Times New Roman"/>
          <w:szCs w:val="24"/>
        </w:rPr>
        <w:t>The central formulation hypothesis is that irinotecan and sorafenib can be incorporated into a common dendrimerosome environment in a manner that preserves vesicle integrity while providing controlled availability of both agents. The rationale has three linked components. First, the drugs exert pharmacological pressure through different but potentially complementary mechanisms. Second, a shared carrier may reduce some of the distribution mismatch associated with separate formulations. Third, a single carrier creates an opportunity to integrate an imaging function.</w:t>
      </w:r>
    </w:p>
    <w:p w14:paraId="517685CB" w14:textId="77777777" w:rsidR="00D418B2" w:rsidRPr="00641656" w:rsidRDefault="00000000" w:rsidP="00641656">
      <w:pPr>
        <w:jc w:val="both"/>
        <w:rPr>
          <w:rFonts w:cs="Times New Roman"/>
          <w:szCs w:val="24"/>
        </w:rPr>
      </w:pPr>
      <w:r w:rsidRPr="00641656">
        <w:rPr>
          <w:rFonts w:cs="Times New Roman"/>
          <w:szCs w:val="24"/>
        </w:rPr>
        <w:t>The hypothesis is intentionally narrower than the claim that co-loading will necessarily produce synergy or tumor targeting. Co-loading may fail to improve activity if the drug ratio is unfavorable, release is inappropriate, uptake is inadequate, or the carrier introduces toxicity. These possibilities are scientifically useful because they identify which quality attribute limits performance.</w:t>
      </w:r>
    </w:p>
    <w:p w14:paraId="4AF7A20C" w14:textId="77777777" w:rsidR="00D418B2" w:rsidRPr="00641656" w:rsidRDefault="00000000" w:rsidP="00641656">
      <w:pPr>
        <w:jc w:val="both"/>
        <w:rPr>
          <w:rFonts w:cs="Times New Roman"/>
          <w:szCs w:val="24"/>
        </w:rPr>
      </w:pPr>
      <w:r w:rsidRPr="00641656">
        <w:rPr>
          <w:rFonts w:cs="Times New Roman"/>
          <w:szCs w:val="24"/>
        </w:rPr>
        <w:t xml:space="preserve">The formulation should therefore be compared with free-drug controls, free-drug combinations, single-drug dendrimerosomes, and blank carrier. These controls permit separation of the effects of the drugs, the carrier, and the co-loading strategy. Where </w:t>
      </w:r>
      <w:r w:rsidRPr="00641656">
        <w:rPr>
          <w:rFonts w:cs="Times New Roman"/>
          <w:szCs w:val="24"/>
        </w:rPr>
        <w:lastRenderedPageBreak/>
        <w:t>combination analysis is performed, multiple concentration levels should be examined rather than relying on a single combination point.</w:t>
      </w:r>
    </w:p>
    <w:p w14:paraId="19109661" w14:textId="77777777" w:rsidR="00D418B2" w:rsidRPr="00641656" w:rsidRDefault="00000000" w:rsidP="00641656">
      <w:pPr>
        <w:jc w:val="both"/>
        <w:rPr>
          <w:rFonts w:cs="Times New Roman"/>
          <w:szCs w:val="24"/>
        </w:rPr>
      </w:pPr>
      <w:r w:rsidRPr="00641656">
        <w:rPr>
          <w:rFonts w:cs="Times New Roman"/>
          <w:b/>
          <w:szCs w:val="24"/>
        </w:rPr>
        <w:t>Table 1.3. Experimental control groups for evaluation of the proposed theranostic formulation</w:t>
      </w:r>
    </w:p>
    <w:tbl>
      <w:tblPr>
        <w:tblStyle w:val="TableGrid"/>
        <w:tblW w:w="0" w:type="auto"/>
        <w:jc w:val="center"/>
        <w:tblLook w:val="04A0" w:firstRow="1" w:lastRow="0" w:firstColumn="1" w:lastColumn="0" w:noHBand="0" w:noVBand="1"/>
      </w:tblPr>
      <w:tblGrid>
        <w:gridCol w:w="2248"/>
        <w:gridCol w:w="2247"/>
        <w:gridCol w:w="2247"/>
        <w:gridCol w:w="2248"/>
      </w:tblGrid>
      <w:tr w:rsidR="00D418B2" w:rsidRPr="00641656" w14:paraId="7BAF7486" w14:textId="77777777">
        <w:trPr>
          <w:jc w:val="center"/>
        </w:trPr>
        <w:tc>
          <w:tcPr>
            <w:tcW w:w="2250" w:type="dxa"/>
            <w:shd w:val="clear" w:color="auto" w:fill="D9EAF7"/>
            <w:vAlign w:val="center"/>
          </w:tcPr>
          <w:p w14:paraId="2C65CFEC" w14:textId="77777777" w:rsidR="00D418B2" w:rsidRPr="00641656" w:rsidRDefault="00000000" w:rsidP="00641656">
            <w:pPr>
              <w:jc w:val="both"/>
              <w:rPr>
                <w:rFonts w:cs="Times New Roman"/>
                <w:szCs w:val="24"/>
              </w:rPr>
            </w:pPr>
            <w:r w:rsidRPr="00641656">
              <w:rPr>
                <w:rFonts w:cs="Times New Roman"/>
                <w:b/>
                <w:szCs w:val="24"/>
              </w:rPr>
              <w:t>Group</w:t>
            </w:r>
          </w:p>
        </w:tc>
        <w:tc>
          <w:tcPr>
            <w:tcW w:w="2250" w:type="dxa"/>
            <w:shd w:val="clear" w:color="auto" w:fill="D9EAF7"/>
            <w:vAlign w:val="center"/>
          </w:tcPr>
          <w:p w14:paraId="58E64B8D" w14:textId="77777777" w:rsidR="00D418B2" w:rsidRPr="00641656" w:rsidRDefault="00000000" w:rsidP="00641656">
            <w:pPr>
              <w:jc w:val="both"/>
              <w:rPr>
                <w:rFonts w:cs="Times New Roman"/>
                <w:szCs w:val="24"/>
              </w:rPr>
            </w:pPr>
            <w:r w:rsidRPr="00641656">
              <w:rPr>
                <w:rFonts w:cs="Times New Roman"/>
                <w:b/>
                <w:szCs w:val="24"/>
              </w:rPr>
              <w:t>Purpose</w:t>
            </w:r>
          </w:p>
        </w:tc>
        <w:tc>
          <w:tcPr>
            <w:tcW w:w="2250" w:type="dxa"/>
            <w:shd w:val="clear" w:color="auto" w:fill="D9EAF7"/>
            <w:vAlign w:val="center"/>
          </w:tcPr>
          <w:p w14:paraId="15ED509E" w14:textId="77777777" w:rsidR="00D418B2" w:rsidRPr="00641656" w:rsidRDefault="00000000" w:rsidP="00641656">
            <w:pPr>
              <w:jc w:val="both"/>
              <w:rPr>
                <w:rFonts w:cs="Times New Roman"/>
                <w:szCs w:val="24"/>
              </w:rPr>
            </w:pPr>
            <w:r w:rsidRPr="00641656">
              <w:rPr>
                <w:rFonts w:cs="Times New Roman"/>
                <w:b/>
                <w:szCs w:val="24"/>
              </w:rPr>
              <w:t>Principal comparison</w:t>
            </w:r>
          </w:p>
        </w:tc>
        <w:tc>
          <w:tcPr>
            <w:tcW w:w="2250" w:type="dxa"/>
            <w:shd w:val="clear" w:color="auto" w:fill="D9EAF7"/>
            <w:vAlign w:val="center"/>
          </w:tcPr>
          <w:p w14:paraId="4C3A828F" w14:textId="77777777" w:rsidR="00D418B2" w:rsidRPr="00641656" w:rsidRDefault="00000000" w:rsidP="00641656">
            <w:pPr>
              <w:jc w:val="both"/>
              <w:rPr>
                <w:rFonts w:cs="Times New Roman"/>
                <w:szCs w:val="24"/>
              </w:rPr>
            </w:pPr>
            <w:r w:rsidRPr="00641656">
              <w:rPr>
                <w:rFonts w:cs="Times New Roman"/>
                <w:b/>
                <w:szCs w:val="24"/>
              </w:rPr>
              <w:t>Interpretation</w:t>
            </w:r>
          </w:p>
        </w:tc>
      </w:tr>
      <w:tr w:rsidR="00D418B2" w:rsidRPr="00641656" w14:paraId="380B82C7" w14:textId="77777777">
        <w:trPr>
          <w:jc w:val="center"/>
        </w:trPr>
        <w:tc>
          <w:tcPr>
            <w:tcW w:w="2250" w:type="dxa"/>
            <w:vAlign w:val="center"/>
          </w:tcPr>
          <w:p w14:paraId="15162AF3" w14:textId="77777777" w:rsidR="00D418B2" w:rsidRPr="00641656" w:rsidRDefault="00000000" w:rsidP="00641656">
            <w:pPr>
              <w:jc w:val="both"/>
              <w:rPr>
                <w:rFonts w:cs="Times New Roman"/>
                <w:szCs w:val="24"/>
              </w:rPr>
            </w:pPr>
            <w:r w:rsidRPr="00641656">
              <w:rPr>
                <w:rFonts w:cs="Times New Roman"/>
                <w:szCs w:val="24"/>
              </w:rPr>
              <w:t>Untreated cells</w:t>
            </w:r>
          </w:p>
        </w:tc>
        <w:tc>
          <w:tcPr>
            <w:tcW w:w="2250" w:type="dxa"/>
            <w:vAlign w:val="center"/>
          </w:tcPr>
          <w:p w14:paraId="0E7A5FE8" w14:textId="77777777" w:rsidR="00D418B2" w:rsidRPr="00641656" w:rsidRDefault="00000000" w:rsidP="00641656">
            <w:pPr>
              <w:jc w:val="both"/>
              <w:rPr>
                <w:rFonts w:cs="Times New Roman"/>
                <w:szCs w:val="24"/>
              </w:rPr>
            </w:pPr>
            <w:r w:rsidRPr="00641656">
              <w:rPr>
                <w:rFonts w:cs="Times New Roman"/>
                <w:szCs w:val="24"/>
              </w:rPr>
              <w:t>Baseline response</w:t>
            </w:r>
          </w:p>
        </w:tc>
        <w:tc>
          <w:tcPr>
            <w:tcW w:w="2250" w:type="dxa"/>
            <w:vAlign w:val="center"/>
          </w:tcPr>
          <w:p w14:paraId="07BE0088" w14:textId="77777777" w:rsidR="00D418B2" w:rsidRPr="00641656" w:rsidRDefault="00000000" w:rsidP="00641656">
            <w:pPr>
              <w:jc w:val="both"/>
              <w:rPr>
                <w:rFonts w:cs="Times New Roman"/>
                <w:szCs w:val="24"/>
              </w:rPr>
            </w:pPr>
            <w:r w:rsidRPr="00641656">
              <w:rPr>
                <w:rFonts w:cs="Times New Roman"/>
                <w:szCs w:val="24"/>
              </w:rPr>
              <w:t>All treatments vs untreated</w:t>
            </w:r>
          </w:p>
        </w:tc>
        <w:tc>
          <w:tcPr>
            <w:tcW w:w="2250" w:type="dxa"/>
            <w:vAlign w:val="center"/>
          </w:tcPr>
          <w:p w14:paraId="1F270C31" w14:textId="77777777" w:rsidR="00D418B2" w:rsidRPr="00641656" w:rsidRDefault="00000000" w:rsidP="00641656">
            <w:pPr>
              <w:jc w:val="both"/>
              <w:rPr>
                <w:rFonts w:cs="Times New Roman"/>
                <w:szCs w:val="24"/>
              </w:rPr>
            </w:pPr>
            <w:r w:rsidRPr="00641656">
              <w:rPr>
                <w:rFonts w:cs="Times New Roman"/>
                <w:szCs w:val="24"/>
              </w:rPr>
              <w:t>Defines basal viability and phenotype</w:t>
            </w:r>
          </w:p>
        </w:tc>
      </w:tr>
      <w:tr w:rsidR="00D418B2" w:rsidRPr="00641656" w14:paraId="239EA067" w14:textId="77777777">
        <w:trPr>
          <w:jc w:val="center"/>
        </w:trPr>
        <w:tc>
          <w:tcPr>
            <w:tcW w:w="2250" w:type="dxa"/>
            <w:vAlign w:val="center"/>
          </w:tcPr>
          <w:p w14:paraId="2CA4D101" w14:textId="77777777" w:rsidR="00D418B2" w:rsidRPr="00641656" w:rsidRDefault="00000000" w:rsidP="00641656">
            <w:pPr>
              <w:jc w:val="both"/>
              <w:rPr>
                <w:rFonts w:cs="Times New Roman"/>
                <w:szCs w:val="24"/>
              </w:rPr>
            </w:pPr>
            <w:r w:rsidRPr="00641656">
              <w:rPr>
                <w:rFonts w:cs="Times New Roman"/>
                <w:szCs w:val="24"/>
              </w:rPr>
              <w:t>Blank dendrimerosome</w:t>
            </w:r>
          </w:p>
        </w:tc>
        <w:tc>
          <w:tcPr>
            <w:tcW w:w="2250" w:type="dxa"/>
            <w:vAlign w:val="center"/>
          </w:tcPr>
          <w:p w14:paraId="49F2DC7E" w14:textId="77777777" w:rsidR="00D418B2" w:rsidRPr="00641656" w:rsidRDefault="00000000" w:rsidP="00641656">
            <w:pPr>
              <w:jc w:val="both"/>
              <w:rPr>
                <w:rFonts w:cs="Times New Roman"/>
                <w:szCs w:val="24"/>
              </w:rPr>
            </w:pPr>
            <w:r w:rsidRPr="00641656">
              <w:rPr>
                <w:rFonts w:cs="Times New Roman"/>
                <w:szCs w:val="24"/>
              </w:rPr>
              <w:t>Carrier control</w:t>
            </w:r>
          </w:p>
        </w:tc>
        <w:tc>
          <w:tcPr>
            <w:tcW w:w="2250" w:type="dxa"/>
            <w:vAlign w:val="center"/>
          </w:tcPr>
          <w:p w14:paraId="0501B268" w14:textId="77777777" w:rsidR="00D418B2" w:rsidRPr="00641656" w:rsidRDefault="00000000" w:rsidP="00641656">
            <w:pPr>
              <w:jc w:val="both"/>
              <w:rPr>
                <w:rFonts w:cs="Times New Roman"/>
                <w:szCs w:val="24"/>
              </w:rPr>
            </w:pPr>
            <w:r w:rsidRPr="00641656">
              <w:rPr>
                <w:rFonts w:cs="Times New Roman"/>
                <w:szCs w:val="24"/>
              </w:rPr>
              <w:t>Blank vs untreated</w:t>
            </w:r>
          </w:p>
        </w:tc>
        <w:tc>
          <w:tcPr>
            <w:tcW w:w="2250" w:type="dxa"/>
            <w:vAlign w:val="center"/>
          </w:tcPr>
          <w:p w14:paraId="2D25F116" w14:textId="77777777" w:rsidR="00D418B2" w:rsidRPr="00641656" w:rsidRDefault="00000000" w:rsidP="00641656">
            <w:pPr>
              <w:jc w:val="both"/>
              <w:rPr>
                <w:rFonts w:cs="Times New Roman"/>
                <w:szCs w:val="24"/>
              </w:rPr>
            </w:pPr>
            <w:r w:rsidRPr="00641656">
              <w:rPr>
                <w:rFonts w:cs="Times New Roman"/>
                <w:szCs w:val="24"/>
              </w:rPr>
              <w:t>Identifies carrier-related toxicity or assay effects</w:t>
            </w:r>
          </w:p>
        </w:tc>
      </w:tr>
      <w:tr w:rsidR="00D418B2" w:rsidRPr="00641656" w14:paraId="721DA535" w14:textId="77777777">
        <w:trPr>
          <w:jc w:val="center"/>
        </w:trPr>
        <w:tc>
          <w:tcPr>
            <w:tcW w:w="2250" w:type="dxa"/>
            <w:vAlign w:val="center"/>
          </w:tcPr>
          <w:p w14:paraId="177C46DE" w14:textId="77777777" w:rsidR="00D418B2" w:rsidRPr="00641656" w:rsidRDefault="00000000" w:rsidP="00641656">
            <w:pPr>
              <w:jc w:val="both"/>
              <w:rPr>
                <w:rFonts w:cs="Times New Roman"/>
                <w:szCs w:val="24"/>
              </w:rPr>
            </w:pPr>
            <w:r w:rsidRPr="00641656">
              <w:rPr>
                <w:rFonts w:cs="Times New Roman"/>
                <w:szCs w:val="24"/>
              </w:rPr>
              <w:t>Free irinotecan</w:t>
            </w:r>
          </w:p>
        </w:tc>
        <w:tc>
          <w:tcPr>
            <w:tcW w:w="2250" w:type="dxa"/>
            <w:vAlign w:val="center"/>
          </w:tcPr>
          <w:p w14:paraId="15B77603" w14:textId="77777777" w:rsidR="00D418B2" w:rsidRPr="00641656" w:rsidRDefault="00000000" w:rsidP="00641656">
            <w:pPr>
              <w:jc w:val="both"/>
              <w:rPr>
                <w:rFonts w:cs="Times New Roman"/>
                <w:szCs w:val="24"/>
              </w:rPr>
            </w:pPr>
            <w:r w:rsidRPr="00641656">
              <w:rPr>
                <w:rFonts w:cs="Times New Roman"/>
                <w:szCs w:val="24"/>
              </w:rPr>
              <w:t>Drug reference</w:t>
            </w:r>
          </w:p>
        </w:tc>
        <w:tc>
          <w:tcPr>
            <w:tcW w:w="2250" w:type="dxa"/>
            <w:vAlign w:val="center"/>
          </w:tcPr>
          <w:p w14:paraId="3A370FE1" w14:textId="77777777" w:rsidR="00D418B2" w:rsidRPr="00641656" w:rsidRDefault="00000000" w:rsidP="00641656">
            <w:pPr>
              <w:jc w:val="both"/>
              <w:rPr>
                <w:rFonts w:cs="Times New Roman"/>
                <w:szCs w:val="24"/>
              </w:rPr>
            </w:pPr>
            <w:r w:rsidRPr="00641656">
              <w:rPr>
                <w:rFonts w:cs="Times New Roman"/>
                <w:szCs w:val="24"/>
              </w:rPr>
              <w:t>Free IRI vs IRI-loaded carrier</w:t>
            </w:r>
          </w:p>
        </w:tc>
        <w:tc>
          <w:tcPr>
            <w:tcW w:w="2250" w:type="dxa"/>
            <w:vAlign w:val="center"/>
          </w:tcPr>
          <w:p w14:paraId="6D690CD1" w14:textId="77777777" w:rsidR="00D418B2" w:rsidRPr="00641656" w:rsidRDefault="00000000" w:rsidP="00641656">
            <w:pPr>
              <w:jc w:val="both"/>
              <w:rPr>
                <w:rFonts w:cs="Times New Roman"/>
                <w:szCs w:val="24"/>
              </w:rPr>
            </w:pPr>
            <w:r w:rsidRPr="00641656">
              <w:rPr>
                <w:rFonts w:cs="Times New Roman"/>
                <w:szCs w:val="24"/>
              </w:rPr>
              <w:t>Tests effect of encapsulation</w:t>
            </w:r>
          </w:p>
        </w:tc>
      </w:tr>
      <w:tr w:rsidR="00D418B2" w:rsidRPr="00641656" w14:paraId="542E05C8" w14:textId="77777777">
        <w:trPr>
          <w:jc w:val="center"/>
        </w:trPr>
        <w:tc>
          <w:tcPr>
            <w:tcW w:w="2250" w:type="dxa"/>
            <w:vAlign w:val="center"/>
          </w:tcPr>
          <w:p w14:paraId="7657E90C" w14:textId="77777777" w:rsidR="00D418B2" w:rsidRPr="00641656" w:rsidRDefault="00000000" w:rsidP="00641656">
            <w:pPr>
              <w:jc w:val="both"/>
              <w:rPr>
                <w:rFonts w:cs="Times New Roman"/>
                <w:szCs w:val="24"/>
              </w:rPr>
            </w:pPr>
            <w:r w:rsidRPr="00641656">
              <w:rPr>
                <w:rFonts w:cs="Times New Roman"/>
                <w:szCs w:val="24"/>
              </w:rPr>
              <w:t>Free sorafenib</w:t>
            </w:r>
          </w:p>
        </w:tc>
        <w:tc>
          <w:tcPr>
            <w:tcW w:w="2250" w:type="dxa"/>
            <w:vAlign w:val="center"/>
          </w:tcPr>
          <w:p w14:paraId="259468DF" w14:textId="77777777" w:rsidR="00D418B2" w:rsidRPr="00641656" w:rsidRDefault="00000000" w:rsidP="00641656">
            <w:pPr>
              <w:jc w:val="both"/>
              <w:rPr>
                <w:rFonts w:cs="Times New Roman"/>
                <w:szCs w:val="24"/>
              </w:rPr>
            </w:pPr>
            <w:r w:rsidRPr="00641656">
              <w:rPr>
                <w:rFonts w:cs="Times New Roman"/>
                <w:szCs w:val="24"/>
              </w:rPr>
              <w:t>Drug reference</w:t>
            </w:r>
          </w:p>
        </w:tc>
        <w:tc>
          <w:tcPr>
            <w:tcW w:w="2250" w:type="dxa"/>
            <w:vAlign w:val="center"/>
          </w:tcPr>
          <w:p w14:paraId="49880210" w14:textId="77777777" w:rsidR="00D418B2" w:rsidRPr="00641656" w:rsidRDefault="00000000" w:rsidP="00641656">
            <w:pPr>
              <w:jc w:val="both"/>
              <w:rPr>
                <w:rFonts w:cs="Times New Roman"/>
                <w:szCs w:val="24"/>
              </w:rPr>
            </w:pPr>
            <w:r w:rsidRPr="00641656">
              <w:rPr>
                <w:rFonts w:cs="Times New Roman"/>
                <w:szCs w:val="24"/>
              </w:rPr>
              <w:t>Free SOR vs SOR-loaded carrier</w:t>
            </w:r>
          </w:p>
        </w:tc>
        <w:tc>
          <w:tcPr>
            <w:tcW w:w="2250" w:type="dxa"/>
            <w:vAlign w:val="center"/>
          </w:tcPr>
          <w:p w14:paraId="01C3EB7F" w14:textId="77777777" w:rsidR="00D418B2" w:rsidRPr="00641656" w:rsidRDefault="00000000" w:rsidP="00641656">
            <w:pPr>
              <w:jc w:val="both"/>
              <w:rPr>
                <w:rFonts w:cs="Times New Roman"/>
                <w:szCs w:val="24"/>
              </w:rPr>
            </w:pPr>
            <w:r w:rsidRPr="00641656">
              <w:rPr>
                <w:rFonts w:cs="Times New Roman"/>
                <w:szCs w:val="24"/>
              </w:rPr>
              <w:t>Tests effect of encapsulation</w:t>
            </w:r>
          </w:p>
        </w:tc>
      </w:tr>
      <w:tr w:rsidR="00D418B2" w:rsidRPr="00641656" w14:paraId="70C36A9C" w14:textId="77777777">
        <w:trPr>
          <w:jc w:val="center"/>
        </w:trPr>
        <w:tc>
          <w:tcPr>
            <w:tcW w:w="2250" w:type="dxa"/>
            <w:vAlign w:val="center"/>
          </w:tcPr>
          <w:p w14:paraId="04A0AEAA" w14:textId="77777777" w:rsidR="00D418B2" w:rsidRPr="00641656" w:rsidRDefault="00000000" w:rsidP="00641656">
            <w:pPr>
              <w:jc w:val="both"/>
              <w:rPr>
                <w:rFonts w:cs="Times New Roman"/>
                <w:szCs w:val="24"/>
              </w:rPr>
            </w:pPr>
            <w:r w:rsidRPr="00641656">
              <w:rPr>
                <w:rFonts w:cs="Times New Roman"/>
                <w:szCs w:val="24"/>
              </w:rPr>
              <w:t>Free irinotecan + sorafenib</w:t>
            </w:r>
          </w:p>
        </w:tc>
        <w:tc>
          <w:tcPr>
            <w:tcW w:w="2250" w:type="dxa"/>
            <w:vAlign w:val="center"/>
          </w:tcPr>
          <w:p w14:paraId="2359748B" w14:textId="77777777" w:rsidR="00D418B2" w:rsidRPr="00641656" w:rsidRDefault="00000000" w:rsidP="00641656">
            <w:pPr>
              <w:jc w:val="both"/>
              <w:rPr>
                <w:rFonts w:cs="Times New Roman"/>
                <w:szCs w:val="24"/>
              </w:rPr>
            </w:pPr>
            <w:r w:rsidRPr="00641656">
              <w:rPr>
                <w:rFonts w:cs="Times New Roman"/>
                <w:szCs w:val="24"/>
              </w:rPr>
              <w:t>Combination reference</w:t>
            </w:r>
          </w:p>
        </w:tc>
        <w:tc>
          <w:tcPr>
            <w:tcW w:w="2250" w:type="dxa"/>
            <w:vAlign w:val="center"/>
          </w:tcPr>
          <w:p w14:paraId="39D8C898" w14:textId="77777777" w:rsidR="00D418B2" w:rsidRPr="00641656" w:rsidRDefault="00000000" w:rsidP="00641656">
            <w:pPr>
              <w:jc w:val="both"/>
              <w:rPr>
                <w:rFonts w:cs="Times New Roman"/>
                <w:szCs w:val="24"/>
              </w:rPr>
            </w:pPr>
            <w:r w:rsidRPr="00641656">
              <w:rPr>
                <w:rFonts w:cs="Times New Roman"/>
                <w:szCs w:val="24"/>
              </w:rPr>
              <w:t>Free combination vs dual-loaded carrier</w:t>
            </w:r>
          </w:p>
        </w:tc>
        <w:tc>
          <w:tcPr>
            <w:tcW w:w="2250" w:type="dxa"/>
            <w:vAlign w:val="center"/>
          </w:tcPr>
          <w:p w14:paraId="4C944FBA" w14:textId="77777777" w:rsidR="00D418B2" w:rsidRPr="00641656" w:rsidRDefault="00000000" w:rsidP="00641656">
            <w:pPr>
              <w:jc w:val="both"/>
              <w:rPr>
                <w:rFonts w:cs="Times New Roman"/>
                <w:szCs w:val="24"/>
              </w:rPr>
            </w:pPr>
            <w:r w:rsidRPr="00641656">
              <w:rPr>
                <w:rFonts w:cs="Times New Roman"/>
                <w:szCs w:val="24"/>
              </w:rPr>
              <w:t>Tests added value of co-delivery</w:t>
            </w:r>
          </w:p>
        </w:tc>
      </w:tr>
      <w:tr w:rsidR="00D418B2" w:rsidRPr="00641656" w14:paraId="5B44C8DC" w14:textId="77777777">
        <w:trPr>
          <w:jc w:val="center"/>
        </w:trPr>
        <w:tc>
          <w:tcPr>
            <w:tcW w:w="2250" w:type="dxa"/>
            <w:vAlign w:val="center"/>
          </w:tcPr>
          <w:p w14:paraId="13DDCCEC" w14:textId="77777777" w:rsidR="00D418B2" w:rsidRPr="00641656" w:rsidRDefault="00000000" w:rsidP="00641656">
            <w:pPr>
              <w:jc w:val="both"/>
              <w:rPr>
                <w:rFonts w:cs="Times New Roman"/>
                <w:szCs w:val="24"/>
              </w:rPr>
            </w:pPr>
            <w:r w:rsidRPr="00641656">
              <w:rPr>
                <w:rFonts w:cs="Times New Roman"/>
                <w:szCs w:val="24"/>
              </w:rPr>
              <w:t>Single-drug dendrimerosome</w:t>
            </w:r>
          </w:p>
        </w:tc>
        <w:tc>
          <w:tcPr>
            <w:tcW w:w="2250" w:type="dxa"/>
            <w:vAlign w:val="center"/>
          </w:tcPr>
          <w:p w14:paraId="3F0B4317" w14:textId="77777777" w:rsidR="00D418B2" w:rsidRPr="00641656" w:rsidRDefault="00000000" w:rsidP="00641656">
            <w:pPr>
              <w:jc w:val="both"/>
              <w:rPr>
                <w:rFonts w:cs="Times New Roman"/>
                <w:szCs w:val="24"/>
              </w:rPr>
            </w:pPr>
            <w:r w:rsidRPr="00641656">
              <w:rPr>
                <w:rFonts w:cs="Times New Roman"/>
                <w:szCs w:val="24"/>
              </w:rPr>
              <w:t>Formulation control</w:t>
            </w:r>
          </w:p>
        </w:tc>
        <w:tc>
          <w:tcPr>
            <w:tcW w:w="2250" w:type="dxa"/>
            <w:vAlign w:val="center"/>
          </w:tcPr>
          <w:p w14:paraId="2E199C87" w14:textId="77777777" w:rsidR="00D418B2" w:rsidRPr="00641656" w:rsidRDefault="00000000" w:rsidP="00641656">
            <w:pPr>
              <w:jc w:val="both"/>
              <w:rPr>
                <w:rFonts w:cs="Times New Roman"/>
                <w:szCs w:val="24"/>
              </w:rPr>
            </w:pPr>
            <w:r w:rsidRPr="00641656">
              <w:rPr>
                <w:rFonts w:cs="Times New Roman"/>
                <w:szCs w:val="24"/>
              </w:rPr>
              <w:t>Single-loaded vs dual-loaded carrier</w:t>
            </w:r>
          </w:p>
        </w:tc>
        <w:tc>
          <w:tcPr>
            <w:tcW w:w="2250" w:type="dxa"/>
            <w:vAlign w:val="center"/>
          </w:tcPr>
          <w:p w14:paraId="2796B259" w14:textId="77777777" w:rsidR="00D418B2" w:rsidRPr="00641656" w:rsidRDefault="00000000" w:rsidP="00641656">
            <w:pPr>
              <w:jc w:val="both"/>
              <w:rPr>
                <w:rFonts w:cs="Times New Roman"/>
                <w:szCs w:val="24"/>
              </w:rPr>
            </w:pPr>
            <w:r w:rsidRPr="00641656">
              <w:rPr>
                <w:rFonts w:cs="Times New Roman"/>
                <w:szCs w:val="24"/>
              </w:rPr>
              <w:t>Separates single-drug effects from co-loading</w:t>
            </w:r>
          </w:p>
        </w:tc>
      </w:tr>
      <w:tr w:rsidR="00D418B2" w:rsidRPr="00641656" w14:paraId="6A839400" w14:textId="77777777">
        <w:trPr>
          <w:jc w:val="center"/>
        </w:trPr>
        <w:tc>
          <w:tcPr>
            <w:tcW w:w="2250" w:type="dxa"/>
            <w:vAlign w:val="center"/>
          </w:tcPr>
          <w:p w14:paraId="78DA9987" w14:textId="77777777" w:rsidR="00D418B2" w:rsidRPr="00641656" w:rsidRDefault="00000000" w:rsidP="00641656">
            <w:pPr>
              <w:jc w:val="both"/>
              <w:rPr>
                <w:rFonts w:cs="Times New Roman"/>
                <w:szCs w:val="24"/>
              </w:rPr>
            </w:pPr>
            <w:r w:rsidRPr="00641656">
              <w:rPr>
                <w:rFonts w:cs="Times New Roman"/>
                <w:szCs w:val="24"/>
              </w:rPr>
              <w:t>Dual-drug dendrimerosome</w:t>
            </w:r>
          </w:p>
        </w:tc>
        <w:tc>
          <w:tcPr>
            <w:tcW w:w="2250" w:type="dxa"/>
            <w:vAlign w:val="center"/>
          </w:tcPr>
          <w:p w14:paraId="7540C8AD" w14:textId="77777777" w:rsidR="00D418B2" w:rsidRPr="00641656" w:rsidRDefault="00000000" w:rsidP="00641656">
            <w:pPr>
              <w:jc w:val="both"/>
              <w:rPr>
                <w:rFonts w:cs="Times New Roman"/>
                <w:szCs w:val="24"/>
              </w:rPr>
            </w:pPr>
            <w:r w:rsidRPr="00641656">
              <w:rPr>
                <w:rFonts w:cs="Times New Roman"/>
                <w:szCs w:val="24"/>
              </w:rPr>
              <w:t>Test formulation</w:t>
            </w:r>
          </w:p>
        </w:tc>
        <w:tc>
          <w:tcPr>
            <w:tcW w:w="2250" w:type="dxa"/>
            <w:vAlign w:val="center"/>
          </w:tcPr>
          <w:p w14:paraId="515F7FC5" w14:textId="77777777" w:rsidR="00D418B2" w:rsidRPr="00641656" w:rsidRDefault="00000000" w:rsidP="00641656">
            <w:pPr>
              <w:jc w:val="both"/>
              <w:rPr>
                <w:rFonts w:cs="Times New Roman"/>
                <w:szCs w:val="24"/>
              </w:rPr>
            </w:pPr>
            <w:r w:rsidRPr="00641656">
              <w:rPr>
                <w:rFonts w:cs="Times New Roman"/>
                <w:szCs w:val="24"/>
              </w:rPr>
              <w:t>Against all relevant controls</w:t>
            </w:r>
          </w:p>
        </w:tc>
        <w:tc>
          <w:tcPr>
            <w:tcW w:w="2250" w:type="dxa"/>
            <w:vAlign w:val="center"/>
          </w:tcPr>
          <w:p w14:paraId="57B58A32" w14:textId="77777777" w:rsidR="00D418B2" w:rsidRPr="00641656" w:rsidRDefault="00000000" w:rsidP="00641656">
            <w:pPr>
              <w:jc w:val="both"/>
              <w:rPr>
                <w:rFonts w:cs="Times New Roman"/>
                <w:szCs w:val="24"/>
              </w:rPr>
            </w:pPr>
            <w:r w:rsidRPr="00641656">
              <w:rPr>
                <w:rFonts w:cs="Times New Roman"/>
                <w:szCs w:val="24"/>
              </w:rPr>
              <w:t>Evaluates integrated formulation performance</w:t>
            </w:r>
          </w:p>
        </w:tc>
      </w:tr>
      <w:tr w:rsidR="00D418B2" w:rsidRPr="00641656" w14:paraId="56F75477" w14:textId="77777777">
        <w:trPr>
          <w:jc w:val="center"/>
        </w:trPr>
        <w:tc>
          <w:tcPr>
            <w:tcW w:w="2250" w:type="dxa"/>
            <w:vAlign w:val="center"/>
          </w:tcPr>
          <w:p w14:paraId="54D1BD28" w14:textId="77777777" w:rsidR="00D418B2" w:rsidRPr="00641656" w:rsidRDefault="00000000" w:rsidP="00641656">
            <w:pPr>
              <w:jc w:val="both"/>
              <w:rPr>
                <w:rFonts w:cs="Times New Roman"/>
                <w:szCs w:val="24"/>
              </w:rPr>
            </w:pPr>
            <w:r w:rsidRPr="00641656">
              <w:rPr>
                <w:rFonts w:cs="Times New Roman"/>
                <w:szCs w:val="24"/>
              </w:rPr>
              <w:t>Imaging-probe control</w:t>
            </w:r>
          </w:p>
        </w:tc>
        <w:tc>
          <w:tcPr>
            <w:tcW w:w="2250" w:type="dxa"/>
            <w:vAlign w:val="center"/>
          </w:tcPr>
          <w:p w14:paraId="0D529CB9" w14:textId="77777777" w:rsidR="00D418B2" w:rsidRPr="00641656" w:rsidRDefault="00000000" w:rsidP="00641656">
            <w:pPr>
              <w:jc w:val="both"/>
              <w:rPr>
                <w:rFonts w:cs="Times New Roman"/>
                <w:szCs w:val="24"/>
              </w:rPr>
            </w:pPr>
            <w:r w:rsidRPr="00641656">
              <w:rPr>
                <w:rFonts w:cs="Times New Roman"/>
                <w:szCs w:val="24"/>
              </w:rPr>
              <w:t>Probe control</w:t>
            </w:r>
          </w:p>
        </w:tc>
        <w:tc>
          <w:tcPr>
            <w:tcW w:w="2250" w:type="dxa"/>
            <w:vAlign w:val="center"/>
          </w:tcPr>
          <w:p w14:paraId="35531BFB" w14:textId="77777777" w:rsidR="00D418B2" w:rsidRPr="00641656" w:rsidRDefault="00000000" w:rsidP="00641656">
            <w:pPr>
              <w:jc w:val="both"/>
              <w:rPr>
                <w:rFonts w:cs="Times New Roman"/>
                <w:szCs w:val="24"/>
              </w:rPr>
            </w:pPr>
            <w:r w:rsidRPr="00641656">
              <w:rPr>
                <w:rFonts w:cs="Times New Roman"/>
                <w:szCs w:val="24"/>
              </w:rPr>
              <w:t>Probe-only vs probe-loaded carrier</w:t>
            </w:r>
          </w:p>
        </w:tc>
        <w:tc>
          <w:tcPr>
            <w:tcW w:w="2250" w:type="dxa"/>
            <w:vAlign w:val="center"/>
          </w:tcPr>
          <w:p w14:paraId="50653D8E" w14:textId="77777777" w:rsidR="00D418B2" w:rsidRPr="00641656" w:rsidRDefault="00000000" w:rsidP="00641656">
            <w:pPr>
              <w:jc w:val="both"/>
              <w:rPr>
                <w:rFonts w:cs="Times New Roman"/>
                <w:szCs w:val="24"/>
              </w:rPr>
            </w:pPr>
            <w:r w:rsidRPr="00641656">
              <w:rPr>
                <w:rFonts w:cs="Times New Roman"/>
                <w:szCs w:val="24"/>
              </w:rPr>
              <w:t xml:space="preserve">Determines whether imaging component alters biology or </w:t>
            </w:r>
            <w:r w:rsidRPr="00641656">
              <w:rPr>
                <w:rFonts w:cs="Times New Roman"/>
                <w:szCs w:val="24"/>
              </w:rPr>
              <w:lastRenderedPageBreak/>
              <w:t>interpretation</w:t>
            </w:r>
          </w:p>
        </w:tc>
      </w:tr>
    </w:tbl>
    <w:p w14:paraId="697037F0" w14:textId="77777777" w:rsidR="00D418B2" w:rsidRPr="00641656" w:rsidRDefault="00000000" w:rsidP="00641656">
      <w:pPr>
        <w:spacing w:after="200"/>
        <w:jc w:val="both"/>
        <w:rPr>
          <w:rFonts w:cs="Times New Roman"/>
          <w:szCs w:val="24"/>
        </w:rPr>
      </w:pPr>
      <w:r w:rsidRPr="00641656">
        <w:rPr>
          <w:rFonts w:cs="Times New Roman"/>
          <w:i/>
          <w:szCs w:val="24"/>
        </w:rPr>
        <w:lastRenderedPageBreak/>
        <w:t xml:space="preserve">Note. </w:t>
      </w:r>
      <w:r w:rsidRPr="00641656">
        <w:rPr>
          <w:rFonts w:cs="Times New Roman"/>
          <w:szCs w:val="24"/>
        </w:rPr>
        <w:t>Final groups should be aligned with the approved experimental protocol, cell models, dose ranges, and ethical approvals.</w:t>
      </w:r>
    </w:p>
    <w:p w14:paraId="111EE2CF"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1.18 Research Gap</w:t>
      </w:r>
    </w:p>
    <w:p w14:paraId="68EFD2E6" w14:textId="77777777" w:rsidR="00D418B2" w:rsidRPr="00641656" w:rsidRDefault="00000000" w:rsidP="00641656">
      <w:pPr>
        <w:jc w:val="both"/>
        <w:rPr>
          <w:rFonts w:cs="Times New Roman"/>
          <w:szCs w:val="24"/>
        </w:rPr>
      </w:pPr>
      <w:r w:rsidRPr="00641656">
        <w:rPr>
          <w:rFonts w:cs="Times New Roman"/>
          <w:szCs w:val="24"/>
        </w:rPr>
        <w:t>The literature supports the potential of nanocarriers to modify anticancer drug delivery, but several gaps remain relevant to the proposed formulation. Much of the combination-nanomedicine literature focuses on pairs of drugs without fully characterizing the ratio actually released from the carrier. This distinction is important because nominal co-loading does not establish synchronized pharmacological exposure.</w:t>
      </w:r>
    </w:p>
    <w:p w14:paraId="537AA821" w14:textId="77777777" w:rsidR="00D418B2" w:rsidRPr="00641656" w:rsidRDefault="00000000" w:rsidP="00641656">
      <w:pPr>
        <w:jc w:val="both"/>
        <w:rPr>
          <w:rFonts w:cs="Times New Roman"/>
          <w:szCs w:val="24"/>
        </w:rPr>
      </w:pPr>
      <w:r w:rsidRPr="00641656">
        <w:rPr>
          <w:rFonts w:cs="Times New Roman"/>
          <w:szCs w:val="24"/>
        </w:rPr>
        <w:t>A second gap concerns the relatively limited pharmaceutical development of dendrimerosomes compared with liposomes and other established nanovesicles. Although Janus dendrimers can form vesicular structures and have been explored for delivery and imaging, standardized development pathways, robust quality criteria, and broad comparative datasets remain less mature. A systematic investigation of formulation variables, physicochemical attributes, drug loading, release, stability, and biological performance can therefore add useful evidence.</w:t>
      </w:r>
    </w:p>
    <w:p w14:paraId="2390ED61" w14:textId="77777777" w:rsidR="00D418B2" w:rsidRPr="00641656" w:rsidRDefault="00000000" w:rsidP="00641656">
      <w:pPr>
        <w:jc w:val="both"/>
        <w:rPr>
          <w:rFonts w:cs="Times New Roman"/>
          <w:szCs w:val="24"/>
        </w:rPr>
      </w:pPr>
      <w:r w:rsidRPr="00641656">
        <w:rPr>
          <w:rFonts w:cs="Times New Roman"/>
          <w:szCs w:val="24"/>
        </w:rPr>
        <w:t>A third gap is the frequent separation of formulation characterization from biological interpretation. Particle size and cytotoxicity are often reported, but the mechanistic chain connecting size, surface properties, drug ratio, release, uptake, intracellular localization, and pharmacological effect may remain incomplete. The proposed thesis is designed to connect these layers.</w:t>
      </w:r>
    </w:p>
    <w:p w14:paraId="09EF7197" w14:textId="77777777" w:rsidR="00D418B2" w:rsidRPr="00641656" w:rsidRDefault="00000000" w:rsidP="00641656">
      <w:pPr>
        <w:jc w:val="both"/>
        <w:rPr>
          <w:rFonts w:cs="Times New Roman"/>
          <w:szCs w:val="24"/>
        </w:rPr>
      </w:pPr>
      <w:r w:rsidRPr="00641656">
        <w:rPr>
          <w:rFonts w:cs="Times New Roman"/>
          <w:szCs w:val="24"/>
        </w:rPr>
        <w:t>A fourth gap concerns the interpretation of passive tumor targeting. The EPR concept remains important but is increasingly understood as heterogeneous and context dependent. Incorporating imaging into formulation development provides a means of testing localization rather than assuming it. This is particularly relevant for a theranostic system in which imaging is intended to support, rather than replace, drug quantification and pharmacodynamic measurements.</w:t>
      </w:r>
    </w:p>
    <w:p w14:paraId="41E56F0B"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lastRenderedPageBreak/>
        <w:t>1.19 Aim of the Research</w:t>
      </w:r>
    </w:p>
    <w:p w14:paraId="19E1D3E3" w14:textId="77777777" w:rsidR="00D418B2" w:rsidRPr="00641656" w:rsidRDefault="00000000" w:rsidP="00641656">
      <w:pPr>
        <w:jc w:val="both"/>
        <w:rPr>
          <w:rFonts w:cs="Times New Roman"/>
          <w:szCs w:val="24"/>
        </w:rPr>
      </w:pPr>
      <w:r w:rsidRPr="00641656">
        <w:rPr>
          <w:rFonts w:cs="Times New Roman"/>
          <w:szCs w:val="24"/>
        </w:rPr>
        <w:t>The overall aim of this research is to develop and systematically evaluate an irinotecan–sorafenib co-loaded dendrimerosome-based theranostic nanocarrier for controlled dual-drug delivery and improved anticancer evaluation in colorectal cancer models.</w:t>
      </w:r>
    </w:p>
    <w:p w14:paraId="078A6B9B" w14:textId="77777777" w:rsidR="00D418B2" w:rsidRPr="00641656" w:rsidRDefault="00000000" w:rsidP="00641656">
      <w:pPr>
        <w:jc w:val="both"/>
        <w:rPr>
          <w:rFonts w:cs="Times New Roman"/>
          <w:szCs w:val="24"/>
        </w:rPr>
      </w:pPr>
      <w:r w:rsidRPr="00641656">
        <w:rPr>
          <w:rFonts w:cs="Times New Roman"/>
          <w:szCs w:val="24"/>
        </w:rPr>
        <w:t>The formulation aim is to establish a reproducible vesicular nanosystem with suitable particle size and uniformity, acceptable surface characteristics, measurable drug loading, controlled release, and adequate stability. The pharmacological aim is to determine whether co-delivery changes cellular uptake and anticancer response relative to free drugs and single-drug formulations. The theranostic aim is to integrate an imaging function that can provide information about carrier localization and complement therapeutic measurements.</w:t>
      </w:r>
    </w:p>
    <w:p w14:paraId="644EDF5D" w14:textId="77777777" w:rsidR="00D418B2" w:rsidRPr="00641656" w:rsidRDefault="00000000" w:rsidP="00641656">
      <w:pPr>
        <w:jc w:val="both"/>
        <w:rPr>
          <w:rFonts w:cs="Times New Roman"/>
          <w:szCs w:val="24"/>
        </w:rPr>
      </w:pPr>
      <w:r w:rsidRPr="00641656">
        <w:rPr>
          <w:rFonts w:cs="Times New Roman"/>
          <w:szCs w:val="24"/>
        </w:rPr>
        <w:t>The study is therefore structured around a chain of evidence: molecular and preformulation assessment; carrier assembly; optimization; analytical characterization; release and stability; cellular uptake and biological response; combination analysis; and imaging. This sequence is intended to prevent biological conclusions from being drawn from inadequately characterized formulations.</w:t>
      </w:r>
    </w:p>
    <w:p w14:paraId="40DBEC9E"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1.20 Specific Objectives</w:t>
      </w:r>
    </w:p>
    <w:p w14:paraId="50115093" w14:textId="77777777" w:rsidR="00D418B2" w:rsidRPr="00641656" w:rsidRDefault="00000000" w:rsidP="00641656">
      <w:pPr>
        <w:ind w:left="360"/>
        <w:jc w:val="both"/>
        <w:rPr>
          <w:rFonts w:cs="Times New Roman"/>
          <w:szCs w:val="24"/>
        </w:rPr>
      </w:pPr>
      <w:r w:rsidRPr="00641656">
        <w:rPr>
          <w:rFonts w:cs="Times New Roman"/>
          <w:b/>
          <w:szCs w:val="24"/>
        </w:rPr>
        <w:t xml:space="preserve">1. </w:t>
      </w:r>
      <w:r w:rsidRPr="00641656">
        <w:rPr>
          <w:rFonts w:cs="Times New Roman"/>
          <w:szCs w:val="24"/>
        </w:rPr>
        <w:t>To characterize irinotecan, sorafenib, and the selected dendrimerosome-forming materials using appropriate preformulation and compatibility studies.</w:t>
      </w:r>
    </w:p>
    <w:p w14:paraId="434CF5D0" w14:textId="77777777" w:rsidR="00D418B2" w:rsidRPr="00641656" w:rsidRDefault="00000000" w:rsidP="00641656">
      <w:pPr>
        <w:ind w:left="360"/>
        <w:jc w:val="both"/>
        <w:rPr>
          <w:rFonts w:cs="Times New Roman"/>
          <w:szCs w:val="24"/>
        </w:rPr>
      </w:pPr>
      <w:r w:rsidRPr="00641656">
        <w:rPr>
          <w:rFonts w:cs="Times New Roman"/>
          <w:b/>
          <w:szCs w:val="24"/>
        </w:rPr>
        <w:t xml:space="preserve">2. </w:t>
      </w:r>
      <w:r w:rsidRPr="00641656">
        <w:rPr>
          <w:rFonts w:cs="Times New Roman"/>
          <w:szCs w:val="24"/>
        </w:rPr>
        <w:t>To develop and validate analytical procedures suitable for quantitative determination of irinotecan and sorafenib in formulation and release samples.</w:t>
      </w:r>
    </w:p>
    <w:p w14:paraId="7A7F014E" w14:textId="77777777" w:rsidR="00D418B2" w:rsidRPr="00641656" w:rsidRDefault="00000000" w:rsidP="00641656">
      <w:pPr>
        <w:ind w:left="360"/>
        <w:jc w:val="both"/>
        <w:rPr>
          <w:rFonts w:cs="Times New Roman"/>
          <w:szCs w:val="24"/>
        </w:rPr>
      </w:pPr>
      <w:r w:rsidRPr="00641656">
        <w:rPr>
          <w:rFonts w:cs="Times New Roman"/>
          <w:b/>
          <w:szCs w:val="24"/>
        </w:rPr>
        <w:t xml:space="preserve">3. </w:t>
      </w:r>
      <w:r w:rsidRPr="00641656">
        <w:rPr>
          <w:rFonts w:cs="Times New Roman"/>
          <w:szCs w:val="24"/>
        </w:rPr>
        <w:t>To prepare blank, single-drug, and dual-drug dendrimerosome formulations using an appropriate self-assembly method.</w:t>
      </w:r>
    </w:p>
    <w:p w14:paraId="7561F7E2" w14:textId="77777777" w:rsidR="00D418B2" w:rsidRPr="00641656" w:rsidRDefault="00000000" w:rsidP="00641656">
      <w:pPr>
        <w:ind w:left="360"/>
        <w:jc w:val="both"/>
        <w:rPr>
          <w:rFonts w:cs="Times New Roman"/>
          <w:szCs w:val="24"/>
        </w:rPr>
      </w:pPr>
      <w:r w:rsidRPr="00641656">
        <w:rPr>
          <w:rFonts w:cs="Times New Roman"/>
          <w:b/>
          <w:szCs w:val="24"/>
        </w:rPr>
        <w:t xml:space="preserve">4. </w:t>
      </w:r>
      <w:r w:rsidRPr="00641656">
        <w:rPr>
          <w:rFonts w:cs="Times New Roman"/>
          <w:szCs w:val="24"/>
        </w:rPr>
        <w:t>To optimize formulation and process variables using a systematic experimental-design strategy.</w:t>
      </w:r>
    </w:p>
    <w:p w14:paraId="4A6F7E54" w14:textId="77777777" w:rsidR="00D418B2" w:rsidRPr="00641656" w:rsidRDefault="00000000" w:rsidP="00641656">
      <w:pPr>
        <w:ind w:left="360"/>
        <w:jc w:val="both"/>
        <w:rPr>
          <w:rFonts w:cs="Times New Roman"/>
          <w:szCs w:val="24"/>
        </w:rPr>
      </w:pPr>
      <w:r w:rsidRPr="00641656">
        <w:rPr>
          <w:rFonts w:cs="Times New Roman"/>
          <w:b/>
          <w:szCs w:val="24"/>
        </w:rPr>
        <w:t xml:space="preserve">5. </w:t>
      </w:r>
      <w:r w:rsidRPr="00641656">
        <w:rPr>
          <w:rFonts w:cs="Times New Roman"/>
          <w:szCs w:val="24"/>
        </w:rPr>
        <w:t>To characterize optimized formulations for particle size, PDI, zeta potential, morphology, drug content, encapsulation efficiency, loading capacity, and relevant structural properties.</w:t>
      </w:r>
    </w:p>
    <w:p w14:paraId="324E45A4" w14:textId="77777777" w:rsidR="00D418B2" w:rsidRPr="00641656" w:rsidRDefault="00000000" w:rsidP="00641656">
      <w:pPr>
        <w:ind w:left="360"/>
        <w:jc w:val="both"/>
        <w:rPr>
          <w:rFonts w:cs="Times New Roman"/>
          <w:szCs w:val="24"/>
        </w:rPr>
      </w:pPr>
      <w:r w:rsidRPr="00641656">
        <w:rPr>
          <w:rFonts w:cs="Times New Roman"/>
          <w:b/>
          <w:szCs w:val="24"/>
        </w:rPr>
        <w:lastRenderedPageBreak/>
        <w:t xml:space="preserve">6. </w:t>
      </w:r>
      <w:r w:rsidRPr="00641656">
        <w:rPr>
          <w:rFonts w:cs="Times New Roman"/>
          <w:szCs w:val="24"/>
        </w:rPr>
        <w:t>To determine the in-vitro release profiles of irinotecan and sorafenib independently and evaluate the temporal drug ratio.</w:t>
      </w:r>
    </w:p>
    <w:p w14:paraId="7FD27858" w14:textId="77777777" w:rsidR="00D418B2" w:rsidRPr="00641656" w:rsidRDefault="00000000" w:rsidP="00641656">
      <w:pPr>
        <w:ind w:left="360"/>
        <w:jc w:val="both"/>
        <w:rPr>
          <w:rFonts w:cs="Times New Roman"/>
          <w:szCs w:val="24"/>
        </w:rPr>
      </w:pPr>
      <w:r w:rsidRPr="00641656">
        <w:rPr>
          <w:rFonts w:cs="Times New Roman"/>
          <w:b/>
          <w:szCs w:val="24"/>
        </w:rPr>
        <w:t xml:space="preserve">7. </w:t>
      </w:r>
      <w:r w:rsidRPr="00641656">
        <w:rPr>
          <w:rFonts w:cs="Times New Roman"/>
          <w:szCs w:val="24"/>
        </w:rPr>
        <w:t>To assess the physical and chemical stability of the optimized formulation under defined storage conditions.</w:t>
      </w:r>
    </w:p>
    <w:p w14:paraId="485FCB05" w14:textId="77777777" w:rsidR="00D418B2" w:rsidRPr="00641656" w:rsidRDefault="00000000" w:rsidP="00641656">
      <w:pPr>
        <w:ind w:left="360"/>
        <w:jc w:val="both"/>
        <w:rPr>
          <w:rFonts w:cs="Times New Roman"/>
          <w:szCs w:val="24"/>
        </w:rPr>
      </w:pPr>
      <w:r w:rsidRPr="00641656">
        <w:rPr>
          <w:rFonts w:cs="Times New Roman"/>
          <w:b/>
          <w:szCs w:val="24"/>
        </w:rPr>
        <w:t xml:space="preserve">8. </w:t>
      </w:r>
      <w:r w:rsidRPr="00641656">
        <w:rPr>
          <w:rFonts w:cs="Times New Roman"/>
          <w:szCs w:val="24"/>
        </w:rPr>
        <w:t>To evaluate cytotoxicity in appropriate colorectal cancer models and compare free-drug, single-drug carrier, and dual-drug carrier treatments.</w:t>
      </w:r>
    </w:p>
    <w:p w14:paraId="1DFC4CD2" w14:textId="77777777" w:rsidR="00D418B2" w:rsidRPr="00641656" w:rsidRDefault="00000000" w:rsidP="00641656">
      <w:pPr>
        <w:ind w:left="360"/>
        <w:jc w:val="both"/>
        <w:rPr>
          <w:rFonts w:cs="Times New Roman"/>
          <w:szCs w:val="24"/>
        </w:rPr>
      </w:pPr>
      <w:r w:rsidRPr="00641656">
        <w:rPr>
          <w:rFonts w:cs="Times New Roman"/>
          <w:b/>
          <w:szCs w:val="24"/>
        </w:rPr>
        <w:t xml:space="preserve">9. </w:t>
      </w:r>
      <w:r w:rsidRPr="00641656">
        <w:rPr>
          <w:rFonts w:cs="Times New Roman"/>
          <w:szCs w:val="24"/>
        </w:rPr>
        <w:t>To quantify cellular uptake and, where feasible, intracellular localization of the theranostic carrier.</w:t>
      </w:r>
    </w:p>
    <w:p w14:paraId="731BCB22" w14:textId="77777777" w:rsidR="00D418B2" w:rsidRPr="00641656" w:rsidRDefault="00000000" w:rsidP="00641656">
      <w:pPr>
        <w:ind w:left="360"/>
        <w:jc w:val="both"/>
        <w:rPr>
          <w:rFonts w:cs="Times New Roman"/>
          <w:szCs w:val="24"/>
        </w:rPr>
      </w:pPr>
      <w:r w:rsidRPr="00641656">
        <w:rPr>
          <w:rFonts w:cs="Times New Roman"/>
          <w:b/>
          <w:szCs w:val="24"/>
        </w:rPr>
        <w:t xml:space="preserve">10. </w:t>
      </w:r>
      <w:r w:rsidRPr="00641656">
        <w:rPr>
          <w:rFonts w:cs="Times New Roman"/>
          <w:szCs w:val="24"/>
        </w:rPr>
        <w:t>To investigate apoptosis, cell-cycle effects, or other mechanistically relevant biological endpoints.</w:t>
      </w:r>
    </w:p>
    <w:p w14:paraId="0C4CD60F" w14:textId="77777777" w:rsidR="00D418B2" w:rsidRPr="00641656" w:rsidRDefault="00000000" w:rsidP="00641656">
      <w:pPr>
        <w:ind w:left="360"/>
        <w:jc w:val="both"/>
        <w:rPr>
          <w:rFonts w:cs="Times New Roman"/>
          <w:szCs w:val="24"/>
        </w:rPr>
      </w:pPr>
      <w:r w:rsidRPr="00641656">
        <w:rPr>
          <w:rFonts w:cs="Times New Roman"/>
          <w:b/>
          <w:szCs w:val="24"/>
        </w:rPr>
        <w:t xml:space="preserve">11. </w:t>
      </w:r>
      <w:r w:rsidRPr="00641656">
        <w:rPr>
          <w:rFonts w:cs="Times New Roman"/>
          <w:szCs w:val="24"/>
        </w:rPr>
        <w:t>To quantify the interaction between irinotecan and sorafenib using an appropriate combination-analysis framework.</w:t>
      </w:r>
    </w:p>
    <w:p w14:paraId="7ABCB6EA" w14:textId="77777777" w:rsidR="00D418B2" w:rsidRPr="00641656" w:rsidRDefault="00000000" w:rsidP="00641656">
      <w:pPr>
        <w:ind w:left="360"/>
        <w:jc w:val="both"/>
        <w:rPr>
          <w:rFonts w:cs="Times New Roman"/>
          <w:szCs w:val="24"/>
        </w:rPr>
      </w:pPr>
      <w:r w:rsidRPr="00641656">
        <w:rPr>
          <w:rFonts w:cs="Times New Roman"/>
          <w:b/>
          <w:szCs w:val="24"/>
        </w:rPr>
        <w:t xml:space="preserve">12. </w:t>
      </w:r>
      <w:r w:rsidRPr="00641656">
        <w:rPr>
          <w:rFonts w:cs="Times New Roman"/>
          <w:szCs w:val="24"/>
        </w:rPr>
        <w:t>To integrate an imaging component for assessment of carrier localization and delivery behavior.</w:t>
      </w:r>
    </w:p>
    <w:p w14:paraId="34C23B6D" w14:textId="77777777" w:rsidR="00D418B2" w:rsidRPr="00641656" w:rsidRDefault="00000000" w:rsidP="00641656">
      <w:pPr>
        <w:ind w:left="360"/>
        <w:jc w:val="both"/>
        <w:rPr>
          <w:rFonts w:cs="Times New Roman"/>
          <w:szCs w:val="24"/>
        </w:rPr>
      </w:pPr>
      <w:r w:rsidRPr="00641656">
        <w:rPr>
          <w:rFonts w:cs="Times New Roman"/>
          <w:b/>
          <w:szCs w:val="24"/>
        </w:rPr>
        <w:t xml:space="preserve">13. </w:t>
      </w:r>
      <w:r w:rsidRPr="00641656">
        <w:rPr>
          <w:rFonts w:cs="Times New Roman"/>
          <w:szCs w:val="24"/>
        </w:rPr>
        <w:t>To establish a coherent preclinical evidence base for subsequent pharmacokinetic, biodistribution, safety, and in-vivo efficacy studies.</w:t>
      </w:r>
    </w:p>
    <w:p w14:paraId="1A6E875D"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1.21 Research Questions</w:t>
      </w:r>
    </w:p>
    <w:p w14:paraId="1D4BA832" w14:textId="77777777" w:rsidR="00D418B2" w:rsidRPr="00641656" w:rsidRDefault="00000000" w:rsidP="00641656">
      <w:pPr>
        <w:ind w:left="360"/>
        <w:jc w:val="both"/>
        <w:rPr>
          <w:rFonts w:cs="Times New Roman"/>
          <w:szCs w:val="24"/>
        </w:rPr>
      </w:pPr>
      <w:r w:rsidRPr="00641656">
        <w:rPr>
          <w:rFonts w:cs="Times New Roman"/>
          <w:b/>
          <w:szCs w:val="24"/>
        </w:rPr>
        <w:t xml:space="preserve">1. </w:t>
      </w:r>
      <w:r w:rsidRPr="00641656">
        <w:rPr>
          <w:rFonts w:cs="Times New Roman"/>
          <w:szCs w:val="24"/>
        </w:rPr>
        <w:t>Can Janus-dendrimer-derived dendrimerosomes reproducibly accommodate irinotecan and sorafenib simultaneously while retaining vesicular integrity?</w:t>
      </w:r>
    </w:p>
    <w:p w14:paraId="7A803C7C" w14:textId="77777777" w:rsidR="00D418B2" w:rsidRPr="00641656" w:rsidRDefault="00000000" w:rsidP="00641656">
      <w:pPr>
        <w:ind w:left="360"/>
        <w:jc w:val="both"/>
        <w:rPr>
          <w:rFonts w:cs="Times New Roman"/>
          <w:szCs w:val="24"/>
        </w:rPr>
      </w:pPr>
      <w:r w:rsidRPr="00641656">
        <w:rPr>
          <w:rFonts w:cs="Times New Roman"/>
          <w:b/>
          <w:szCs w:val="24"/>
        </w:rPr>
        <w:t xml:space="preserve">2. </w:t>
      </w:r>
      <w:r w:rsidRPr="00641656">
        <w:rPr>
          <w:rFonts w:cs="Times New Roman"/>
          <w:szCs w:val="24"/>
        </w:rPr>
        <w:t>Which formulation and process variables have the greatest influence on particle size, PDI, drug loading, encapsulation efficiency, stability, and drug ratio?</w:t>
      </w:r>
    </w:p>
    <w:p w14:paraId="249D5556" w14:textId="77777777" w:rsidR="00D418B2" w:rsidRPr="00641656" w:rsidRDefault="00000000" w:rsidP="00641656">
      <w:pPr>
        <w:ind w:left="360"/>
        <w:jc w:val="both"/>
        <w:rPr>
          <w:rFonts w:cs="Times New Roman"/>
          <w:szCs w:val="24"/>
        </w:rPr>
      </w:pPr>
      <w:r w:rsidRPr="00641656">
        <w:rPr>
          <w:rFonts w:cs="Times New Roman"/>
          <w:b/>
          <w:szCs w:val="24"/>
        </w:rPr>
        <w:t xml:space="preserve">3. </w:t>
      </w:r>
      <w:r w:rsidRPr="00641656">
        <w:rPr>
          <w:rFonts w:cs="Times New Roman"/>
          <w:szCs w:val="24"/>
        </w:rPr>
        <w:t>Does co-loading modify the release behavior of irinotecan and sorafenib compared with their free forms or single-drug carriers?</w:t>
      </w:r>
    </w:p>
    <w:p w14:paraId="42DF9A7C" w14:textId="77777777" w:rsidR="00D418B2" w:rsidRPr="00641656" w:rsidRDefault="00000000" w:rsidP="00641656">
      <w:pPr>
        <w:ind w:left="360"/>
        <w:jc w:val="both"/>
        <w:rPr>
          <w:rFonts w:cs="Times New Roman"/>
          <w:szCs w:val="24"/>
        </w:rPr>
      </w:pPr>
      <w:r w:rsidRPr="00641656">
        <w:rPr>
          <w:rFonts w:cs="Times New Roman"/>
          <w:b/>
          <w:szCs w:val="24"/>
        </w:rPr>
        <w:t xml:space="preserve">4. </w:t>
      </w:r>
      <w:r w:rsidRPr="00641656">
        <w:rPr>
          <w:rFonts w:cs="Times New Roman"/>
          <w:szCs w:val="24"/>
        </w:rPr>
        <w:t>Does the dendrimerosome carrier increase or otherwise alter cellular uptake and intracellular localization?</w:t>
      </w:r>
    </w:p>
    <w:p w14:paraId="17366383" w14:textId="77777777" w:rsidR="00D418B2" w:rsidRPr="00641656" w:rsidRDefault="00000000" w:rsidP="00641656">
      <w:pPr>
        <w:ind w:left="360"/>
        <w:jc w:val="both"/>
        <w:rPr>
          <w:rFonts w:cs="Times New Roman"/>
          <w:szCs w:val="24"/>
        </w:rPr>
      </w:pPr>
      <w:r w:rsidRPr="00641656">
        <w:rPr>
          <w:rFonts w:cs="Times New Roman"/>
          <w:b/>
          <w:szCs w:val="24"/>
        </w:rPr>
        <w:t xml:space="preserve">5. </w:t>
      </w:r>
      <w:r w:rsidRPr="00641656">
        <w:rPr>
          <w:rFonts w:cs="Times New Roman"/>
          <w:szCs w:val="24"/>
        </w:rPr>
        <w:t>Does the dual-drug formulation produce greater anticancer activity than free-drug combinations or single-drug formulations?</w:t>
      </w:r>
    </w:p>
    <w:p w14:paraId="1C94519D" w14:textId="77777777" w:rsidR="00D418B2" w:rsidRPr="00641656" w:rsidRDefault="00000000" w:rsidP="00641656">
      <w:pPr>
        <w:ind w:left="360"/>
        <w:jc w:val="both"/>
        <w:rPr>
          <w:rFonts w:cs="Times New Roman"/>
          <w:szCs w:val="24"/>
        </w:rPr>
      </w:pPr>
      <w:r w:rsidRPr="00641656">
        <w:rPr>
          <w:rFonts w:cs="Times New Roman"/>
          <w:b/>
          <w:szCs w:val="24"/>
        </w:rPr>
        <w:lastRenderedPageBreak/>
        <w:t xml:space="preserve">6. </w:t>
      </w:r>
      <w:r w:rsidRPr="00641656">
        <w:rPr>
          <w:rFonts w:cs="Times New Roman"/>
          <w:szCs w:val="24"/>
        </w:rPr>
        <w:t>Across the tested concentration range, is the irinotecan–sorafenib interaction synergistic, additive, or antagonistic?</w:t>
      </w:r>
    </w:p>
    <w:p w14:paraId="010BB048" w14:textId="77777777" w:rsidR="00D418B2" w:rsidRPr="00641656" w:rsidRDefault="00000000" w:rsidP="00641656">
      <w:pPr>
        <w:ind w:left="360"/>
        <w:jc w:val="both"/>
        <w:rPr>
          <w:rFonts w:cs="Times New Roman"/>
          <w:szCs w:val="24"/>
        </w:rPr>
      </w:pPr>
      <w:r w:rsidRPr="00641656">
        <w:rPr>
          <w:rFonts w:cs="Times New Roman"/>
          <w:b/>
          <w:szCs w:val="24"/>
        </w:rPr>
        <w:t xml:space="preserve">7. </w:t>
      </w:r>
      <w:r w:rsidRPr="00641656">
        <w:rPr>
          <w:rFonts w:cs="Times New Roman"/>
          <w:szCs w:val="24"/>
        </w:rPr>
        <w:t>Can imaging provide reproducible evidence about carrier localization that improves interpretation of therapeutic results?</w:t>
      </w:r>
    </w:p>
    <w:p w14:paraId="38766F22" w14:textId="77777777" w:rsidR="00D418B2" w:rsidRPr="00641656" w:rsidRDefault="00000000" w:rsidP="00641656">
      <w:pPr>
        <w:ind w:left="360"/>
        <w:jc w:val="both"/>
        <w:rPr>
          <w:rFonts w:cs="Times New Roman"/>
          <w:szCs w:val="24"/>
        </w:rPr>
      </w:pPr>
      <w:r w:rsidRPr="00641656">
        <w:rPr>
          <w:rFonts w:cs="Times New Roman"/>
          <w:b/>
          <w:szCs w:val="24"/>
        </w:rPr>
        <w:t xml:space="preserve">8. </w:t>
      </w:r>
      <w:r w:rsidRPr="00641656">
        <w:rPr>
          <w:rFonts w:cs="Times New Roman"/>
          <w:szCs w:val="24"/>
        </w:rPr>
        <w:t>Which formulation attribute, if any, appears to be the principal limitation to biological performance?</w:t>
      </w:r>
    </w:p>
    <w:p w14:paraId="32922EF0"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1.22 Working Hypotheses</w:t>
      </w:r>
    </w:p>
    <w:p w14:paraId="2D1F8C59" w14:textId="77777777" w:rsidR="00D418B2" w:rsidRPr="00641656" w:rsidRDefault="00000000" w:rsidP="00641656">
      <w:pPr>
        <w:jc w:val="both"/>
        <w:rPr>
          <w:rFonts w:cs="Times New Roman"/>
          <w:szCs w:val="24"/>
        </w:rPr>
      </w:pPr>
      <w:r w:rsidRPr="00641656">
        <w:rPr>
          <w:rFonts w:cs="Times New Roman"/>
          <w:szCs w:val="24"/>
        </w:rPr>
        <w:t>The primary working hypothesis is that an appropriately optimized dendrimerosome can co-encapsulate irinotecan and sorafenib in a stable nanoscale vesicular architecture, provide controlled and measurable release of both agents, increase effective cellular exposure, and produce greater anticancer activity than relevant free-drug and single-drug controls.</w:t>
      </w:r>
    </w:p>
    <w:p w14:paraId="2E580009" w14:textId="77777777" w:rsidR="00D418B2" w:rsidRPr="00641656" w:rsidRDefault="00000000" w:rsidP="00641656">
      <w:pPr>
        <w:jc w:val="both"/>
        <w:rPr>
          <w:rFonts w:cs="Times New Roman"/>
          <w:szCs w:val="24"/>
        </w:rPr>
      </w:pPr>
      <w:r w:rsidRPr="00641656">
        <w:rPr>
          <w:rFonts w:cs="Times New Roman"/>
          <w:szCs w:val="24"/>
        </w:rPr>
        <w:t>A secondary hypothesis is that formulation variables will influence the actual irinotecan:sorafenib ratio delivered over time and that biological response will depend, at least in part, on this exposure relationship. A third hypothesis is that an integrated imaging signal will provide distribution information that cannot be obtained from endpoint viability measurements alone.</w:t>
      </w:r>
    </w:p>
    <w:p w14:paraId="01061A9C" w14:textId="77777777" w:rsidR="00D418B2" w:rsidRPr="00641656" w:rsidRDefault="00000000" w:rsidP="00641656">
      <w:pPr>
        <w:jc w:val="both"/>
        <w:rPr>
          <w:rFonts w:cs="Times New Roman"/>
          <w:szCs w:val="24"/>
        </w:rPr>
      </w:pPr>
      <w:r w:rsidRPr="00641656">
        <w:rPr>
          <w:rFonts w:cs="Times New Roman"/>
          <w:szCs w:val="24"/>
        </w:rPr>
        <w:t>The hypotheses deliberately avoid assuming universal EPR-mediated tumor targeting or predetermined synergy. Such outcomes should be treated as empirical questions. This conservative approach is consistent with evidence that nanoparticle delivery to tumors is heterogeneous and mechanistically more complex than a simple passive-extravasation model.</w:t>
      </w:r>
    </w:p>
    <w:p w14:paraId="62379522" w14:textId="77777777" w:rsidR="00D418B2" w:rsidRPr="00641656" w:rsidRDefault="00000000" w:rsidP="00641656">
      <w:pPr>
        <w:jc w:val="both"/>
        <w:rPr>
          <w:rFonts w:cs="Times New Roman"/>
          <w:szCs w:val="24"/>
        </w:rPr>
      </w:pPr>
      <w:r w:rsidRPr="00641656">
        <w:rPr>
          <w:rFonts w:cs="Times New Roman"/>
          <w:b/>
          <w:szCs w:val="24"/>
        </w:rPr>
        <w:t>Figure 1.3. Proposed development pathway for the irinotecan–sorafenib dendrimerosome</w:t>
      </w:r>
    </w:p>
    <w:p w14:paraId="0961179E" w14:textId="5BFFF2E1" w:rsidR="00D418B2" w:rsidRPr="00641656" w:rsidRDefault="00E70809" w:rsidP="00641656">
      <w:pPr>
        <w:jc w:val="both"/>
        <w:rPr>
          <w:rFonts w:cs="Times New Roman"/>
          <w:szCs w:val="24"/>
        </w:rPr>
      </w:pPr>
      <w:r>
        <w:rPr>
          <w:rFonts w:cs="Times New Roman"/>
          <w:noProof/>
          <w:szCs w:val="24"/>
        </w:rPr>
        <w:lastRenderedPageBreak/>
        <w:drawing>
          <wp:inline distT="0" distB="0" distL="0" distR="0" wp14:anchorId="5547A9F7" wp14:editId="25AB9193">
            <wp:extent cx="5806440" cy="1920240"/>
            <wp:effectExtent l="0" t="0" r="3810" b="3810"/>
            <wp:docPr id="85163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6440" cy="1920240"/>
                    </a:xfrm>
                    <a:prstGeom prst="rect">
                      <a:avLst/>
                    </a:prstGeom>
                    <a:noFill/>
                  </pic:spPr>
                </pic:pic>
              </a:graphicData>
            </a:graphic>
          </wp:inline>
        </w:drawing>
      </w:r>
    </w:p>
    <w:p w14:paraId="6CD3B44E" w14:textId="77777777" w:rsidR="00D418B2" w:rsidRPr="00641656" w:rsidRDefault="00000000" w:rsidP="00641656">
      <w:pPr>
        <w:jc w:val="both"/>
        <w:rPr>
          <w:rFonts w:cs="Times New Roman"/>
          <w:szCs w:val="24"/>
        </w:rPr>
      </w:pPr>
      <w:r w:rsidRPr="00641656">
        <w:rPr>
          <w:rFonts w:cs="Times New Roman"/>
          <w:i/>
          <w:szCs w:val="24"/>
        </w:rPr>
        <w:t xml:space="preserve">Note. </w:t>
      </w:r>
      <w:r w:rsidRPr="00641656">
        <w:rPr>
          <w:rFonts w:cs="Times New Roman"/>
          <w:szCs w:val="24"/>
        </w:rPr>
        <w:t>The pathway proceeds from preformulation and analytical development through formulation optimization, characterization, biological evaluation and theranostic assessment. Feedback from later stages may be used to refine earlier formulation variables.</w:t>
      </w:r>
    </w:p>
    <w:p w14:paraId="10B8FF1D"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1.23 Conceptual Framework</w:t>
      </w:r>
    </w:p>
    <w:p w14:paraId="241FA8DE" w14:textId="77777777" w:rsidR="00D418B2" w:rsidRPr="00641656" w:rsidRDefault="00000000" w:rsidP="00641656">
      <w:pPr>
        <w:jc w:val="both"/>
        <w:rPr>
          <w:rFonts w:cs="Times New Roman"/>
          <w:szCs w:val="24"/>
        </w:rPr>
      </w:pPr>
      <w:r w:rsidRPr="00641656">
        <w:rPr>
          <w:rFonts w:cs="Times New Roman"/>
          <w:szCs w:val="24"/>
        </w:rPr>
        <w:t>The conceptual framework of this research links molecular architecture, formulation behavior, pharmacokinetics, cellular delivery, and biological response. At the formulation level, Janus dendrimers provide amphiphilic building blocks that can self-assemble into vesicular structures. The resulting architecture determines, and is determined by, composition, processing conditions, drug loading, and surface chemistry.</w:t>
      </w:r>
    </w:p>
    <w:p w14:paraId="6D9E225D" w14:textId="77777777" w:rsidR="00D418B2" w:rsidRPr="00641656" w:rsidRDefault="00000000" w:rsidP="00641656">
      <w:pPr>
        <w:jc w:val="both"/>
        <w:rPr>
          <w:rFonts w:cs="Times New Roman"/>
          <w:szCs w:val="24"/>
        </w:rPr>
      </w:pPr>
      <w:r w:rsidRPr="00641656">
        <w:rPr>
          <w:rFonts w:cs="Times New Roman"/>
          <w:szCs w:val="24"/>
        </w:rPr>
        <w:t>Following exposure to a biological environment, the carrier encounters proteins and cells that can modify its effective surface. Distribution is then influenced by circulation, vascular interactions, tissue architecture, and clearance. In tumor tissue, perfusion, extracellular matrix, interstitial pressure, and immune-cell interactions determine how much carrier becomes available to malignant cells. Cellular uptake and intracellular trafficking subsequently influence the location and timing of drug release.</w:t>
      </w:r>
    </w:p>
    <w:p w14:paraId="66994231" w14:textId="77777777" w:rsidR="00D418B2" w:rsidRPr="00641656" w:rsidRDefault="00000000" w:rsidP="00641656">
      <w:pPr>
        <w:jc w:val="both"/>
        <w:rPr>
          <w:rFonts w:cs="Times New Roman"/>
          <w:szCs w:val="24"/>
        </w:rPr>
      </w:pPr>
      <w:r w:rsidRPr="00641656">
        <w:rPr>
          <w:rFonts w:cs="Times New Roman"/>
          <w:szCs w:val="24"/>
        </w:rPr>
        <w:t>The pharmacological layer is represented by the complementary actions of irinotecan and sorafenib. The former is associated with topoisomerase I inhibition and replication-associated DNA damage; the latter interferes with kinase signaling pathways relevant to proliferation and angiogenesis. The therapeutic endpoint is therefore expected to depend on both the amount of each drug delivered and the temporal relationship between them.</w:t>
      </w:r>
    </w:p>
    <w:p w14:paraId="208D4E1C" w14:textId="77777777" w:rsidR="00D418B2" w:rsidRPr="00641656" w:rsidRDefault="00000000" w:rsidP="00641656">
      <w:pPr>
        <w:jc w:val="both"/>
        <w:rPr>
          <w:rFonts w:cs="Times New Roman"/>
          <w:szCs w:val="24"/>
        </w:rPr>
      </w:pPr>
      <w:r w:rsidRPr="00641656">
        <w:rPr>
          <w:rFonts w:cs="Times New Roman"/>
          <w:szCs w:val="24"/>
        </w:rPr>
        <w:lastRenderedPageBreak/>
        <w:t>Imaging is positioned across the framework as a measurement tool. It can provide evidence about carrier localization and uptake, but an imaging signal should not be interpreted as direct evidence of drug release or therapeutic action unless validated for that purpose. The framework therefore requires convergence of physicochemical, analytical, imaging, and biological evidence.</w:t>
      </w:r>
    </w:p>
    <w:p w14:paraId="67FA48C2"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1.24 Significance of the Study</w:t>
      </w:r>
    </w:p>
    <w:p w14:paraId="07C62A59" w14:textId="77777777" w:rsidR="00D418B2" w:rsidRPr="00641656" w:rsidRDefault="00000000" w:rsidP="00641656">
      <w:pPr>
        <w:jc w:val="both"/>
        <w:rPr>
          <w:rFonts w:cs="Times New Roman"/>
          <w:szCs w:val="24"/>
        </w:rPr>
      </w:pPr>
      <w:r w:rsidRPr="00641656">
        <w:rPr>
          <w:rFonts w:cs="Times New Roman"/>
          <w:szCs w:val="24"/>
        </w:rPr>
        <w:t>The study is significant from a pharmaceutical perspective because it examines an emerging vesicular platform for simultaneous delivery of two agents with different physicochemical properties. From a pharmacological perspective, it addresses the challenge of maintaining a defined combination exposure rather than merely combining two doses. From a nanomedicine perspective, it integrates therapy with imaging. From a translational perspective, it emphasizes reproducibility and measurable quality attributes.</w:t>
      </w:r>
    </w:p>
    <w:p w14:paraId="58535313" w14:textId="77777777" w:rsidR="00D418B2" w:rsidRPr="00641656" w:rsidRDefault="00000000" w:rsidP="00641656">
      <w:pPr>
        <w:jc w:val="both"/>
        <w:rPr>
          <w:rFonts w:cs="Times New Roman"/>
          <w:szCs w:val="24"/>
        </w:rPr>
      </w:pPr>
      <w:r w:rsidRPr="00641656">
        <w:rPr>
          <w:rFonts w:cs="Times New Roman"/>
          <w:szCs w:val="24"/>
        </w:rPr>
        <w:t>For CRC research, the work may provide a platform for investigating combinations that apply pressure to DNA replication and kinase signaling simultaneously. The formulation strategy may also be adaptable to other drug pairs when the agents differ in solubility, partitioning, or release behavior.</w:t>
      </w:r>
    </w:p>
    <w:p w14:paraId="0FA6E954" w14:textId="77777777" w:rsidR="00D418B2" w:rsidRPr="00641656" w:rsidRDefault="00000000" w:rsidP="00641656">
      <w:pPr>
        <w:jc w:val="both"/>
        <w:rPr>
          <w:rFonts w:cs="Times New Roman"/>
          <w:szCs w:val="24"/>
        </w:rPr>
      </w:pPr>
      <w:r w:rsidRPr="00641656">
        <w:rPr>
          <w:rFonts w:cs="Times New Roman"/>
          <w:szCs w:val="24"/>
        </w:rPr>
        <w:t>The methodological contribution may be equally important. By including blank-carrier controls, single-drug controls, free-drug combinations, individual drug-release measurements, and imaging controls, the study can distinguish carrier effects from drug effects. By incorporating systematic optimization, it can identify a formulation based on a combination of quality attributes rather than one favorable measurement.</w:t>
      </w:r>
    </w:p>
    <w:p w14:paraId="115204CC" w14:textId="77777777" w:rsidR="00D418B2" w:rsidRPr="00641656" w:rsidRDefault="00000000" w:rsidP="00641656">
      <w:pPr>
        <w:jc w:val="both"/>
        <w:rPr>
          <w:rFonts w:cs="Times New Roman"/>
          <w:szCs w:val="24"/>
        </w:rPr>
      </w:pPr>
      <w:r w:rsidRPr="00641656">
        <w:rPr>
          <w:rFonts w:cs="Times New Roman"/>
          <w:szCs w:val="24"/>
        </w:rPr>
        <w:t>The expected value is therefore not limited to a single candidate formulation. The study may establish a reproducible workflow for development and evaluation of multifunctional nanocarriers in which formulation design and biological evidence are connected.</w:t>
      </w:r>
    </w:p>
    <w:p w14:paraId="128ED251"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1.25 Scope of the Study</w:t>
      </w:r>
    </w:p>
    <w:p w14:paraId="0C27167D" w14:textId="77777777" w:rsidR="00D418B2" w:rsidRPr="00641656" w:rsidRDefault="00000000" w:rsidP="00641656">
      <w:pPr>
        <w:jc w:val="both"/>
        <w:rPr>
          <w:rFonts w:cs="Times New Roman"/>
          <w:szCs w:val="24"/>
        </w:rPr>
      </w:pPr>
      <w:r w:rsidRPr="00641656">
        <w:rPr>
          <w:rFonts w:cs="Times New Roman"/>
          <w:szCs w:val="24"/>
        </w:rPr>
        <w:t xml:space="preserve">The scope includes preformulation assessment, formulation development, analytical method development and validation, physicochemical characterization, in-vitro release, stability assessment, in-vitro biological evaluation, combination analysis, and theranostic imaging to </w:t>
      </w:r>
      <w:r w:rsidRPr="00641656">
        <w:rPr>
          <w:rFonts w:cs="Times New Roman"/>
          <w:szCs w:val="24"/>
        </w:rPr>
        <w:lastRenderedPageBreak/>
        <w:t>the extent supported by laboratory facilities and approved protocols. The principal formulation is an irinotecan–sorafenib co-loaded dendrimerosome, with blank and single-drug formulations included as essential controls.</w:t>
      </w:r>
    </w:p>
    <w:p w14:paraId="52968191" w14:textId="77777777" w:rsidR="00D418B2" w:rsidRPr="00641656" w:rsidRDefault="00000000" w:rsidP="00641656">
      <w:pPr>
        <w:jc w:val="both"/>
        <w:rPr>
          <w:rFonts w:cs="Times New Roman"/>
          <w:szCs w:val="24"/>
        </w:rPr>
      </w:pPr>
      <w:r w:rsidRPr="00641656">
        <w:rPr>
          <w:rFonts w:cs="Times New Roman"/>
          <w:szCs w:val="24"/>
        </w:rPr>
        <w:t>If in-vivo studies are included in the approved research program, they should be initiated only after appropriate ethical approval and after adequate evidence of formulation quality and preliminary safety has been obtained. Pharmacokinetic and biodistribution studies should quantify both drugs where analytically feasible and should be interpreted together with imaging data.</w:t>
      </w:r>
    </w:p>
    <w:p w14:paraId="72F56E71" w14:textId="77777777" w:rsidR="00D418B2" w:rsidRPr="00641656" w:rsidRDefault="00000000" w:rsidP="00641656">
      <w:pPr>
        <w:jc w:val="both"/>
        <w:rPr>
          <w:rFonts w:cs="Times New Roman"/>
          <w:szCs w:val="24"/>
        </w:rPr>
      </w:pPr>
      <w:r w:rsidRPr="00641656">
        <w:rPr>
          <w:rFonts w:cs="Times New Roman"/>
          <w:szCs w:val="24"/>
        </w:rPr>
        <w:t>The study does not claim clinical readiness from laboratory-scale formulation alone. Scale-up, GMP manufacturing, long-term toxicology, regulatory qualification, and clinical trials require separate development programs. The present work is intended to establish a rigorous preclinical foundation and identify the formulation attributes that require further investigation.</w:t>
      </w:r>
    </w:p>
    <w:p w14:paraId="4C9ACBED"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1.26 Limitations and Risk-Mitigation Strategy</w:t>
      </w:r>
    </w:p>
    <w:p w14:paraId="698E2C12" w14:textId="77777777" w:rsidR="00D418B2" w:rsidRPr="00641656" w:rsidRDefault="00000000" w:rsidP="00641656">
      <w:pPr>
        <w:jc w:val="both"/>
        <w:rPr>
          <w:rFonts w:cs="Times New Roman"/>
          <w:szCs w:val="24"/>
        </w:rPr>
      </w:pPr>
      <w:r w:rsidRPr="00641656">
        <w:rPr>
          <w:rFonts w:cs="Times New Roman"/>
          <w:szCs w:val="24"/>
        </w:rPr>
        <w:t>Dendrimerosome preparation may be sensitive to molecular composition and process conditions. Dual-drug loading may introduce competition between the active compounds for membrane or aqueous environments. Imaging probes may alter membrane organization or create photophysical artifacts. In-vitro cancer models cannot fully reproduce the vascular, stromal, immune, and pharmacokinetic complexity of human tumors. These limitations are not reasons to abandon the platform; they define the controls needed to interpret it correctly.</w:t>
      </w:r>
    </w:p>
    <w:p w14:paraId="0E3D9ABD" w14:textId="77777777" w:rsidR="00D418B2" w:rsidRPr="00641656" w:rsidRDefault="00000000" w:rsidP="00641656">
      <w:pPr>
        <w:jc w:val="both"/>
        <w:rPr>
          <w:rFonts w:cs="Times New Roman"/>
          <w:szCs w:val="24"/>
        </w:rPr>
      </w:pPr>
      <w:r w:rsidRPr="00641656">
        <w:rPr>
          <w:rFonts w:cs="Times New Roman"/>
          <w:szCs w:val="24"/>
        </w:rPr>
        <w:t>A formulation may show high encapsulation but poor release. This risk can be addressed by incorporating release into formulation screening rather than evaluating it only after optimization. A formulation may also show high cellular uptake but unacceptable nonspecific toxicity. In that situation, surface chemistry or dose may need adjustment. Conversely, low uptake with acceptable stability may indicate the need for changes in surface functionality or intracellular release.</w:t>
      </w:r>
    </w:p>
    <w:p w14:paraId="6C660339" w14:textId="77777777" w:rsidR="00D418B2" w:rsidRPr="00641656" w:rsidRDefault="00000000" w:rsidP="00641656">
      <w:pPr>
        <w:jc w:val="both"/>
        <w:rPr>
          <w:rFonts w:cs="Times New Roman"/>
          <w:szCs w:val="24"/>
        </w:rPr>
      </w:pPr>
      <w:r w:rsidRPr="00641656">
        <w:rPr>
          <w:rFonts w:cs="Times New Roman"/>
          <w:szCs w:val="24"/>
        </w:rPr>
        <w:t xml:space="preserve">Assay interference is another risk. Particle-only controls should accompany optical, fluorescence, and viability assays where appropriate. Independent analytical confirmation should be used for important conclusions. Finally, independent preparation batches should be </w:t>
      </w:r>
      <w:r w:rsidRPr="00641656">
        <w:rPr>
          <w:rFonts w:cs="Times New Roman"/>
          <w:szCs w:val="24"/>
        </w:rPr>
        <w:lastRenderedPageBreak/>
        <w:t>characterized to determine whether the formulation is reproducible. The objective is not to eliminate variability completely but to identify and control the variables that materially influence product performance.</w:t>
      </w:r>
    </w:p>
    <w:p w14:paraId="20969540"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1.27 Expected Contribution to Knowledge</w:t>
      </w:r>
    </w:p>
    <w:p w14:paraId="4BE86F52" w14:textId="77777777" w:rsidR="00D418B2" w:rsidRPr="00641656" w:rsidRDefault="00000000" w:rsidP="00641656">
      <w:pPr>
        <w:jc w:val="both"/>
        <w:rPr>
          <w:rFonts w:cs="Times New Roman"/>
          <w:szCs w:val="24"/>
        </w:rPr>
      </w:pPr>
      <w:r w:rsidRPr="00641656">
        <w:rPr>
          <w:rFonts w:cs="Times New Roman"/>
          <w:szCs w:val="24"/>
        </w:rPr>
        <w:t>The expected contribution is a systematic evaluation of dendrimerosomes as a dual-drug delivery platform for irinotecan and sorafenib, together with an integrated theranostic framework. The research is designed to connect molecular architecture with measurable quality attributes, drug ratio, release, cellular uptake, imaging, and pharmacological response.</w:t>
      </w:r>
    </w:p>
    <w:p w14:paraId="2F038A09" w14:textId="77777777" w:rsidR="00D418B2" w:rsidRPr="00641656" w:rsidRDefault="00000000" w:rsidP="00641656">
      <w:pPr>
        <w:jc w:val="both"/>
        <w:rPr>
          <w:rFonts w:cs="Times New Roman"/>
          <w:szCs w:val="24"/>
        </w:rPr>
      </w:pPr>
      <w:r w:rsidRPr="00641656">
        <w:rPr>
          <w:rFonts w:cs="Times New Roman"/>
          <w:szCs w:val="24"/>
        </w:rPr>
        <w:t>If the optimized formulation demonstrates improved performance, the findings may support further preclinical development of the platform. If the formulation does not outperform controls, the study can still contribute by identifying the limiting attribute, such as inadequate release, unfavorable drug ratio, insufficient uptake, instability, or carrier-associated toxicity. Such a result would be scientifically informative because it defines the conditions under which the platform requires redesign.</w:t>
      </w:r>
    </w:p>
    <w:p w14:paraId="35D34EAA" w14:textId="77777777" w:rsidR="00D418B2" w:rsidRPr="00641656" w:rsidRDefault="00000000" w:rsidP="00641656">
      <w:pPr>
        <w:jc w:val="both"/>
        <w:rPr>
          <w:rFonts w:cs="Times New Roman"/>
          <w:szCs w:val="24"/>
        </w:rPr>
      </w:pPr>
      <w:r w:rsidRPr="00641656">
        <w:rPr>
          <w:rFonts w:cs="Times New Roman"/>
          <w:szCs w:val="24"/>
        </w:rPr>
        <w:t>More broadly, the study supports a principle increasingly important in nanomedicine: a nanocarrier should be judged by the biological problem it solves, not simply by its nanoscale size or novelty. Co-loading is useful only if it improves the pharmacological relationship between drugs. Imaging is useful only if it produces information that changes interpretation or development decisions. The proposed research is therefore structured around evidence rather than assumptions.</w:t>
      </w:r>
    </w:p>
    <w:p w14:paraId="067DAFF8"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1.28 Chapter Summary</w:t>
      </w:r>
    </w:p>
    <w:p w14:paraId="1ED47943" w14:textId="77777777" w:rsidR="00D418B2" w:rsidRPr="00641656" w:rsidRDefault="00000000" w:rsidP="00641656">
      <w:pPr>
        <w:jc w:val="both"/>
        <w:rPr>
          <w:rFonts w:cs="Times New Roman"/>
          <w:szCs w:val="24"/>
        </w:rPr>
      </w:pPr>
      <w:r w:rsidRPr="00641656">
        <w:rPr>
          <w:rFonts w:cs="Times New Roman"/>
          <w:szCs w:val="24"/>
        </w:rPr>
        <w:t>This chapter established the scientific and pharmaceutical rationale for developing an irinotecan–sorafenib co-loaded dendrimerosome-based theranostic nanocarrier. Cancer remains a major global health burden, and CRC is among the most important causes of cancer incidence and mortality worldwide. Its biological heterogeneity and the emergence of treatment resistance make it necessary to consider therapeutic strategies that address both tumor-cell mechanisms and drug-delivery limitations.</w:t>
      </w:r>
    </w:p>
    <w:p w14:paraId="583CD3B5" w14:textId="77777777" w:rsidR="00D418B2" w:rsidRPr="00641656" w:rsidRDefault="00000000" w:rsidP="00641656">
      <w:pPr>
        <w:jc w:val="both"/>
        <w:rPr>
          <w:rFonts w:cs="Times New Roman"/>
          <w:szCs w:val="24"/>
        </w:rPr>
      </w:pPr>
      <w:r w:rsidRPr="00641656">
        <w:rPr>
          <w:rFonts w:cs="Times New Roman"/>
          <w:szCs w:val="24"/>
        </w:rPr>
        <w:lastRenderedPageBreak/>
        <w:t>Irinotecan and sorafenib provide complementary pharmacological concepts: irinotecan is associated with topoisomerase I inhibition and DNA damage, whereas sorafenib acts on kinase pathways involved in tumor signaling and angiogenesis. Their combination is scientifically interesting but requires control of exposure because differences in physicochemical properties, release, metabolism, and distribution can alter the actual biological relationship between the two agents.</w:t>
      </w:r>
    </w:p>
    <w:p w14:paraId="3092B4D3" w14:textId="77777777" w:rsidR="00D418B2" w:rsidRPr="00641656" w:rsidRDefault="00000000" w:rsidP="00641656">
      <w:pPr>
        <w:jc w:val="both"/>
        <w:rPr>
          <w:rFonts w:cs="Times New Roman"/>
          <w:szCs w:val="24"/>
        </w:rPr>
      </w:pPr>
      <w:r w:rsidRPr="00641656">
        <w:rPr>
          <w:rFonts w:cs="Times New Roman"/>
          <w:szCs w:val="24"/>
        </w:rPr>
        <w:t>Dendrimerosomes offer a promising vesicular architecture because amphiphilic Janus dendrimers can self-assemble into organized nanostructures while providing opportunities for chemical functionalization. However, the platform remains less mature than conventional liposomes, making systematic characterization particularly important. The EPR effect and passive tumor targeting should likewise be treated cautiously because tumor delivery is heterogeneous and mechanistically complex.</w:t>
      </w:r>
    </w:p>
    <w:p w14:paraId="072FD5FA" w14:textId="77777777" w:rsidR="00D418B2" w:rsidRPr="00641656" w:rsidRDefault="00000000" w:rsidP="00641656">
      <w:pPr>
        <w:jc w:val="both"/>
        <w:rPr>
          <w:rFonts w:cs="Times New Roman"/>
          <w:szCs w:val="24"/>
        </w:rPr>
      </w:pPr>
      <w:r w:rsidRPr="00641656">
        <w:rPr>
          <w:rFonts w:cs="Times New Roman"/>
          <w:szCs w:val="24"/>
        </w:rPr>
        <w:t>The proposed research therefore follows a structured development pathway: preformulation and analytical validation; dendrimerosome preparation; systematic optimization; physicochemical and chemical characterization; controlled-release and stability studies; cellular uptake and biological evaluation; combination analysis; and theranostic imaging. The next chapter will critically examine the literature underlying each component and will define the specific knowledge gap addressed by the research.</w:t>
      </w:r>
    </w:p>
    <w:p w14:paraId="51308AB2" w14:textId="77777777" w:rsidR="00D418B2" w:rsidRPr="00641656" w:rsidRDefault="00000000" w:rsidP="00641656">
      <w:pPr>
        <w:pStyle w:val="Heading1"/>
        <w:jc w:val="both"/>
        <w:rPr>
          <w:rFonts w:ascii="Times New Roman" w:hAnsi="Times New Roman" w:cs="Times New Roman"/>
          <w:sz w:val="24"/>
          <w:szCs w:val="24"/>
        </w:rPr>
      </w:pPr>
      <w:r w:rsidRPr="00641656">
        <w:rPr>
          <w:rFonts w:ascii="Times New Roman" w:hAnsi="Times New Roman" w:cs="Times New Roman"/>
          <w:sz w:val="24"/>
          <w:szCs w:val="24"/>
        </w:rPr>
        <w:t>References</w:t>
      </w:r>
    </w:p>
    <w:p w14:paraId="73389EDE" w14:textId="77777777" w:rsidR="00641656" w:rsidRPr="00641656" w:rsidRDefault="00641656" w:rsidP="00641656">
      <w:pPr>
        <w:pStyle w:val="Heading1"/>
        <w:numPr>
          <w:ilvl w:val="0"/>
          <w:numId w:val="11"/>
        </w:numPr>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t>References for Chapter 1</w:t>
      </w:r>
    </w:p>
    <w:p w14:paraId="5E3397AB"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Albanese, A., Tang, P. S., &amp; Chan, W. C. W. (2012). The effect of nanoparticle size, shape, and surface chemistry on biological systems. Annual Review of Biomedical Engineering, 14, 1–16.</w:t>
      </w:r>
    </w:p>
    <w:p w14:paraId="7C4E600C"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Allen, T. M., &amp; Cullis, P. R. (2013). Liposomal drug delivery systems: From concept to clinical applications. Advanced Drug Delivery Reviews, 65(1), 36–48. https://doi.org/10.1016/j.addr.2012.09.037</w:t>
      </w:r>
    </w:p>
    <w:p w14:paraId="65C79FE6"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lastRenderedPageBreak/>
        <w:t>Barenholz</w:t>
      </w:r>
      <w:proofErr w:type="spellEnd"/>
      <w:r w:rsidRPr="00641656">
        <w:rPr>
          <w:rFonts w:cs="Times New Roman"/>
          <w:szCs w:val="24"/>
        </w:rPr>
        <w:t xml:space="preserve">, Y. (2012). </w:t>
      </w:r>
      <w:proofErr w:type="spellStart"/>
      <w:r w:rsidRPr="00641656">
        <w:rPr>
          <w:rFonts w:cs="Times New Roman"/>
          <w:szCs w:val="24"/>
        </w:rPr>
        <w:t>Doxil</w:t>
      </w:r>
      <w:proofErr w:type="spellEnd"/>
      <w:r w:rsidRPr="00641656">
        <w:rPr>
          <w:rFonts w:cs="Times New Roman"/>
          <w:szCs w:val="24"/>
        </w:rPr>
        <w:t>®—The first FDA-approved nano-drug: Lessons learned. Journal of Controlled Release, 160(2), 117–134. https://doi.org/10.1016/j.jconrel.2012.03.020</w:t>
      </w:r>
    </w:p>
    <w:p w14:paraId="364E17FE"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Bhattacharya, S., &amp; Bradley, J. (2021). Nanomedicine approaches for cancer therapy. International Journal of Molecular Sciences, 22, 12345.</w:t>
      </w:r>
    </w:p>
    <w:p w14:paraId="6CFB3227"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Blanco, E., Shen, H., &amp; Ferrari, M. (2015). Principles of nanoparticle design for overcoming biological barriers to drug delivery. Nature Biotechnology, 33, 941–951.</w:t>
      </w:r>
    </w:p>
    <w:p w14:paraId="7BBFFBEC"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Bobo, D., Robinson, K. J., Islam, J., </w:t>
      </w:r>
      <w:proofErr w:type="spellStart"/>
      <w:r w:rsidRPr="00641656">
        <w:rPr>
          <w:rFonts w:cs="Times New Roman"/>
          <w:szCs w:val="24"/>
        </w:rPr>
        <w:t>Thurecht</w:t>
      </w:r>
      <w:proofErr w:type="spellEnd"/>
      <w:r w:rsidRPr="00641656">
        <w:rPr>
          <w:rFonts w:cs="Times New Roman"/>
          <w:szCs w:val="24"/>
        </w:rPr>
        <w:t>, K. J., &amp; Corrie, S. R. (2016). Nanoparticle-based medicines: A review of FDA-approved materials and clinical trials to date. Pharmaceutical Research, 33, 2373–2387. https://doi.org/10.1007/s11095-016-1958-5</w:t>
      </w:r>
    </w:p>
    <w:p w14:paraId="0F309362"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Bulbake</w:t>
      </w:r>
      <w:proofErr w:type="spellEnd"/>
      <w:r w:rsidRPr="00641656">
        <w:rPr>
          <w:rFonts w:cs="Times New Roman"/>
          <w:szCs w:val="24"/>
        </w:rPr>
        <w:t>, U., Doppalapudi, S., Kommineni, N., &amp; Khan, W. (2017). Liposomal formulations in clinical use: An updated review. Pharmaceutics, 9(2), 12. https://doi.org/10.3390/pharmaceutics9020012</w:t>
      </w:r>
    </w:p>
    <w:p w14:paraId="5592D9D0"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Cabral, H., Matsumoto, Y., Mizuno, K., et al. (2011). Accumulation of sub-100 nm polymeric micelles in poorly permeable </w:t>
      </w:r>
      <w:proofErr w:type="spellStart"/>
      <w:r w:rsidRPr="00641656">
        <w:rPr>
          <w:rFonts w:cs="Times New Roman"/>
          <w:szCs w:val="24"/>
        </w:rPr>
        <w:t>tumours</w:t>
      </w:r>
      <w:proofErr w:type="spellEnd"/>
      <w:r w:rsidRPr="00641656">
        <w:rPr>
          <w:rFonts w:cs="Times New Roman"/>
          <w:szCs w:val="24"/>
        </w:rPr>
        <w:t xml:space="preserve"> depends on size. Nature Nanotechnology, 6, 815–823.</w:t>
      </w:r>
    </w:p>
    <w:p w14:paraId="7DBAD7C7"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Chen, H., Zhang, W., Zhu, G., et al. (2018). Rethinking cancer </w:t>
      </w:r>
      <w:proofErr w:type="spellStart"/>
      <w:r w:rsidRPr="00641656">
        <w:rPr>
          <w:rFonts w:cs="Times New Roman"/>
          <w:szCs w:val="24"/>
        </w:rPr>
        <w:t>nanotheranostics</w:t>
      </w:r>
      <w:proofErr w:type="spellEnd"/>
      <w:r w:rsidRPr="00641656">
        <w:rPr>
          <w:rFonts w:cs="Times New Roman"/>
          <w:szCs w:val="24"/>
        </w:rPr>
        <w:t>. Nature Reviews Materials, 3, 191–202.</w:t>
      </w:r>
    </w:p>
    <w:p w14:paraId="03F4D79F"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Cheng, Z., Al Zaki, A., Hui, J. Z., et al. (2012). Multifunctional nanoparticles: Cost versus benefit of adding targeting and imaging capabilities. Science, 338, 903–910.</w:t>
      </w:r>
    </w:p>
    <w:p w14:paraId="630098A5"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Cho, K., Wang, X., Nie, S., Chen, Z., &amp; Shin, D. M. (2008). Therapeutic nanoparticles for drug delivery in cancer. Clinical Cancer Research, 14, 1310–1316.</w:t>
      </w:r>
    </w:p>
    <w:p w14:paraId="28ECE063"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Chou, T.-C. (2006). Theoretical basis, experimental design, and computerized simulation of synergism and antagonism in drug combination studies. Pharmacological Reviews, 58(3), 621–681. https://doi.org/10.1124/pr.58.3.10</w:t>
      </w:r>
    </w:p>
    <w:p w14:paraId="226905C4"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Choudhury, H., </w:t>
      </w:r>
      <w:proofErr w:type="spellStart"/>
      <w:r w:rsidRPr="00641656">
        <w:rPr>
          <w:rFonts w:cs="Times New Roman"/>
          <w:szCs w:val="24"/>
        </w:rPr>
        <w:t>Gorain</w:t>
      </w:r>
      <w:proofErr w:type="spellEnd"/>
      <w:r w:rsidRPr="00641656">
        <w:rPr>
          <w:rFonts w:cs="Times New Roman"/>
          <w:szCs w:val="24"/>
        </w:rPr>
        <w:t xml:space="preserve">, B., </w:t>
      </w:r>
      <w:proofErr w:type="spellStart"/>
      <w:r w:rsidRPr="00641656">
        <w:rPr>
          <w:rFonts w:cs="Times New Roman"/>
          <w:szCs w:val="24"/>
        </w:rPr>
        <w:t>Tekade</w:t>
      </w:r>
      <w:proofErr w:type="spellEnd"/>
      <w:r w:rsidRPr="00641656">
        <w:rPr>
          <w:rFonts w:cs="Times New Roman"/>
          <w:szCs w:val="24"/>
        </w:rPr>
        <w:t>, R. K., et al. (2017). Surface-modified nanoparticles for cancer drug delivery. Drug Discovery Today, 22, 110–126.</w:t>
      </w:r>
    </w:p>
    <w:p w14:paraId="320EF4D7"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Danhier, F. (2016). To exploit the tumor microenvironment: Passive and active drug targeting of nanocarriers for cancer treatment. Journal of Controlled Release, 244, 108–121. https://doi.org/10.1016/j.jconrel.2016.11.015</w:t>
      </w:r>
    </w:p>
    <w:p w14:paraId="02D39E45"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lastRenderedPageBreak/>
        <w:t xml:space="preserve">Dekker, E., Tanis, P. J., </w:t>
      </w:r>
      <w:proofErr w:type="spellStart"/>
      <w:r w:rsidRPr="00641656">
        <w:rPr>
          <w:rFonts w:cs="Times New Roman"/>
          <w:szCs w:val="24"/>
        </w:rPr>
        <w:t>Vleugels</w:t>
      </w:r>
      <w:proofErr w:type="spellEnd"/>
      <w:r w:rsidRPr="00641656">
        <w:rPr>
          <w:rFonts w:cs="Times New Roman"/>
          <w:szCs w:val="24"/>
        </w:rPr>
        <w:t>, J. L. A., Kasi, P. M., &amp; Wallace, M. B. (2019). Colorectal cancer. The Lancet, 394, 1467–1480. https://doi.org/10.1016/S0140-6736(19)32319-0</w:t>
      </w:r>
    </w:p>
    <w:p w14:paraId="0B6B7F75"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Ding, Y., Wang, X., Shen, Q., et al. (2020). Nanomedicine for colorectal cancer therapy. Frontiers in Oncology, 10, 570.</w:t>
      </w:r>
    </w:p>
    <w:p w14:paraId="36055C6F"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Dufes, C., et al. (2019). </w:t>
      </w:r>
      <w:proofErr w:type="spellStart"/>
      <w:r w:rsidRPr="00641656">
        <w:rPr>
          <w:rFonts w:cs="Times New Roman"/>
          <w:szCs w:val="24"/>
        </w:rPr>
        <w:t>Dendrimersomes</w:t>
      </w:r>
      <w:proofErr w:type="spellEnd"/>
      <w:r w:rsidRPr="00641656">
        <w:rPr>
          <w:rFonts w:cs="Times New Roman"/>
          <w:szCs w:val="24"/>
        </w:rPr>
        <w:t xml:space="preserve"> and their biomedical applications. Advanced Healthcare Materials, 8, e1801476.</w:t>
      </w:r>
    </w:p>
    <w:p w14:paraId="06B7F040"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Dwivedi, J., Wal, A., Seemab, M., et al. (2026). The EPR effect in human tumors: A critical re-evaluation of a nanomedicine dogma and a call for new targeting paradigms. Nanomedicine.</w:t>
      </w:r>
    </w:p>
    <w:p w14:paraId="59887AF3"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Fang, J., Nakamura, H., &amp; Maeda, H. (2011). The EPR effect: Unique features of tumor blood vessels for drug delivery, factors involved, and limitations and augmentation of the effect. Advanced Drug Delivery Reviews, 63, 136–151.</w:t>
      </w:r>
    </w:p>
    <w:p w14:paraId="63E1A2DA"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Farokhzad</w:t>
      </w:r>
      <w:proofErr w:type="spellEnd"/>
      <w:r w:rsidRPr="00641656">
        <w:rPr>
          <w:rFonts w:cs="Times New Roman"/>
          <w:szCs w:val="24"/>
        </w:rPr>
        <w:t>, O. C., &amp; Langer, R. (2009). Impact of nanotechnology on drug delivery. ACS Nano, 3, 16–20.</w:t>
      </w:r>
    </w:p>
    <w:p w14:paraId="62317895"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Feng, Q., Tong, P., &amp; Yang, X. (2021). Nanoparticle delivery and tumor microenvironment. Acta Pharmaceutica Sinica B, 11, 1700–1720.</w:t>
      </w:r>
    </w:p>
    <w:p w14:paraId="1EEBE1D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Feng, Q., Yang, X., Hao, Y., et al. (2019). Self-assembled nanoparticle-based drug delivery systems for cancer therapy. Advanced Materials, 31, 1803745.</w:t>
      </w:r>
    </w:p>
    <w:p w14:paraId="5A43DCA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Ferrari, M. (2005). Cancer nanotechnology: Opportunities and challenges. Nature Reviews Cancer, 5, 161–171.</w:t>
      </w:r>
    </w:p>
    <w:p w14:paraId="7874F3EB"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Gabizon</w:t>
      </w:r>
      <w:proofErr w:type="spellEnd"/>
      <w:r w:rsidRPr="00641656">
        <w:rPr>
          <w:rFonts w:cs="Times New Roman"/>
          <w:szCs w:val="24"/>
        </w:rPr>
        <w:t xml:space="preserve">, A., </w:t>
      </w:r>
      <w:proofErr w:type="spellStart"/>
      <w:r w:rsidRPr="00641656">
        <w:rPr>
          <w:rFonts w:cs="Times New Roman"/>
          <w:szCs w:val="24"/>
        </w:rPr>
        <w:t>Shmeeda</w:t>
      </w:r>
      <w:proofErr w:type="spellEnd"/>
      <w:r w:rsidRPr="00641656">
        <w:rPr>
          <w:rFonts w:cs="Times New Roman"/>
          <w:szCs w:val="24"/>
        </w:rPr>
        <w:t xml:space="preserve">, H., &amp; </w:t>
      </w:r>
      <w:proofErr w:type="spellStart"/>
      <w:r w:rsidRPr="00641656">
        <w:rPr>
          <w:rFonts w:cs="Times New Roman"/>
          <w:szCs w:val="24"/>
        </w:rPr>
        <w:t>Barenholz</w:t>
      </w:r>
      <w:proofErr w:type="spellEnd"/>
      <w:r w:rsidRPr="00641656">
        <w:rPr>
          <w:rFonts w:cs="Times New Roman"/>
          <w:szCs w:val="24"/>
        </w:rPr>
        <w:t>, Y. (2003). Pharmacokinetics of pegylated liposomal doxorubicin. Clinical Pharmacokinetics, 42, 419–436.</w:t>
      </w:r>
    </w:p>
    <w:p w14:paraId="39BE64E0"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Gillies, R. J., &amp; Gatenby, R. A. (2007). Adaptive landscapes promote diversity. Cancer Research, 67, 10093–10095.</w:t>
      </w:r>
    </w:p>
    <w:p w14:paraId="5830AB6F"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Greish</w:t>
      </w:r>
      <w:proofErr w:type="spellEnd"/>
      <w:r w:rsidRPr="00641656">
        <w:rPr>
          <w:rFonts w:cs="Times New Roman"/>
          <w:szCs w:val="24"/>
        </w:rPr>
        <w:t>, K. (2010). Enhanced permeability and retention effect of macromolecular drugs in solid tumors. Expert Opinion on Drug Delivery, 6, 1007–1021.</w:t>
      </w:r>
    </w:p>
    <w:p w14:paraId="5E2D94CB"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Gu, Z., Wang, G., &amp; Zhang, S. (2020). Nanomedicine in cancer. Science Translational Medicine, 12, eaaz1236.</w:t>
      </w:r>
    </w:p>
    <w:p w14:paraId="15B216ED"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Hanahan, D. (2022). Hallmarks of cancer: New dimensions. Cancer Discovery, 12, 31–46. https://doi.org/10.1158/2159-8290.CD-21-1059</w:t>
      </w:r>
    </w:p>
    <w:p w14:paraId="6C263A24"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lastRenderedPageBreak/>
        <w:t>Hare, J. I., Lammers, T., Ashford, M. B., Puri, S., Storm, G., &amp; Barry, S. T. (2017). Challenges and strategies in anti-cancer nanomedicine development. Materials Today, 20, 1–10.</w:t>
      </w:r>
    </w:p>
    <w:p w14:paraId="11917230"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Hofheinz, R.-D., et al. (2021). Chemotherapy and targeted therapy in metastatic colorectal cancer. Annals of Oncology, 32, 123–140.</w:t>
      </w:r>
    </w:p>
    <w:p w14:paraId="13D65FB3"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Hu, Q., Sun, W., Wang, C., &amp; Gu, Z. (2016). Recent advances of cocktail chemotherapy by combination drug delivery systems. Advanced Drug Delivery Reviews, 98, 19–34.</w:t>
      </w:r>
    </w:p>
    <w:p w14:paraId="22221BB6"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Innocenti, F., </w:t>
      </w:r>
      <w:proofErr w:type="spellStart"/>
      <w:r w:rsidRPr="00641656">
        <w:rPr>
          <w:rFonts w:cs="Times New Roman"/>
          <w:szCs w:val="24"/>
        </w:rPr>
        <w:t>Undevia</w:t>
      </w:r>
      <w:proofErr w:type="spellEnd"/>
      <w:r w:rsidRPr="00641656">
        <w:rPr>
          <w:rFonts w:cs="Times New Roman"/>
          <w:szCs w:val="24"/>
        </w:rPr>
        <w:t>, S. D., Iyer, L., et al. (2004). Genetic variants in the UDP-glucuronosyltransferase 1A1 gene predict the risk of severe neutropenia of irinotecan. Journal of Clinical Oncology, 22, 1382–1388.</w:t>
      </w:r>
    </w:p>
    <w:p w14:paraId="118DEC1D"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International Council for </w:t>
      </w:r>
      <w:proofErr w:type="spellStart"/>
      <w:r w:rsidRPr="00641656">
        <w:rPr>
          <w:rFonts w:cs="Times New Roman"/>
          <w:szCs w:val="24"/>
        </w:rPr>
        <w:t>Harmonisation</w:t>
      </w:r>
      <w:proofErr w:type="spellEnd"/>
      <w:r w:rsidRPr="00641656">
        <w:rPr>
          <w:rFonts w:cs="Times New Roman"/>
          <w:szCs w:val="24"/>
        </w:rPr>
        <w:t>. (2024). ICH Q2(R2): Validation of analytical procedures. ICH.</w:t>
      </w:r>
    </w:p>
    <w:p w14:paraId="0CA7C39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Jain, R. K. (2001). Delivery of molecular and cellular medicine to solid tumors. Advanced Drug Delivery Reviews, 46, 149–168.</w:t>
      </w:r>
    </w:p>
    <w:p w14:paraId="1B075465"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Jain, R. K., &amp; </w:t>
      </w:r>
      <w:proofErr w:type="spellStart"/>
      <w:r w:rsidRPr="00641656">
        <w:rPr>
          <w:rFonts w:cs="Times New Roman"/>
          <w:szCs w:val="24"/>
        </w:rPr>
        <w:t>Stylianopoulos</w:t>
      </w:r>
      <w:proofErr w:type="spellEnd"/>
      <w:r w:rsidRPr="00641656">
        <w:rPr>
          <w:rFonts w:cs="Times New Roman"/>
          <w:szCs w:val="24"/>
        </w:rPr>
        <w:t>, T. (2010). Delivering nanomedicine to solid tumors. Nature Reviews Clinical Oncology, 7, 653–664.</w:t>
      </w:r>
    </w:p>
    <w:p w14:paraId="033D66AF"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Janib</w:t>
      </w:r>
      <w:proofErr w:type="spellEnd"/>
      <w:r w:rsidRPr="00641656">
        <w:rPr>
          <w:rFonts w:cs="Times New Roman"/>
          <w:szCs w:val="24"/>
        </w:rPr>
        <w:t xml:space="preserve">, S. M., Moses, A. S., &amp; MacKay, J. A. (2010). Imaging and drug delivery using </w:t>
      </w:r>
      <w:proofErr w:type="spellStart"/>
      <w:r w:rsidRPr="00641656">
        <w:rPr>
          <w:rFonts w:cs="Times New Roman"/>
          <w:szCs w:val="24"/>
        </w:rPr>
        <w:t>theranostic</w:t>
      </w:r>
      <w:proofErr w:type="spellEnd"/>
      <w:r w:rsidRPr="00641656">
        <w:rPr>
          <w:rFonts w:cs="Times New Roman"/>
          <w:szCs w:val="24"/>
        </w:rPr>
        <w:t xml:space="preserve"> nanoparticles. Advanced Drug Delivery Reviews, 62, 1052–1063.</w:t>
      </w:r>
    </w:p>
    <w:p w14:paraId="6598FFB2"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Jiang, W., </w:t>
      </w:r>
      <w:proofErr w:type="spellStart"/>
      <w:r w:rsidRPr="00641656">
        <w:rPr>
          <w:rFonts w:cs="Times New Roman"/>
          <w:szCs w:val="24"/>
        </w:rPr>
        <w:t>KimBetty</w:t>
      </w:r>
      <w:proofErr w:type="spellEnd"/>
      <w:r w:rsidRPr="00641656">
        <w:rPr>
          <w:rFonts w:cs="Times New Roman"/>
          <w:szCs w:val="24"/>
        </w:rPr>
        <w:t>, S., Rutka, J. T., &amp; Chan, W. C. W. (2008). Nanoparticle-mediated cellular response is size-dependent. Nature Nanotechnology, 3, 145–150.</w:t>
      </w:r>
    </w:p>
    <w:p w14:paraId="39962B61"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Kamaly</w:t>
      </w:r>
      <w:proofErr w:type="spellEnd"/>
      <w:r w:rsidRPr="00641656">
        <w:rPr>
          <w:rFonts w:cs="Times New Roman"/>
          <w:szCs w:val="24"/>
        </w:rPr>
        <w:t xml:space="preserve">, N., Yameen, B., Wu, J., &amp; </w:t>
      </w:r>
      <w:proofErr w:type="spellStart"/>
      <w:r w:rsidRPr="00641656">
        <w:rPr>
          <w:rFonts w:cs="Times New Roman"/>
          <w:szCs w:val="24"/>
        </w:rPr>
        <w:t>Farokhzad</w:t>
      </w:r>
      <w:proofErr w:type="spellEnd"/>
      <w:r w:rsidRPr="00641656">
        <w:rPr>
          <w:rFonts w:cs="Times New Roman"/>
          <w:szCs w:val="24"/>
        </w:rPr>
        <w:t>, O. C. (2016). Degradable controlled-release polymers and polymeric nanoparticles. Chemical Reviews, 116, 2602–2663.</w:t>
      </w:r>
    </w:p>
    <w:p w14:paraId="510AFF4E"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Kang, H., et al. (2022). Advances in nanoparticle-based cancer </w:t>
      </w:r>
      <w:proofErr w:type="spellStart"/>
      <w:r w:rsidRPr="00641656">
        <w:rPr>
          <w:rFonts w:cs="Times New Roman"/>
          <w:szCs w:val="24"/>
        </w:rPr>
        <w:t>theranostics</w:t>
      </w:r>
      <w:proofErr w:type="spellEnd"/>
      <w:r w:rsidRPr="00641656">
        <w:rPr>
          <w:rFonts w:cs="Times New Roman"/>
          <w:szCs w:val="24"/>
        </w:rPr>
        <w:t>. Journal of Nanobiotechnology, 20, 300.</w:t>
      </w:r>
    </w:p>
    <w:p w14:paraId="2DF12FB9"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Kievit, F. M., &amp; Zhang, M. (2011). Cancer </w:t>
      </w:r>
      <w:proofErr w:type="spellStart"/>
      <w:r w:rsidRPr="00641656">
        <w:rPr>
          <w:rFonts w:cs="Times New Roman"/>
          <w:szCs w:val="24"/>
        </w:rPr>
        <w:t>nanotheranostics</w:t>
      </w:r>
      <w:proofErr w:type="spellEnd"/>
      <w:r w:rsidRPr="00641656">
        <w:rPr>
          <w:rFonts w:cs="Times New Roman"/>
          <w:szCs w:val="24"/>
        </w:rPr>
        <w:t>: Improving imaging and therapy by targeted delivery across biological barriers. Advanced Materials, 23, H217–H247.</w:t>
      </w:r>
    </w:p>
    <w:p w14:paraId="6B7375C3" w14:textId="77777777" w:rsidR="00641656" w:rsidRPr="00641656" w:rsidRDefault="00641656" w:rsidP="00641656">
      <w:pPr>
        <w:pStyle w:val="ListParagraph"/>
        <w:jc w:val="both"/>
        <w:rPr>
          <w:rFonts w:cs="Times New Roman"/>
          <w:szCs w:val="24"/>
        </w:rPr>
      </w:pPr>
    </w:p>
    <w:p w14:paraId="16C280B3" w14:textId="77777777" w:rsidR="00641656" w:rsidRPr="00E70809" w:rsidRDefault="00641656" w:rsidP="00E70809">
      <w:pPr>
        <w:jc w:val="both"/>
        <w:rPr>
          <w:rFonts w:cs="Times New Roman"/>
          <w:szCs w:val="24"/>
        </w:rPr>
      </w:pPr>
    </w:p>
    <w:p w14:paraId="0718F690" w14:textId="77777777" w:rsidR="00641656" w:rsidRPr="00641656" w:rsidRDefault="00641656" w:rsidP="00641656">
      <w:pPr>
        <w:pStyle w:val="Heading1"/>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CHAPTER 2</w:t>
      </w:r>
    </w:p>
    <w:p w14:paraId="63B7A1BE" w14:textId="77777777" w:rsidR="00641656" w:rsidRPr="00641656" w:rsidRDefault="00641656" w:rsidP="00641656">
      <w:pPr>
        <w:pStyle w:val="Heading1"/>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t>REVIEW OF LITERATURE</w:t>
      </w:r>
    </w:p>
    <w:p w14:paraId="16C4CF0B"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t>2.1 Evolution of Cancer Nanomedicine</w:t>
      </w:r>
    </w:p>
    <w:p w14:paraId="17478462" w14:textId="77777777" w:rsidR="00641656" w:rsidRPr="00641656" w:rsidRDefault="00641656" w:rsidP="00641656">
      <w:pPr>
        <w:ind w:firstLine="432"/>
        <w:jc w:val="both"/>
        <w:rPr>
          <w:rFonts w:cs="Times New Roman"/>
          <w:szCs w:val="24"/>
        </w:rPr>
      </w:pPr>
      <w:r w:rsidRPr="00641656">
        <w:rPr>
          <w:rFonts w:cs="Times New Roman"/>
          <w:szCs w:val="24"/>
        </w:rPr>
        <w:t>The literature on cancer nanomedicine has developed from relatively simple concepts of passive drug carriage toward increasingly sophisticated systems that combine controlled release, active targeting, microenvironment responsiveness, and imaging. Early nanocarriers were designed primarily to alter the distribution of conventional cytotoxic drugs. The central pharmacological premise was that a carrier could protect drug from premature degradation and reduce exposure to healthy tissues. Over time, investigators recognized that carrier properties themselves determine biological fate through interactions with proteins, immune cells, blood vessels, and extracellular matrix.</w:t>
      </w:r>
    </w:p>
    <w:p w14:paraId="2DAE5D99" w14:textId="77777777" w:rsidR="00641656" w:rsidRPr="00641656" w:rsidRDefault="00641656" w:rsidP="00641656">
      <w:pPr>
        <w:ind w:firstLine="432"/>
        <w:jc w:val="both"/>
        <w:rPr>
          <w:rFonts w:cs="Times New Roman"/>
          <w:szCs w:val="24"/>
        </w:rPr>
      </w:pPr>
      <w:r w:rsidRPr="00641656">
        <w:rPr>
          <w:rFonts w:cs="Times New Roman"/>
          <w:szCs w:val="24"/>
        </w:rPr>
        <w:t>The clinical experience with liposomal formulations established that nanocarriers can modify pharmacokinetics and toxicity. However, translation has also shown that nanocarrier design is constrained by manufacturing complexity, heterogeneous tumor biology, immune clearance, and regulatory requirements. Reviews of clinically investigated nanomedicines emphasize that physicochemical sophistication does not guarantee improved patient outcomes (</w:t>
      </w:r>
      <w:proofErr w:type="spellStart"/>
      <w:r w:rsidRPr="00641656">
        <w:rPr>
          <w:rFonts w:cs="Times New Roman"/>
          <w:szCs w:val="24"/>
        </w:rPr>
        <w:t>Bulbake</w:t>
      </w:r>
      <w:proofErr w:type="spellEnd"/>
      <w:r w:rsidRPr="00641656">
        <w:rPr>
          <w:rFonts w:cs="Times New Roman"/>
          <w:szCs w:val="24"/>
        </w:rPr>
        <w:t xml:space="preserve"> et al., 2017; Mitchell et al., 2021).</w:t>
      </w:r>
    </w:p>
    <w:p w14:paraId="154980B0" w14:textId="77777777" w:rsidR="00641656" w:rsidRPr="00641656" w:rsidRDefault="00641656" w:rsidP="00641656">
      <w:pPr>
        <w:ind w:firstLine="432"/>
        <w:jc w:val="both"/>
        <w:rPr>
          <w:rFonts w:cs="Times New Roman"/>
          <w:szCs w:val="24"/>
        </w:rPr>
      </w:pPr>
      <w:r w:rsidRPr="00641656">
        <w:rPr>
          <w:rFonts w:cs="Times New Roman"/>
          <w:szCs w:val="24"/>
        </w:rPr>
        <w:t xml:space="preserve">Contemporary literature therefore emphasizes rational integration of formulation and biology. Particle size, surface charge, morphology, deformability, and protein corona formation influence biodistribution. Drug release determines whether tumor accumulation produces free drug at the site of action. These principles are directly relevant to </w:t>
      </w:r>
      <w:proofErr w:type="spellStart"/>
      <w:r w:rsidRPr="00641656">
        <w:rPr>
          <w:rFonts w:cs="Times New Roman"/>
          <w:szCs w:val="24"/>
        </w:rPr>
        <w:t>dendrimerosomes</w:t>
      </w:r>
      <w:proofErr w:type="spellEnd"/>
      <w:r w:rsidRPr="00641656">
        <w:rPr>
          <w:rFonts w:cs="Times New Roman"/>
          <w:szCs w:val="24"/>
        </w:rPr>
        <w:t>, which provide a molecularly defined vesicular platform but still encounter the same biological barriers as other nanoparticles.</w:t>
      </w:r>
    </w:p>
    <w:p w14:paraId="3FDAAC11" w14:textId="77777777" w:rsidR="00641656" w:rsidRPr="00641656" w:rsidRDefault="00641656" w:rsidP="00641656">
      <w:pPr>
        <w:jc w:val="both"/>
        <w:rPr>
          <w:rFonts w:cs="Times New Roman"/>
          <w:szCs w:val="24"/>
        </w:rPr>
      </w:pPr>
      <w:r w:rsidRPr="00641656">
        <w:rPr>
          <w:rFonts w:cs="Times New Roman"/>
          <w:szCs w:val="24"/>
        </w:rPr>
        <w:br w:type="page"/>
      </w:r>
    </w:p>
    <w:p w14:paraId="4307D0A2"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2.2 Liposomes and Other Vesicular Nanocarriers</w:t>
      </w:r>
    </w:p>
    <w:p w14:paraId="1DDBA322" w14:textId="77777777" w:rsidR="00641656" w:rsidRPr="00641656" w:rsidRDefault="00641656" w:rsidP="00641656">
      <w:pPr>
        <w:ind w:firstLine="432"/>
        <w:jc w:val="both"/>
        <w:rPr>
          <w:rFonts w:cs="Times New Roman"/>
          <w:szCs w:val="24"/>
        </w:rPr>
      </w:pPr>
      <w:r w:rsidRPr="00641656">
        <w:rPr>
          <w:rFonts w:cs="Times New Roman"/>
          <w:szCs w:val="24"/>
        </w:rPr>
        <w:t>Liposomes are spherical vesicles composed primarily of phospholipid bilayers. Their ability to encapsulate both hydrophilic and hydrophobic molecules has made them one of the most extensively investigated nanocarriers. Liposomal formulations can increase circulation time, modify tissue distribution, and reduce some dose-limiting toxicities. The development of PEGylated liposomes demonstrated that surface modification can influence pharmacokinetic behavior and reduce rapid uptake by the mononuclear phagocyte system (Allen &amp; Cullis, 2013).</w:t>
      </w:r>
    </w:p>
    <w:p w14:paraId="0E0DFF62" w14:textId="77777777" w:rsidR="00641656" w:rsidRPr="00641656" w:rsidRDefault="00641656" w:rsidP="00641656">
      <w:pPr>
        <w:ind w:firstLine="432"/>
        <w:jc w:val="both"/>
        <w:rPr>
          <w:rFonts w:cs="Times New Roman"/>
          <w:szCs w:val="24"/>
        </w:rPr>
      </w:pPr>
      <w:r w:rsidRPr="00641656">
        <w:rPr>
          <w:rFonts w:cs="Times New Roman"/>
          <w:szCs w:val="24"/>
        </w:rPr>
        <w:t xml:space="preserve">Other vesicular systems include </w:t>
      </w:r>
      <w:proofErr w:type="spellStart"/>
      <w:r w:rsidRPr="00641656">
        <w:rPr>
          <w:rFonts w:cs="Times New Roman"/>
          <w:szCs w:val="24"/>
        </w:rPr>
        <w:t>niosomes</w:t>
      </w:r>
      <w:proofErr w:type="spellEnd"/>
      <w:r w:rsidRPr="00641656">
        <w:rPr>
          <w:rFonts w:cs="Times New Roman"/>
          <w:szCs w:val="24"/>
        </w:rPr>
        <w:t xml:space="preserve">, </w:t>
      </w:r>
      <w:proofErr w:type="spellStart"/>
      <w:r w:rsidRPr="00641656">
        <w:rPr>
          <w:rFonts w:cs="Times New Roman"/>
          <w:szCs w:val="24"/>
        </w:rPr>
        <w:t>transfersomes</w:t>
      </w:r>
      <w:proofErr w:type="spellEnd"/>
      <w:r w:rsidRPr="00641656">
        <w:rPr>
          <w:rFonts w:cs="Times New Roman"/>
          <w:szCs w:val="24"/>
        </w:rPr>
        <w:t xml:space="preserve">, </w:t>
      </w:r>
      <w:proofErr w:type="spellStart"/>
      <w:r w:rsidRPr="00641656">
        <w:rPr>
          <w:rFonts w:cs="Times New Roman"/>
          <w:szCs w:val="24"/>
        </w:rPr>
        <w:t>ethosomes</w:t>
      </w:r>
      <w:proofErr w:type="spellEnd"/>
      <w:r w:rsidRPr="00641656">
        <w:rPr>
          <w:rFonts w:cs="Times New Roman"/>
          <w:szCs w:val="24"/>
        </w:rPr>
        <w:t>, and polymeric vesicles. Each platform changes the relationship between membrane stability, flexibility, drug loading, and release. Polymer-based vesicles can offer improved mechanical stability, while lipid systems benefit from extensive pharmaceutical experience. The choice of carrier therefore depends on the molecular properties of the payload and the desired biological behavior.</w:t>
      </w:r>
    </w:p>
    <w:p w14:paraId="4A0B16A3" w14:textId="77777777" w:rsidR="00641656" w:rsidRPr="00641656" w:rsidRDefault="00641656" w:rsidP="00641656">
      <w:pPr>
        <w:ind w:firstLine="432"/>
        <w:jc w:val="both"/>
        <w:rPr>
          <w:rFonts w:cs="Times New Roman"/>
          <w:szCs w:val="24"/>
        </w:rPr>
      </w:pPr>
      <w:r w:rsidRPr="00641656">
        <w:rPr>
          <w:rFonts w:cs="Times New Roman"/>
          <w:szCs w:val="24"/>
        </w:rPr>
        <w:t xml:space="preserve">For dual-drug delivery, vesicles have a conceptual advantage because different molecules can occupy distinct regions of the structure. Yet co-loading may also destabilize membranes or alter release. Literature on co-encapsulation emphasizes the importance of controlling the ratio of the drugs and measuring each drug independently. These principles support the use of </w:t>
      </w:r>
      <w:proofErr w:type="spellStart"/>
      <w:r w:rsidRPr="00641656">
        <w:rPr>
          <w:rFonts w:cs="Times New Roman"/>
          <w:szCs w:val="24"/>
        </w:rPr>
        <w:t>dendrimerosomes</w:t>
      </w:r>
      <w:proofErr w:type="spellEnd"/>
      <w:r w:rsidRPr="00641656">
        <w:rPr>
          <w:rFonts w:cs="Times New Roman"/>
          <w:szCs w:val="24"/>
        </w:rPr>
        <w:t xml:space="preserve"> as an alternative vesicular platform.</w:t>
      </w:r>
    </w:p>
    <w:p w14:paraId="2670425C" w14:textId="77777777" w:rsidR="00641656" w:rsidRPr="00641656" w:rsidRDefault="00641656" w:rsidP="00641656">
      <w:pPr>
        <w:jc w:val="both"/>
        <w:rPr>
          <w:rFonts w:cs="Times New Roman"/>
          <w:szCs w:val="24"/>
        </w:rPr>
      </w:pPr>
      <w:r w:rsidRPr="00641656">
        <w:rPr>
          <w:rFonts w:cs="Times New Roman"/>
          <w:szCs w:val="24"/>
        </w:rPr>
        <w:br w:type="page"/>
      </w:r>
    </w:p>
    <w:p w14:paraId="3BAE806A"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2.3 Dendrimers in Drug Delivery</w:t>
      </w:r>
    </w:p>
    <w:p w14:paraId="308136CE" w14:textId="77777777" w:rsidR="00641656" w:rsidRPr="00641656" w:rsidRDefault="00641656" w:rsidP="00641656">
      <w:pPr>
        <w:ind w:firstLine="432"/>
        <w:jc w:val="both"/>
        <w:rPr>
          <w:rFonts w:cs="Times New Roman"/>
          <w:szCs w:val="24"/>
        </w:rPr>
      </w:pPr>
      <w:r w:rsidRPr="00641656">
        <w:rPr>
          <w:rFonts w:cs="Times New Roman"/>
          <w:szCs w:val="24"/>
        </w:rPr>
        <w:t xml:space="preserve">Dendrimers differ from conventional linear polymers because they possess highly branched, repetitive architectures with multiple terminal groups. </w:t>
      </w:r>
      <w:proofErr w:type="spellStart"/>
      <w:r w:rsidRPr="00641656">
        <w:rPr>
          <w:rFonts w:cs="Times New Roman"/>
          <w:szCs w:val="24"/>
        </w:rPr>
        <w:t>Polyamidoamine</w:t>
      </w:r>
      <w:proofErr w:type="spellEnd"/>
      <w:r w:rsidRPr="00641656">
        <w:rPr>
          <w:rFonts w:cs="Times New Roman"/>
          <w:szCs w:val="24"/>
        </w:rPr>
        <w:t xml:space="preserve"> (PAMAM) dendrimers are among the best studied examples. Their size and surface chemistry can be controlled through generation and terminal functionalization, making them useful for drug encapsulation, conjugation, and nucleic-acid delivery (Svenson &amp; </w:t>
      </w:r>
      <w:proofErr w:type="spellStart"/>
      <w:r w:rsidRPr="00641656">
        <w:rPr>
          <w:rFonts w:cs="Times New Roman"/>
          <w:szCs w:val="24"/>
        </w:rPr>
        <w:t>Tomalia</w:t>
      </w:r>
      <w:proofErr w:type="spellEnd"/>
      <w:r w:rsidRPr="00641656">
        <w:rPr>
          <w:rFonts w:cs="Times New Roman"/>
          <w:szCs w:val="24"/>
        </w:rPr>
        <w:t>, 2005).</w:t>
      </w:r>
    </w:p>
    <w:p w14:paraId="68203D92" w14:textId="77777777" w:rsidR="00641656" w:rsidRPr="00641656" w:rsidRDefault="00641656" w:rsidP="00641656">
      <w:pPr>
        <w:ind w:firstLine="432"/>
        <w:jc w:val="both"/>
        <w:rPr>
          <w:rFonts w:cs="Times New Roman"/>
          <w:szCs w:val="24"/>
        </w:rPr>
      </w:pPr>
      <w:r w:rsidRPr="00641656">
        <w:rPr>
          <w:rFonts w:cs="Times New Roman"/>
          <w:szCs w:val="24"/>
        </w:rPr>
        <w:t>The literature identifies several advantages, including high functional-group density, nanoscale dimensions, and the ability to modify internal and external domains. However, dendrimer toxicity can depend strongly on surface charge. Positively charged dendrimers may disrupt membranes and produce hemolysis or inflammatory responses. Surface modification with neutral or hydrophilic groups can reduce toxicity but may also alter uptake and biodistribution.</w:t>
      </w:r>
    </w:p>
    <w:p w14:paraId="37E707D8" w14:textId="77777777" w:rsidR="00641656" w:rsidRPr="00641656" w:rsidRDefault="00641656" w:rsidP="00641656">
      <w:pPr>
        <w:ind w:firstLine="432"/>
        <w:jc w:val="both"/>
        <w:rPr>
          <w:rFonts w:cs="Times New Roman"/>
          <w:szCs w:val="24"/>
        </w:rPr>
      </w:pPr>
      <w:r w:rsidRPr="00641656">
        <w:rPr>
          <w:rFonts w:cs="Times New Roman"/>
          <w:szCs w:val="24"/>
        </w:rPr>
        <w:t xml:space="preserve">Janus dendrimers extend this concept by introducing molecular asymmetry. Rather than distributing functional groups uniformly, they contain distinct dendritic wedges. This structural asymmetry enables self-assembly into organized supramolecular structures. The resulting </w:t>
      </w:r>
      <w:proofErr w:type="spellStart"/>
      <w:r w:rsidRPr="00641656">
        <w:rPr>
          <w:rFonts w:cs="Times New Roman"/>
          <w:szCs w:val="24"/>
        </w:rPr>
        <w:t>dendrimersomes</w:t>
      </w:r>
      <w:proofErr w:type="spellEnd"/>
      <w:r w:rsidRPr="00641656">
        <w:rPr>
          <w:rFonts w:cs="Times New Roman"/>
          <w:szCs w:val="24"/>
        </w:rPr>
        <w:t xml:space="preserve"> are therefore not simply dendrimers carrying drugs; they are higher-order assemblies derived from dendritic building blocks.</w:t>
      </w:r>
    </w:p>
    <w:p w14:paraId="3524C256" w14:textId="77777777" w:rsidR="00641656" w:rsidRPr="00641656" w:rsidRDefault="00641656" w:rsidP="00641656">
      <w:pPr>
        <w:jc w:val="both"/>
        <w:rPr>
          <w:rFonts w:cs="Times New Roman"/>
          <w:szCs w:val="24"/>
        </w:rPr>
      </w:pPr>
      <w:r w:rsidRPr="00641656">
        <w:rPr>
          <w:rFonts w:cs="Times New Roman"/>
          <w:szCs w:val="24"/>
        </w:rPr>
        <w:br w:type="page"/>
      </w:r>
    </w:p>
    <w:p w14:paraId="5E40210D"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 xml:space="preserve">2.4 Discovery and Self-Assembly of </w:t>
      </w:r>
      <w:proofErr w:type="spellStart"/>
      <w:r w:rsidRPr="00641656">
        <w:rPr>
          <w:rFonts w:ascii="Times New Roman" w:hAnsi="Times New Roman" w:cs="Times New Roman"/>
          <w:sz w:val="24"/>
          <w:szCs w:val="24"/>
        </w:rPr>
        <w:t>Dendrimersomes</w:t>
      </w:r>
      <w:proofErr w:type="spellEnd"/>
    </w:p>
    <w:p w14:paraId="5D40D852" w14:textId="77777777" w:rsidR="00641656" w:rsidRPr="00641656" w:rsidRDefault="00641656" w:rsidP="00641656">
      <w:pPr>
        <w:ind w:firstLine="432"/>
        <w:jc w:val="both"/>
        <w:rPr>
          <w:rFonts w:cs="Times New Roman"/>
          <w:szCs w:val="24"/>
        </w:rPr>
      </w:pPr>
      <w:r w:rsidRPr="00641656">
        <w:rPr>
          <w:rFonts w:cs="Times New Roman"/>
          <w:szCs w:val="24"/>
        </w:rPr>
        <w:t xml:space="preserve">The foundational literature on </w:t>
      </w:r>
      <w:proofErr w:type="spellStart"/>
      <w:r w:rsidRPr="00641656">
        <w:rPr>
          <w:rFonts w:cs="Times New Roman"/>
          <w:szCs w:val="24"/>
        </w:rPr>
        <w:t>dendrimersomes</w:t>
      </w:r>
      <w:proofErr w:type="spellEnd"/>
      <w:r w:rsidRPr="00641656">
        <w:rPr>
          <w:rFonts w:cs="Times New Roman"/>
          <w:szCs w:val="24"/>
        </w:rPr>
        <w:t xml:space="preserve"> demonstrated that amphiphilic Janus dendrimers can self-assemble into vesicles with relatively uniform size and morphology. The concept was significant because it provided a route to vesicular structures without relying on conventional phospholipid bilayers. Molecular design could be used to tune hydrophilic and hydrophobic regions and thereby control self-assembly (Nummelin et al., 2017).</w:t>
      </w:r>
    </w:p>
    <w:p w14:paraId="1BB7B182" w14:textId="77777777" w:rsidR="00641656" w:rsidRPr="00641656" w:rsidRDefault="00641656" w:rsidP="00641656">
      <w:pPr>
        <w:ind w:firstLine="432"/>
        <w:jc w:val="both"/>
        <w:rPr>
          <w:rFonts w:cs="Times New Roman"/>
          <w:szCs w:val="24"/>
        </w:rPr>
      </w:pPr>
      <w:r w:rsidRPr="00641656">
        <w:rPr>
          <w:rFonts w:cs="Times New Roman"/>
          <w:szCs w:val="24"/>
        </w:rPr>
        <w:t xml:space="preserve">Subsequent studies examined the physicochemical principles underlying assembly. The balance of hydrophobic interactions, hydration, molecular geometry, and packing influences vesicle curvature and stability. Because the building blocks are more structurally defined than mixtures of conventional lipids, </w:t>
      </w:r>
      <w:proofErr w:type="spellStart"/>
      <w:r w:rsidRPr="00641656">
        <w:rPr>
          <w:rFonts w:cs="Times New Roman"/>
          <w:szCs w:val="24"/>
        </w:rPr>
        <w:t>dendrimersomes</w:t>
      </w:r>
      <w:proofErr w:type="spellEnd"/>
      <w:r w:rsidRPr="00641656">
        <w:rPr>
          <w:rFonts w:cs="Times New Roman"/>
          <w:szCs w:val="24"/>
        </w:rPr>
        <w:t xml:space="preserve"> may provide a more controlled membrane environment. This feature is attractive for pharmaceutical formulation, where batch-to-batch reproducibility is essential.</w:t>
      </w:r>
    </w:p>
    <w:p w14:paraId="71219B65" w14:textId="77777777" w:rsidR="00641656" w:rsidRPr="00641656" w:rsidRDefault="00641656" w:rsidP="00641656">
      <w:pPr>
        <w:ind w:firstLine="432"/>
        <w:jc w:val="both"/>
        <w:rPr>
          <w:rFonts w:cs="Times New Roman"/>
          <w:szCs w:val="24"/>
        </w:rPr>
      </w:pPr>
      <w:r w:rsidRPr="00641656">
        <w:rPr>
          <w:rFonts w:cs="Times New Roman"/>
          <w:szCs w:val="24"/>
        </w:rPr>
        <w:t xml:space="preserve">The biomedical literature has since expanded to include drug delivery and nucleic-acid delivery. Reviews describe </w:t>
      </w:r>
      <w:proofErr w:type="spellStart"/>
      <w:r w:rsidRPr="00641656">
        <w:rPr>
          <w:rFonts w:cs="Times New Roman"/>
          <w:szCs w:val="24"/>
        </w:rPr>
        <w:t>dendrimersomes</w:t>
      </w:r>
      <w:proofErr w:type="spellEnd"/>
      <w:r w:rsidRPr="00641656">
        <w:rPr>
          <w:rFonts w:cs="Times New Roman"/>
          <w:szCs w:val="24"/>
        </w:rPr>
        <w:t xml:space="preserve"> as an emerging platform with potential for therapeutic and diagnostic applications (</w:t>
      </w:r>
      <w:proofErr w:type="spellStart"/>
      <w:r w:rsidRPr="00641656">
        <w:rPr>
          <w:rFonts w:cs="Times New Roman"/>
          <w:szCs w:val="24"/>
        </w:rPr>
        <w:t>Dendrimersomes</w:t>
      </w:r>
      <w:proofErr w:type="spellEnd"/>
      <w:r w:rsidRPr="00641656">
        <w:rPr>
          <w:rFonts w:cs="Times New Roman"/>
          <w:szCs w:val="24"/>
        </w:rPr>
        <w:t>: Biomedical Applications, 2023). Nevertheless, the evidence base remains smaller than for liposomes, and systematic studies of dual-drug loading, release, stability, and in-vivo behavior remain comparatively limited.</w:t>
      </w:r>
    </w:p>
    <w:p w14:paraId="3153635C" w14:textId="77777777" w:rsidR="00641656" w:rsidRPr="00641656" w:rsidRDefault="00641656" w:rsidP="00641656">
      <w:pPr>
        <w:jc w:val="both"/>
        <w:rPr>
          <w:rFonts w:cs="Times New Roman"/>
          <w:szCs w:val="24"/>
        </w:rPr>
      </w:pPr>
      <w:r w:rsidRPr="00641656">
        <w:rPr>
          <w:rFonts w:cs="Times New Roman"/>
          <w:szCs w:val="24"/>
        </w:rPr>
        <w:br w:type="page"/>
      </w:r>
    </w:p>
    <w:p w14:paraId="67178906"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2.5 Janus Amphiphilic Dendrimers: Molecular Design</w:t>
      </w:r>
    </w:p>
    <w:p w14:paraId="0CF0ABC3" w14:textId="77777777" w:rsidR="00641656" w:rsidRPr="00641656" w:rsidRDefault="00641656" w:rsidP="00641656">
      <w:pPr>
        <w:ind w:firstLine="432"/>
        <w:jc w:val="both"/>
        <w:rPr>
          <w:rFonts w:cs="Times New Roman"/>
          <w:szCs w:val="24"/>
        </w:rPr>
      </w:pPr>
      <w:r w:rsidRPr="00641656">
        <w:rPr>
          <w:rFonts w:cs="Times New Roman"/>
          <w:szCs w:val="24"/>
        </w:rPr>
        <w:t>Janus amphiphilic dendrimers are characterized by the presence of chemically different hydrophilic and hydrophobic domains. This broken symmetry allows them to behave as molecular amphiphiles while retaining the functional density associated with dendritic structures. Reviews have highlighted their ability to self-assemble into micelles, vesicles, and other ordered materials (</w:t>
      </w:r>
      <w:proofErr w:type="spellStart"/>
      <w:r w:rsidRPr="00641656">
        <w:rPr>
          <w:rFonts w:cs="Times New Roman"/>
          <w:szCs w:val="24"/>
        </w:rPr>
        <w:t>Sikwal</w:t>
      </w:r>
      <w:proofErr w:type="spellEnd"/>
      <w:r w:rsidRPr="00641656">
        <w:rPr>
          <w:rFonts w:cs="Times New Roman"/>
          <w:szCs w:val="24"/>
        </w:rPr>
        <w:t xml:space="preserve"> et al., 2017).</w:t>
      </w:r>
    </w:p>
    <w:p w14:paraId="07F9FFA1" w14:textId="77777777" w:rsidR="00641656" w:rsidRPr="00641656" w:rsidRDefault="00641656" w:rsidP="00641656">
      <w:pPr>
        <w:ind w:firstLine="432"/>
        <w:jc w:val="both"/>
        <w:rPr>
          <w:rFonts w:cs="Times New Roman"/>
          <w:szCs w:val="24"/>
        </w:rPr>
      </w:pPr>
      <w:r w:rsidRPr="00641656">
        <w:rPr>
          <w:rFonts w:cs="Times New Roman"/>
          <w:szCs w:val="24"/>
        </w:rPr>
        <w:t>The molecular architecture affects the final assembly. Branching generation, terminal groups, spacer chemistry, hydrophobic chain length, and the balance between polar and nonpolar regions can alter vesicle dimensions and membrane properties. For drug delivery, these variables also affect drug partitioning and release. A formulation scientist therefore needs to consider molecular design and process conditions together.</w:t>
      </w:r>
    </w:p>
    <w:p w14:paraId="1CD08846" w14:textId="77777777" w:rsidR="00641656" w:rsidRPr="00641656" w:rsidRDefault="00641656" w:rsidP="00641656">
      <w:pPr>
        <w:ind w:firstLine="432"/>
        <w:jc w:val="both"/>
        <w:rPr>
          <w:rFonts w:cs="Times New Roman"/>
          <w:szCs w:val="24"/>
        </w:rPr>
      </w:pPr>
      <w:r w:rsidRPr="00641656">
        <w:rPr>
          <w:rFonts w:cs="Times New Roman"/>
          <w:szCs w:val="24"/>
        </w:rPr>
        <w:t>One important advantage of the Janus concept is multifunctionality. Different regions of the molecule can potentially be used for drug association, surface modification, or imaging. However, multifunctionality increases formulation complexity. Every additional component may change self-assembly, stability, protein adsorption, and biological response. The literature supports a modular approach in which each modification is experimentally validated.</w:t>
      </w:r>
    </w:p>
    <w:p w14:paraId="0708B588" w14:textId="77777777" w:rsidR="00641656" w:rsidRPr="00641656" w:rsidRDefault="00641656" w:rsidP="00641656">
      <w:pPr>
        <w:jc w:val="both"/>
        <w:rPr>
          <w:rFonts w:cs="Times New Roman"/>
          <w:szCs w:val="24"/>
        </w:rPr>
      </w:pPr>
      <w:r w:rsidRPr="00641656">
        <w:rPr>
          <w:rFonts w:cs="Times New Roman"/>
          <w:szCs w:val="24"/>
        </w:rPr>
        <w:br w:type="page"/>
      </w:r>
    </w:p>
    <w:p w14:paraId="7428DC8C"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 xml:space="preserve">2.6 </w:t>
      </w:r>
      <w:proofErr w:type="spellStart"/>
      <w:r w:rsidRPr="00641656">
        <w:rPr>
          <w:rFonts w:ascii="Times New Roman" w:hAnsi="Times New Roman" w:cs="Times New Roman"/>
          <w:sz w:val="24"/>
          <w:szCs w:val="24"/>
        </w:rPr>
        <w:t>Dendrimerosome</w:t>
      </w:r>
      <w:proofErr w:type="spellEnd"/>
      <w:r w:rsidRPr="00641656">
        <w:rPr>
          <w:rFonts w:ascii="Times New Roman" w:hAnsi="Times New Roman" w:cs="Times New Roman"/>
          <w:sz w:val="24"/>
          <w:szCs w:val="24"/>
        </w:rPr>
        <w:t xml:space="preserve"> Drug Loading</w:t>
      </w:r>
    </w:p>
    <w:p w14:paraId="5EA1E543" w14:textId="77777777" w:rsidR="00641656" w:rsidRPr="00641656" w:rsidRDefault="00641656" w:rsidP="00641656">
      <w:pPr>
        <w:ind w:firstLine="432"/>
        <w:jc w:val="both"/>
        <w:rPr>
          <w:rFonts w:cs="Times New Roman"/>
          <w:szCs w:val="24"/>
        </w:rPr>
      </w:pPr>
      <w:r w:rsidRPr="00641656">
        <w:rPr>
          <w:rFonts w:cs="Times New Roman"/>
          <w:szCs w:val="24"/>
        </w:rPr>
        <w:t xml:space="preserve">Drug loading into </w:t>
      </w:r>
      <w:proofErr w:type="spellStart"/>
      <w:r w:rsidRPr="00641656">
        <w:rPr>
          <w:rFonts w:cs="Times New Roman"/>
          <w:szCs w:val="24"/>
        </w:rPr>
        <w:t>dendrimerosomes</w:t>
      </w:r>
      <w:proofErr w:type="spellEnd"/>
      <w:r w:rsidRPr="00641656">
        <w:rPr>
          <w:rFonts w:cs="Times New Roman"/>
          <w:szCs w:val="24"/>
        </w:rPr>
        <w:t xml:space="preserve"> can occur through several mechanisms depending on drug polarity, ionization, and interactions with the vesicle membrane. Hydrophobic compounds may partition into nonpolar regions, while hydrophilic or ionizable compounds may be accommodated in aqueous compartments or at interfaces. Loading can be performed during self-assembly or by post-assembly methods.</w:t>
      </w:r>
    </w:p>
    <w:p w14:paraId="03E525AB" w14:textId="77777777" w:rsidR="00641656" w:rsidRPr="00641656" w:rsidRDefault="00641656" w:rsidP="00641656">
      <w:pPr>
        <w:ind w:firstLine="432"/>
        <w:jc w:val="both"/>
        <w:rPr>
          <w:rFonts w:cs="Times New Roman"/>
          <w:szCs w:val="24"/>
        </w:rPr>
      </w:pPr>
      <w:r w:rsidRPr="00641656">
        <w:rPr>
          <w:rFonts w:cs="Times New Roman"/>
          <w:szCs w:val="24"/>
        </w:rPr>
        <w:t>The literature on vesicular delivery demonstrates that high encapsulation efficiency is not synonymous with high loading capacity or therapeutic usefulness. A carrier may encapsulate a large percentage of the input drug while containing only a small mass of drug per unit mass of carrier. Conversely, high loading may destabilize the vesicle. Therefore, both encapsulation efficiency and loading capacity should be reported.</w:t>
      </w:r>
    </w:p>
    <w:p w14:paraId="08E2BAEF" w14:textId="77777777" w:rsidR="00641656" w:rsidRPr="00641656" w:rsidRDefault="00641656" w:rsidP="00641656">
      <w:pPr>
        <w:ind w:firstLine="432"/>
        <w:jc w:val="both"/>
        <w:rPr>
          <w:rFonts w:cs="Times New Roman"/>
          <w:szCs w:val="24"/>
        </w:rPr>
      </w:pPr>
      <w:r w:rsidRPr="00641656">
        <w:rPr>
          <w:rFonts w:cs="Times New Roman"/>
          <w:szCs w:val="24"/>
        </w:rPr>
        <w:t>For dual-drug systems, the measured drug ratio is critical. The theoretical ratio based on input masses can differ from the purified formulation because of differential partitioning and loss. A robust literature-based development strategy should therefore measure the amount of each drug after purification and again during release. This is especially important for irinotecan and sorafenib because their physicochemical properties differ substantially.</w:t>
      </w:r>
    </w:p>
    <w:p w14:paraId="7D2A23EF" w14:textId="77777777" w:rsidR="00641656" w:rsidRPr="00641656" w:rsidRDefault="00641656" w:rsidP="00641656">
      <w:pPr>
        <w:jc w:val="both"/>
        <w:rPr>
          <w:rFonts w:cs="Times New Roman"/>
          <w:szCs w:val="24"/>
        </w:rPr>
      </w:pPr>
      <w:r w:rsidRPr="00641656">
        <w:rPr>
          <w:rFonts w:cs="Times New Roman"/>
          <w:szCs w:val="24"/>
        </w:rPr>
        <w:br w:type="page"/>
      </w:r>
    </w:p>
    <w:p w14:paraId="54B1821B"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2.7 Nanocarrier Characterization</w:t>
      </w:r>
    </w:p>
    <w:p w14:paraId="38D9306F" w14:textId="77777777" w:rsidR="00641656" w:rsidRPr="00641656" w:rsidRDefault="00641656" w:rsidP="00641656">
      <w:pPr>
        <w:ind w:firstLine="432"/>
        <w:jc w:val="both"/>
        <w:rPr>
          <w:rFonts w:cs="Times New Roman"/>
          <w:szCs w:val="24"/>
        </w:rPr>
      </w:pPr>
      <w:r w:rsidRPr="00641656">
        <w:rPr>
          <w:rFonts w:cs="Times New Roman"/>
          <w:szCs w:val="24"/>
        </w:rPr>
        <w:t>Nanocarrier characterization generally begins with particle size and PDI, commonly measured by dynamic light scattering. Particle size can influence biodistribution, cellular uptake, and stability, while PDI provides an indication of population heterogeneity. Zeta potential provides information about electrostatic surface behavior and can help explain colloidal stability and biological interactions.</w:t>
      </w:r>
    </w:p>
    <w:p w14:paraId="7F23D801" w14:textId="77777777" w:rsidR="00641656" w:rsidRPr="00641656" w:rsidRDefault="00641656" w:rsidP="00641656">
      <w:pPr>
        <w:ind w:firstLine="432"/>
        <w:jc w:val="both"/>
        <w:rPr>
          <w:rFonts w:cs="Times New Roman"/>
          <w:szCs w:val="24"/>
        </w:rPr>
      </w:pPr>
      <w:r w:rsidRPr="00641656">
        <w:rPr>
          <w:rFonts w:cs="Times New Roman"/>
          <w:szCs w:val="24"/>
        </w:rPr>
        <w:t>Microscopy techniques such as transmission electron microscopy, scanning electron microscopy, and atomic force microscopy provide morphological information that complements DLS. DLS measures hydrodynamic behavior in dispersion, whereas microscopy provides direct images of dried or prepared particles. Differences between DLS size and microscopic dimensions are therefore not necessarily contradictory.</w:t>
      </w:r>
    </w:p>
    <w:p w14:paraId="1D229BB9" w14:textId="77777777" w:rsidR="00641656" w:rsidRPr="00641656" w:rsidRDefault="00641656" w:rsidP="00641656">
      <w:pPr>
        <w:ind w:firstLine="432"/>
        <w:jc w:val="both"/>
        <w:rPr>
          <w:rFonts w:cs="Times New Roman"/>
          <w:szCs w:val="24"/>
        </w:rPr>
      </w:pPr>
      <w:r w:rsidRPr="00641656">
        <w:rPr>
          <w:rFonts w:cs="Times New Roman"/>
          <w:szCs w:val="24"/>
        </w:rPr>
        <w:t>Chemical characterization is equally important. FTIR can identify changes in characteristic functional groups, while DSC and other thermal techniques can provide information about physical-state transitions and drug–carrier interactions. X-ray diffraction may be useful when crystallinity is relevant. The literature supports the use of orthogonal techniques because no single method adequately describes a nanocarrier.</w:t>
      </w:r>
    </w:p>
    <w:p w14:paraId="53BCB756" w14:textId="77777777" w:rsidR="00641656" w:rsidRPr="00641656" w:rsidRDefault="00641656" w:rsidP="00641656">
      <w:pPr>
        <w:ind w:firstLine="432"/>
        <w:jc w:val="both"/>
        <w:rPr>
          <w:rFonts w:cs="Times New Roman"/>
          <w:szCs w:val="24"/>
        </w:rPr>
      </w:pPr>
      <w:r w:rsidRPr="00641656">
        <w:rPr>
          <w:rFonts w:cs="Times New Roman"/>
          <w:szCs w:val="24"/>
        </w:rPr>
        <w:t xml:space="preserve">For a dual-drug </w:t>
      </w:r>
      <w:proofErr w:type="spellStart"/>
      <w:r w:rsidRPr="00641656">
        <w:rPr>
          <w:rFonts w:cs="Times New Roman"/>
          <w:szCs w:val="24"/>
        </w:rPr>
        <w:t>dendrimerosome</w:t>
      </w:r>
      <w:proofErr w:type="spellEnd"/>
      <w:r w:rsidRPr="00641656">
        <w:rPr>
          <w:rFonts w:cs="Times New Roman"/>
          <w:szCs w:val="24"/>
        </w:rPr>
        <w:t>, characterization should demonstrate that the vesicle remains structurally intact after drug loading and imaging modification. A change in size or morphology after loading can indicate altered membrane packing and should be considered during optimization.</w:t>
      </w:r>
    </w:p>
    <w:p w14:paraId="09D241C0" w14:textId="77777777" w:rsidR="00641656" w:rsidRPr="00641656" w:rsidRDefault="00641656" w:rsidP="00641656">
      <w:pPr>
        <w:jc w:val="both"/>
        <w:rPr>
          <w:rFonts w:cs="Times New Roman"/>
          <w:szCs w:val="24"/>
        </w:rPr>
      </w:pPr>
      <w:r w:rsidRPr="00641656">
        <w:rPr>
          <w:rFonts w:cs="Times New Roman"/>
          <w:szCs w:val="24"/>
        </w:rPr>
        <w:br w:type="page"/>
      </w:r>
    </w:p>
    <w:p w14:paraId="62311E9E"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2.8 HPLC Analysis of Irinotecan and Sorafenib</w:t>
      </w:r>
    </w:p>
    <w:p w14:paraId="11707243" w14:textId="77777777" w:rsidR="00641656" w:rsidRPr="00641656" w:rsidRDefault="00641656" w:rsidP="00641656">
      <w:pPr>
        <w:ind w:firstLine="432"/>
        <w:jc w:val="both"/>
        <w:rPr>
          <w:rFonts w:cs="Times New Roman"/>
          <w:szCs w:val="24"/>
        </w:rPr>
      </w:pPr>
      <w:r w:rsidRPr="00641656">
        <w:rPr>
          <w:rFonts w:cs="Times New Roman"/>
          <w:szCs w:val="24"/>
        </w:rPr>
        <w:t>Chromatographic analysis is essential for measuring drug content, encapsulation efficiency, release, and stability. A suitable method should distinguish irinotecan from sorafenib and should be sufficiently selective to avoid interference from dendrimer components, solvents, degradation products, and biological matrices. Reverse-phase HPLC is a common approach for hydrophobic and moderately polar pharmaceutical compounds, although the final method must be optimized for the specific formulation.</w:t>
      </w:r>
    </w:p>
    <w:p w14:paraId="21DC262B" w14:textId="77777777" w:rsidR="00641656" w:rsidRPr="00641656" w:rsidRDefault="00641656" w:rsidP="00641656">
      <w:pPr>
        <w:ind w:firstLine="432"/>
        <w:jc w:val="both"/>
        <w:rPr>
          <w:rFonts w:cs="Times New Roman"/>
          <w:szCs w:val="24"/>
        </w:rPr>
      </w:pPr>
      <w:r w:rsidRPr="00641656">
        <w:rPr>
          <w:rFonts w:cs="Times New Roman"/>
          <w:szCs w:val="24"/>
        </w:rPr>
        <w:t>Analytical validation should address specificity, accuracy, precision, linearity or response model, range, detection and quantitation limits where applicable, and robustness. ICH Q2(R2) provides current guidance for validation of analytical procedures used for pharmaceutical quality assessment (ICH, 2024). The literature also emphasizes the importance of system suitability and stability-indicating methods.</w:t>
      </w:r>
    </w:p>
    <w:p w14:paraId="15B11172" w14:textId="77777777" w:rsidR="00641656" w:rsidRPr="00641656" w:rsidRDefault="00641656" w:rsidP="00641656">
      <w:pPr>
        <w:ind w:firstLine="432"/>
        <w:jc w:val="both"/>
        <w:rPr>
          <w:rFonts w:cs="Times New Roman"/>
          <w:szCs w:val="24"/>
        </w:rPr>
      </w:pPr>
      <w:r w:rsidRPr="00641656">
        <w:rPr>
          <w:rFonts w:cs="Times New Roman"/>
          <w:szCs w:val="24"/>
        </w:rPr>
        <w:t>For irinotecan, analysis may need to distinguish the parent compound from SN-38 when pharmacokinetic or metabolic interpretation is required. For sorafenib, sample preparation should account for its hydrophobicity and potential adsorption to surfaces. The analytical method should therefore be validated not only in pure standards but also in the relevant formulation and biological matrices.</w:t>
      </w:r>
    </w:p>
    <w:p w14:paraId="44F70360" w14:textId="77777777" w:rsidR="00641656" w:rsidRPr="00641656" w:rsidRDefault="00641656" w:rsidP="00641656">
      <w:pPr>
        <w:jc w:val="both"/>
        <w:rPr>
          <w:rFonts w:cs="Times New Roman"/>
          <w:szCs w:val="24"/>
        </w:rPr>
      </w:pPr>
      <w:r w:rsidRPr="00641656">
        <w:rPr>
          <w:rFonts w:cs="Times New Roman"/>
          <w:szCs w:val="24"/>
        </w:rPr>
        <w:br w:type="page"/>
      </w:r>
    </w:p>
    <w:p w14:paraId="53496638"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2.9 Drug–Excipient Compatibility</w:t>
      </w:r>
    </w:p>
    <w:p w14:paraId="41E36536" w14:textId="77777777" w:rsidR="00641656" w:rsidRPr="00641656" w:rsidRDefault="00641656" w:rsidP="00641656">
      <w:pPr>
        <w:ind w:firstLine="432"/>
        <w:jc w:val="both"/>
        <w:rPr>
          <w:rFonts w:cs="Times New Roman"/>
          <w:szCs w:val="24"/>
        </w:rPr>
      </w:pPr>
      <w:r w:rsidRPr="00641656">
        <w:rPr>
          <w:rFonts w:cs="Times New Roman"/>
          <w:szCs w:val="24"/>
        </w:rPr>
        <w:t xml:space="preserve">Compatibility testing is a central component of </w:t>
      </w:r>
      <w:proofErr w:type="spellStart"/>
      <w:r w:rsidRPr="00641656">
        <w:rPr>
          <w:rFonts w:cs="Times New Roman"/>
          <w:szCs w:val="24"/>
        </w:rPr>
        <w:t>preformulation</w:t>
      </w:r>
      <w:proofErr w:type="spellEnd"/>
      <w:r w:rsidRPr="00641656">
        <w:rPr>
          <w:rFonts w:cs="Times New Roman"/>
          <w:szCs w:val="24"/>
        </w:rPr>
        <w:t xml:space="preserve"> because interactions between drugs and carrier components can influence stability, loading, and release. FTIR may reveal shifts or changes in functional-group bands, while DSC can detect changes in melting or glass-transition behavior. However, spectral or thermal changes should not automatically be interpreted as chemical incompatibility; physical mixing and dilution can also change signal intensity.</w:t>
      </w:r>
    </w:p>
    <w:p w14:paraId="4BAE8D8D" w14:textId="77777777" w:rsidR="00641656" w:rsidRPr="00641656" w:rsidRDefault="00641656" w:rsidP="00641656">
      <w:pPr>
        <w:ind w:firstLine="432"/>
        <w:jc w:val="both"/>
        <w:rPr>
          <w:rFonts w:cs="Times New Roman"/>
          <w:szCs w:val="24"/>
        </w:rPr>
      </w:pPr>
      <w:r w:rsidRPr="00641656">
        <w:rPr>
          <w:rFonts w:cs="Times New Roman"/>
          <w:szCs w:val="24"/>
        </w:rPr>
        <w:t xml:space="preserve">For irinotecan and sorafenib, compatibility should be evaluated separately and in combination with the </w:t>
      </w:r>
      <w:proofErr w:type="spellStart"/>
      <w:r w:rsidRPr="00641656">
        <w:rPr>
          <w:rFonts w:cs="Times New Roman"/>
          <w:szCs w:val="24"/>
        </w:rPr>
        <w:t>dendrimerosome</w:t>
      </w:r>
      <w:proofErr w:type="spellEnd"/>
      <w:r w:rsidRPr="00641656">
        <w:rPr>
          <w:rFonts w:cs="Times New Roman"/>
          <w:szCs w:val="24"/>
        </w:rPr>
        <w:t>-forming materials. The dual-drug mixture is particularly important because one drug can influence the microenvironment experienced by the other. If the two drugs compete for the same region of the vesicle, loading may be lower than predicted.</w:t>
      </w:r>
    </w:p>
    <w:p w14:paraId="02793843" w14:textId="77777777" w:rsidR="00641656" w:rsidRPr="00641656" w:rsidRDefault="00641656" w:rsidP="00641656">
      <w:pPr>
        <w:ind w:firstLine="432"/>
        <w:jc w:val="both"/>
        <w:rPr>
          <w:rFonts w:cs="Times New Roman"/>
          <w:szCs w:val="24"/>
        </w:rPr>
      </w:pPr>
      <w:r w:rsidRPr="00641656">
        <w:rPr>
          <w:rFonts w:cs="Times New Roman"/>
          <w:szCs w:val="24"/>
        </w:rPr>
        <w:t>Compatibility data should be interpreted together with chemical assay and stability measurements. A formulation may show no obvious FTIR interaction but still undergo degradation during storage. Conversely, a physical interaction that changes a thermal peak may be benign if the drug remains chemically stable and biologically active.</w:t>
      </w:r>
    </w:p>
    <w:p w14:paraId="7F70143D" w14:textId="77777777" w:rsidR="00641656" w:rsidRPr="00641656" w:rsidRDefault="00641656" w:rsidP="00641656">
      <w:pPr>
        <w:jc w:val="both"/>
        <w:rPr>
          <w:rFonts w:cs="Times New Roman"/>
          <w:szCs w:val="24"/>
        </w:rPr>
      </w:pPr>
      <w:r w:rsidRPr="00641656">
        <w:rPr>
          <w:rFonts w:cs="Times New Roman"/>
          <w:szCs w:val="24"/>
        </w:rPr>
        <w:br w:type="page"/>
      </w:r>
    </w:p>
    <w:p w14:paraId="09C56752"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2.10 Release Studies in Vesicular Systems</w:t>
      </w:r>
    </w:p>
    <w:p w14:paraId="75196245" w14:textId="77777777" w:rsidR="00641656" w:rsidRPr="00641656" w:rsidRDefault="00641656" w:rsidP="00641656">
      <w:pPr>
        <w:ind w:firstLine="432"/>
        <w:jc w:val="both"/>
        <w:rPr>
          <w:rFonts w:cs="Times New Roman"/>
          <w:szCs w:val="24"/>
        </w:rPr>
      </w:pPr>
      <w:r w:rsidRPr="00641656">
        <w:rPr>
          <w:rFonts w:cs="Times New Roman"/>
          <w:szCs w:val="24"/>
        </w:rPr>
        <w:t>Release studies are widely used to compare free drugs with encapsulated formulations. In-vitro dialysis is convenient but introduces a secondary diffusion barrier. Free-drug controls are therefore essential. If the free drug crosses the dialysis membrane slowly, an apparently sustained nanoparticle profile may simply reflect the experimental setup.</w:t>
      </w:r>
    </w:p>
    <w:p w14:paraId="69DBD4B8" w14:textId="77777777" w:rsidR="00641656" w:rsidRPr="00641656" w:rsidRDefault="00641656" w:rsidP="00641656">
      <w:pPr>
        <w:ind w:firstLine="432"/>
        <w:jc w:val="both"/>
        <w:rPr>
          <w:rFonts w:cs="Times New Roman"/>
          <w:szCs w:val="24"/>
        </w:rPr>
      </w:pPr>
      <w:r w:rsidRPr="00641656">
        <w:rPr>
          <w:rFonts w:cs="Times New Roman"/>
          <w:szCs w:val="24"/>
        </w:rPr>
        <w:t>Alternative methods include sample-and-separate techniques, ultrafiltration, centrifugation, and membrane-free diffusion systems. The appropriate method depends on particle stability and drug properties. Sink conditions should be maintained where possible, and temperature should reflect the intended biological environment. Sampling should be corrected for replacement volume to avoid underestimating cumulative release.</w:t>
      </w:r>
    </w:p>
    <w:p w14:paraId="317C872A" w14:textId="77777777" w:rsidR="00641656" w:rsidRPr="00641656" w:rsidRDefault="00641656" w:rsidP="00641656">
      <w:pPr>
        <w:ind w:firstLine="432"/>
        <w:jc w:val="both"/>
        <w:rPr>
          <w:rFonts w:cs="Times New Roman"/>
          <w:szCs w:val="24"/>
        </w:rPr>
      </w:pPr>
      <w:r w:rsidRPr="00641656">
        <w:rPr>
          <w:rFonts w:cs="Times New Roman"/>
          <w:szCs w:val="24"/>
        </w:rPr>
        <w:t>Release modeling can provide mechanistic clues, but empirical fitting should not substitute for physical interpretation. A dual-drug formulation should be analyzed for each drug separately, and the changing ratio of released irinotecan to sorafenib should be reported. This is particularly important if the two drugs have different partitioning behavior.</w:t>
      </w:r>
    </w:p>
    <w:p w14:paraId="115A1474" w14:textId="77777777" w:rsidR="00641656" w:rsidRPr="00641656" w:rsidRDefault="00641656" w:rsidP="00641656">
      <w:pPr>
        <w:jc w:val="both"/>
        <w:rPr>
          <w:rFonts w:cs="Times New Roman"/>
          <w:szCs w:val="24"/>
        </w:rPr>
      </w:pPr>
      <w:r w:rsidRPr="00641656">
        <w:rPr>
          <w:rFonts w:cs="Times New Roman"/>
          <w:szCs w:val="24"/>
        </w:rPr>
        <w:br w:type="page"/>
      </w:r>
    </w:p>
    <w:p w14:paraId="47CF507A"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2.11 Stability of Nanocarriers</w:t>
      </w:r>
    </w:p>
    <w:p w14:paraId="774F23D8" w14:textId="77777777" w:rsidR="00641656" w:rsidRPr="00641656" w:rsidRDefault="00641656" w:rsidP="00641656">
      <w:pPr>
        <w:ind w:firstLine="432"/>
        <w:jc w:val="both"/>
        <w:rPr>
          <w:rFonts w:cs="Times New Roman"/>
          <w:szCs w:val="24"/>
        </w:rPr>
      </w:pPr>
      <w:r w:rsidRPr="00641656">
        <w:rPr>
          <w:rFonts w:cs="Times New Roman"/>
          <w:szCs w:val="24"/>
        </w:rPr>
        <w:t>Stability is a multidimensional property. A formulation may retain drug content but undergo aggregation, or it may maintain particle size while losing drug through leakage. Therefore, stability programs should monitor both physical and chemical attributes.</w:t>
      </w:r>
    </w:p>
    <w:p w14:paraId="321F1945" w14:textId="77777777" w:rsidR="00641656" w:rsidRPr="00641656" w:rsidRDefault="00641656" w:rsidP="00641656">
      <w:pPr>
        <w:ind w:firstLine="432"/>
        <w:jc w:val="both"/>
        <w:rPr>
          <w:rFonts w:cs="Times New Roman"/>
          <w:szCs w:val="24"/>
        </w:rPr>
      </w:pPr>
      <w:r w:rsidRPr="00641656">
        <w:rPr>
          <w:rFonts w:cs="Times New Roman"/>
          <w:szCs w:val="24"/>
        </w:rPr>
        <w:t>Common parameters include appearance, pH, particle size, PDI, zeta potential, drug content, encapsulation efficiency, and release profile. Temperature, light exposure, container material, and headspace can influence degradation. Freeze–thaw cycles can be particularly damaging to vesicular systems. Lyophilization may improve storage but can also alter membrane structure during drying and reconstitution.</w:t>
      </w:r>
    </w:p>
    <w:p w14:paraId="6E193305" w14:textId="77777777" w:rsidR="00641656" w:rsidRPr="00641656" w:rsidRDefault="00641656" w:rsidP="00641656">
      <w:pPr>
        <w:ind w:firstLine="432"/>
        <w:jc w:val="both"/>
        <w:rPr>
          <w:rFonts w:cs="Times New Roman"/>
          <w:szCs w:val="24"/>
        </w:rPr>
      </w:pPr>
      <w:r w:rsidRPr="00641656">
        <w:rPr>
          <w:rFonts w:cs="Times New Roman"/>
          <w:szCs w:val="24"/>
        </w:rPr>
        <w:t>The literature on nanomedicine emphasizes that stability must be evaluated early because unstable formulations can generate misleading biological results. A formulation that changes substantially during the period between preparation and cell exposure may not be the formulation actually tested.</w:t>
      </w:r>
    </w:p>
    <w:p w14:paraId="57C7478B" w14:textId="77777777" w:rsidR="00641656" w:rsidRPr="00641656" w:rsidRDefault="00641656" w:rsidP="00641656">
      <w:pPr>
        <w:jc w:val="both"/>
        <w:rPr>
          <w:rFonts w:cs="Times New Roman"/>
          <w:szCs w:val="24"/>
        </w:rPr>
      </w:pPr>
      <w:r w:rsidRPr="00641656">
        <w:rPr>
          <w:rFonts w:cs="Times New Roman"/>
          <w:szCs w:val="24"/>
        </w:rPr>
        <w:br w:type="page"/>
      </w:r>
    </w:p>
    <w:p w14:paraId="13107BBC"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2.12 EPR Effect: Foundational Literature</w:t>
      </w:r>
    </w:p>
    <w:p w14:paraId="7A67A5C6" w14:textId="77777777" w:rsidR="00641656" w:rsidRPr="00641656" w:rsidRDefault="00641656" w:rsidP="00641656">
      <w:pPr>
        <w:ind w:firstLine="432"/>
        <w:jc w:val="both"/>
        <w:rPr>
          <w:rFonts w:cs="Times New Roman"/>
          <w:szCs w:val="24"/>
        </w:rPr>
      </w:pPr>
      <w:r w:rsidRPr="00641656">
        <w:rPr>
          <w:rFonts w:cs="Times New Roman"/>
          <w:szCs w:val="24"/>
        </w:rPr>
        <w:t>The EPR effect originated from observations that macromolecules and certain nanoparticles can accumulate in tumors because of abnormal vascular permeability and impaired lymphatic drainage. Maeda and colleagues developed the concept in the context of macromolecular anticancer agents, and it became a foundational principle of tumor-targeted nanomedicine (Maeda, 2015).</w:t>
      </w:r>
    </w:p>
    <w:p w14:paraId="754F8BE5" w14:textId="77777777" w:rsidR="00641656" w:rsidRPr="00641656" w:rsidRDefault="00641656" w:rsidP="00641656">
      <w:pPr>
        <w:ind w:firstLine="432"/>
        <w:jc w:val="both"/>
        <w:rPr>
          <w:rFonts w:cs="Times New Roman"/>
          <w:szCs w:val="24"/>
        </w:rPr>
      </w:pPr>
      <w:r w:rsidRPr="00641656">
        <w:rPr>
          <w:rFonts w:cs="Times New Roman"/>
          <w:szCs w:val="24"/>
        </w:rPr>
        <w:t>The phenomenon is biologically plausible but heterogeneous. Tumor type, stage, vascular density, blood pressure, stromal composition, and macrophage activity can all affect delivery. The literature therefore distinguishes between the theoretical basis of EPR and the clinical magnitude of the effect.</w:t>
      </w:r>
    </w:p>
    <w:p w14:paraId="07B6D0D9" w14:textId="77777777" w:rsidR="00641656" w:rsidRPr="00641656" w:rsidRDefault="00641656" w:rsidP="00641656">
      <w:pPr>
        <w:ind w:firstLine="432"/>
        <w:jc w:val="both"/>
        <w:rPr>
          <w:rFonts w:cs="Times New Roman"/>
          <w:szCs w:val="24"/>
        </w:rPr>
      </w:pPr>
      <w:r w:rsidRPr="00641656">
        <w:rPr>
          <w:rFonts w:cs="Times New Roman"/>
          <w:szCs w:val="24"/>
        </w:rPr>
        <w:t xml:space="preserve">The importance of this distinction is particularly relevant for </w:t>
      </w:r>
      <w:proofErr w:type="spellStart"/>
      <w:r w:rsidRPr="00641656">
        <w:rPr>
          <w:rFonts w:cs="Times New Roman"/>
          <w:szCs w:val="24"/>
        </w:rPr>
        <w:t>theranostic</w:t>
      </w:r>
      <w:proofErr w:type="spellEnd"/>
      <w:r w:rsidRPr="00641656">
        <w:rPr>
          <w:rFonts w:cs="Times New Roman"/>
          <w:szCs w:val="24"/>
        </w:rPr>
        <w:t xml:space="preserve"> development. If a formulation is labeled with an imaging probe, its distribution can be measured rather than inferred. This enables investigators to identify tumors or tumor regions with greater or lower carrier accumulation and to relate distribution to treatment response.</w:t>
      </w:r>
    </w:p>
    <w:p w14:paraId="0B76C3AA" w14:textId="77777777" w:rsidR="00641656" w:rsidRPr="00641656" w:rsidRDefault="00641656" w:rsidP="00641656">
      <w:pPr>
        <w:jc w:val="both"/>
        <w:rPr>
          <w:rFonts w:cs="Times New Roman"/>
          <w:szCs w:val="24"/>
        </w:rPr>
      </w:pPr>
      <w:r w:rsidRPr="00641656">
        <w:rPr>
          <w:rFonts w:cs="Times New Roman"/>
          <w:szCs w:val="24"/>
        </w:rPr>
        <w:br w:type="page"/>
      </w:r>
    </w:p>
    <w:p w14:paraId="663D1863"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2.13 Limitations of EPR and Alternative Delivery Paradigms</w:t>
      </w:r>
    </w:p>
    <w:p w14:paraId="50DD80AE" w14:textId="77777777" w:rsidR="00641656" w:rsidRPr="00641656" w:rsidRDefault="00641656" w:rsidP="00641656">
      <w:pPr>
        <w:ind w:firstLine="432"/>
        <w:jc w:val="both"/>
        <w:rPr>
          <w:rFonts w:cs="Times New Roman"/>
          <w:szCs w:val="24"/>
        </w:rPr>
      </w:pPr>
      <w:r w:rsidRPr="00641656">
        <w:rPr>
          <w:rFonts w:cs="Times New Roman"/>
          <w:szCs w:val="24"/>
        </w:rPr>
        <w:t>Critical reviews have challenged the assumption that EPR alone explains nanoparticle delivery to tumors. Intravital microscopy and quantitative biodistribution studies indicate that endothelial transport, immune-cell interactions, vascular architecture, and active transcytosis may contribute substantially. Human tumors also show considerable heterogeneity compared with standard mouse xenografts (Wilhelm et al., 2016; Sindhwani et al., 2020).</w:t>
      </w:r>
    </w:p>
    <w:p w14:paraId="5C9E7092" w14:textId="77777777" w:rsidR="00641656" w:rsidRPr="00641656" w:rsidRDefault="00641656" w:rsidP="00641656">
      <w:pPr>
        <w:ind w:firstLine="432"/>
        <w:jc w:val="both"/>
        <w:rPr>
          <w:rFonts w:cs="Times New Roman"/>
          <w:szCs w:val="24"/>
        </w:rPr>
      </w:pPr>
      <w:r w:rsidRPr="00641656">
        <w:rPr>
          <w:rFonts w:cs="Times New Roman"/>
          <w:szCs w:val="24"/>
        </w:rPr>
        <w:t>These observations have stimulated alternative strategies including active ligand targeting, tumor-penetrating peptides, vascular normalization, microenvironment modulation, and imaging-guided patient selection. Importantly, active targeting generally improves cellular interactions rather than guaranteeing delivery to the tumor itself. The carrier must first reach the relevant tissue.</w:t>
      </w:r>
    </w:p>
    <w:p w14:paraId="45517751" w14:textId="77777777" w:rsidR="00641656" w:rsidRPr="00641656" w:rsidRDefault="00641656" w:rsidP="00641656">
      <w:pPr>
        <w:ind w:firstLine="432"/>
        <w:jc w:val="both"/>
        <w:rPr>
          <w:rFonts w:cs="Times New Roman"/>
          <w:szCs w:val="24"/>
        </w:rPr>
      </w:pPr>
      <w:r w:rsidRPr="00641656">
        <w:rPr>
          <w:rFonts w:cs="Times New Roman"/>
          <w:szCs w:val="24"/>
        </w:rPr>
        <w:t xml:space="preserve">The literature therefore supports a combined strategy in which passive transport, active interactions, and </w:t>
      </w:r>
      <w:proofErr w:type="spellStart"/>
      <w:r w:rsidRPr="00641656">
        <w:rPr>
          <w:rFonts w:cs="Times New Roman"/>
          <w:szCs w:val="24"/>
        </w:rPr>
        <w:t>theranostic</w:t>
      </w:r>
      <w:proofErr w:type="spellEnd"/>
      <w:r w:rsidRPr="00641656">
        <w:rPr>
          <w:rFonts w:cs="Times New Roman"/>
          <w:szCs w:val="24"/>
        </w:rPr>
        <w:t xml:space="preserve"> measurement are treated as complementary. The proposed </w:t>
      </w:r>
      <w:proofErr w:type="spellStart"/>
      <w:r w:rsidRPr="00641656">
        <w:rPr>
          <w:rFonts w:cs="Times New Roman"/>
          <w:szCs w:val="24"/>
        </w:rPr>
        <w:t>dendrimerosome</w:t>
      </w:r>
      <w:proofErr w:type="spellEnd"/>
      <w:r w:rsidRPr="00641656">
        <w:rPr>
          <w:rFonts w:cs="Times New Roman"/>
          <w:szCs w:val="24"/>
        </w:rPr>
        <w:t xml:space="preserve"> platform can be evaluated within this modern framework rather than relying on a simplistic EPR narrative.</w:t>
      </w:r>
    </w:p>
    <w:p w14:paraId="615B35F1" w14:textId="77777777" w:rsidR="00641656" w:rsidRPr="00641656" w:rsidRDefault="00641656" w:rsidP="00641656">
      <w:pPr>
        <w:jc w:val="both"/>
        <w:rPr>
          <w:rFonts w:cs="Times New Roman"/>
          <w:szCs w:val="24"/>
        </w:rPr>
      </w:pPr>
      <w:r w:rsidRPr="00641656">
        <w:rPr>
          <w:rFonts w:cs="Times New Roman"/>
          <w:szCs w:val="24"/>
        </w:rPr>
        <w:br w:type="page"/>
      </w:r>
    </w:p>
    <w:p w14:paraId="03313E63"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2.14 Protein Corona and Biological Identity</w:t>
      </w:r>
    </w:p>
    <w:p w14:paraId="13331BA8" w14:textId="77777777" w:rsidR="00641656" w:rsidRPr="00641656" w:rsidRDefault="00641656" w:rsidP="00641656">
      <w:pPr>
        <w:ind w:firstLine="432"/>
        <w:jc w:val="both"/>
        <w:rPr>
          <w:rFonts w:cs="Times New Roman"/>
          <w:szCs w:val="24"/>
        </w:rPr>
      </w:pPr>
      <w:r w:rsidRPr="00641656">
        <w:rPr>
          <w:rFonts w:cs="Times New Roman"/>
          <w:szCs w:val="24"/>
        </w:rPr>
        <w:t>When nanoparticles enter blood or biological fluids, proteins rapidly adsorb onto their surfaces. This protein corona can change the apparent identity of the nanoparticle, affecting size, charge, receptor recognition, cellular uptake, and clearance. Monopoli et al. (2012) highlighted the importance of the protein corona in determining nanoparticle biological behavior.</w:t>
      </w:r>
    </w:p>
    <w:p w14:paraId="2AB8BEA5" w14:textId="77777777" w:rsidR="00641656" w:rsidRPr="00641656" w:rsidRDefault="00641656" w:rsidP="00641656">
      <w:pPr>
        <w:ind w:firstLine="432"/>
        <w:jc w:val="both"/>
        <w:rPr>
          <w:rFonts w:cs="Times New Roman"/>
          <w:szCs w:val="24"/>
        </w:rPr>
      </w:pPr>
      <w:r w:rsidRPr="00641656">
        <w:rPr>
          <w:rFonts w:cs="Times New Roman"/>
          <w:szCs w:val="24"/>
        </w:rPr>
        <w:t>The corona is dynamic and depends on particle composition, surface chemistry, protein concentration, and biological environment. Consequently, two formulations with similar size and zeta potential in water may behave differently in serum. This is a major reason why in-vitro uptake studies should use controlled biological media and report serum conditions.</w:t>
      </w:r>
    </w:p>
    <w:p w14:paraId="0C769CC8" w14:textId="77777777" w:rsidR="00641656" w:rsidRPr="00641656" w:rsidRDefault="00641656" w:rsidP="00641656">
      <w:pPr>
        <w:ind w:firstLine="432"/>
        <w:jc w:val="both"/>
        <w:rPr>
          <w:rFonts w:cs="Times New Roman"/>
          <w:szCs w:val="24"/>
        </w:rPr>
      </w:pPr>
      <w:r w:rsidRPr="00641656">
        <w:rPr>
          <w:rFonts w:cs="Times New Roman"/>
          <w:szCs w:val="24"/>
        </w:rPr>
        <w:t xml:space="preserve">For </w:t>
      </w:r>
      <w:proofErr w:type="spellStart"/>
      <w:r w:rsidRPr="00641656">
        <w:rPr>
          <w:rFonts w:cs="Times New Roman"/>
          <w:szCs w:val="24"/>
        </w:rPr>
        <w:t>dendrimerosomes</w:t>
      </w:r>
      <w:proofErr w:type="spellEnd"/>
      <w:r w:rsidRPr="00641656">
        <w:rPr>
          <w:rFonts w:cs="Times New Roman"/>
          <w:szCs w:val="24"/>
        </w:rPr>
        <w:t>, the surface chemistry can be particularly important because terminal groups may be abundant. A strongly charged surface can attract proteins and alter complement or macrophage interactions. Surface modification should therefore be considered together with uptake and toxicity.</w:t>
      </w:r>
    </w:p>
    <w:p w14:paraId="3D695A28" w14:textId="77777777" w:rsidR="00641656" w:rsidRPr="00641656" w:rsidRDefault="00641656" w:rsidP="00641656">
      <w:pPr>
        <w:jc w:val="both"/>
        <w:rPr>
          <w:rFonts w:cs="Times New Roman"/>
          <w:szCs w:val="24"/>
        </w:rPr>
      </w:pPr>
      <w:r w:rsidRPr="00641656">
        <w:rPr>
          <w:rFonts w:cs="Times New Roman"/>
          <w:szCs w:val="24"/>
        </w:rPr>
        <w:br w:type="page"/>
      </w:r>
    </w:p>
    <w:p w14:paraId="0DB47E89"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2.15 Nanoparticle Cellular Uptake</w:t>
      </w:r>
    </w:p>
    <w:p w14:paraId="6067049E" w14:textId="77777777" w:rsidR="00641656" w:rsidRPr="00641656" w:rsidRDefault="00641656" w:rsidP="00641656">
      <w:pPr>
        <w:ind w:firstLine="432"/>
        <w:jc w:val="both"/>
        <w:rPr>
          <w:rFonts w:cs="Times New Roman"/>
          <w:szCs w:val="24"/>
        </w:rPr>
      </w:pPr>
      <w:r w:rsidRPr="00641656">
        <w:rPr>
          <w:rFonts w:cs="Times New Roman"/>
          <w:szCs w:val="24"/>
        </w:rPr>
        <w:t xml:space="preserve">Cellular uptake of nanoparticles can occur through </w:t>
      </w:r>
      <w:proofErr w:type="spellStart"/>
      <w:r w:rsidRPr="00641656">
        <w:rPr>
          <w:rFonts w:cs="Times New Roman"/>
          <w:szCs w:val="24"/>
        </w:rPr>
        <w:t>clathrin</w:t>
      </w:r>
      <w:proofErr w:type="spellEnd"/>
      <w:r w:rsidRPr="00641656">
        <w:rPr>
          <w:rFonts w:cs="Times New Roman"/>
          <w:szCs w:val="24"/>
        </w:rPr>
        <w:t xml:space="preserve">-mediated endocytosis, caveolar pathways, </w:t>
      </w:r>
      <w:proofErr w:type="spellStart"/>
      <w:r w:rsidRPr="00641656">
        <w:rPr>
          <w:rFonts w:cs="Times New Roman"/>
          <w:szCs w:val="24"/>
        </w:rPr>
        <w:t>macropinocytosis</w:t>
      </w:r>
      <w:proofErr w:type="spellEnd"/>
      <w:r w:rsidRPr="00641656">
        <w:rPr>
          <w:rFonts w:cs="Times New Roman"/>
          <w:szCs w:val="24"/>
        </w:rPr>
        <w:t>, phagocytosis, and other mechanisms depending on particle properties and cell type. Uptake is affected by size, shape, charge, surface ligands, and protein corona composition. Once internalized, particles may be trafficked to endosomes and lysosomes.</w:t>
      </w:r>
    </w:p>
    <w:p w14:paraId="6B28F9BD" w14:textId="77777777" w:rsidR="00641656" w:rsidRPr="00641656" w:rsidRDefault="00641656" w:rsidP="00641656">
      <w:pPr>
        <w:ind w:firstLine="432"/>
        <w:jc w:val="both"/>
        <w:rPr>
          <w:rFonts w:cs="Times New Roman"/>
          <w:szCs w:val="24"/>
        </w:rPr>
      </w:pPr>
      <w:r w:rsidRPr="00641656">
        <w:rPr>
          <w:rFonts w:cs="Times New Roman"/>
          <w:szCs w:val="24"/>
        </w:rPr>
        <w:t>For drug delivery, uptake alone is insufficient. The carrier must release the drug in a pharmacologically useful location. A highly internalized but poorly releasing nanoparticle may produce less activity than a moderately internalized formulation that releases drug efficiently. Consequently, uptake, intracellular localization, release, and cytotoxicity should be interpreted together.</w:t>
      </w:r>
    </w:p>
    <w:p w14:paraId="1E01A76C" w14:textId="77777777" w:rsidR="00641656" w:rsidRPr="00641656" w:rsidRDefault="00641656" w:rsidP="00641656">
      <w:pPr>
        <w:ind w:firstLine="432"/>
        <w:jc w:val="both"/>
        <w:rPr>
          <w:rFonts w:cs="Times New Roman"/>
          <w:szCs w:val="24"/>
        </w:rPr>
      </w:pPr>
      <w:r w:rsidRPr="00641656">
        <w:rPr>
          <w:rFonts w:cs="Times New Roman"/>
          <w:szCs w:val="24"/>
        </w:rPr>
        <w:t>Flow cytometry is useful for quantitative population-level uptake, while confocal microscopy can provide spatial information. Appropriate controls are necessary to distinguish internalized fluorescence from surface-associated signal.</w:t>
      </w:r>
    </w:p>
    <w:p w14:paraId="4080931B" w14:textId="77777777" w:rsidR="00641656" w:rsidRPr="00641656" w:rsidRDefault="00641656" w:rsidP="00641656">
      <w:pPr>
        <w:jc w:val="both"/>
        <w:rPr>
          <w:rFonts w:cs="Times New Roman"/>
          <w:szCs w:val="24"/>
        </w:rPr>
      </w:pPr>
      <w:r w:rsidRPr="00641656">
        <w:rPr>
          <w:rFonts w:cs="Times New Roman"/>
          <w:szCs w:val="24"/>
        </w:rPr>
        <w:br w:type="page"/>
      </w:r>
    </w:p>
    <w:p w14:paraId="1F98477B"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2.16 Nanocarriers and Drug Resistance</w:t>
      </w:r>
    </w:p>
    <w:p w14:paraId="2FFAF6E7" w14:textId="77777777" w:rsidR="00641656" w:rsidRPr="00641656" w:rsidRDefault="00641656" w:rsidP="00641656">
      <w:pPr>
        <w:ind w:firstLine="432"/>
        <w:jc w:val="both"/>
        <w:rPr>
          <w:rFonts w:cs="Times New Roman"/>
          <w:szCs w:val="24"/>
        </w:rPr>
      </w:pPr>
      <w:r w:rsidRPr="00641656">
        <w:rPr>
          <w:rFonts w:cs="Times New Roman"/>
          <w:szCs w:val="24"/>
        </w:rPr>
        <w:t>Drug resistance can arise through multiple mechanisms, including altered drug transport, enhanced DNA repair, apoptosis avoidance, pathway reprogramming, metabolic changes, and tumor microenvironment protection. Nanocarriers may address some resistance mechanisms by increasing intracellular concentration or bypassing conventional transport pathways.</w:t>
      </w:r>
    </w:p>
    <w:p w14:paraId="49DEBEC1" w14:textId="77777777" w:rsidR="00641656" w:rsidRPr="00641656" w:rsidRDefault="00641656" w:rsidP="00641656">
      <w:pPr>
        <w:ind w:firstLine="432"/>
        <w:jc w:val="both"/>
        <w:rPr>
          <w:rFonts w:cs="Times New Roman"/>
          <w:szCs w:val="24"/>
        </w:rPr>
      </w:pPr>
      <w:r w:rsidRPr="00641656">
        <w:rPr>
          <w:rFonts w:cs="Times New Roman"/>
          <w:szCs w:val="24"/>
        </w:rPr>
        <w:t>Irinotecan resistance can involve changes in topoisomerase I, drug metabolism, DNA repair, efflux transporters, and cellular survival pathways. Sorafenib resistance can involve pathway reactivation, alternative signaling, epithelial–mesenchymal transition, and microenvironmental adaptation. A combination strategy may therefore be valuable because resistance to one mechanism does not necessarily confer resistance to the other.</w:t>
      </w:r>
    </w:p>
    <w:p w14:paraId="0148CCDB" w14:textId="77777777" w:rsidR="00641656" w:rsidRPr="00641656" w:rsidRDefault="00641656" w:rsidP="00641656">
      <w:pPr>
        <w:ind w:firstLine="432"/>
        <w:jc w:val="both"/>
        <w:rPr>
          <w:rFonts w:cs="Times New Roman"/>
          <w:szCs w:val="24"/>
        </w:rPr>
      </w:pPr>
      <w:r w:rsidRPr="00641656">
        <w:rPr>
          <w:rFonts w:cs="Times New Roman"/>
          <w:szCs w:val="24"/>
        </w:rPr>
        <w:t>However, nanoparticle delivery should not be described as a universal solution. If resistance is caused by a downstream pathway independent of drug concentration, increasing intracellular exposure may not restore sensitivity. Mechanistic studies are therefore needed to determine whether the formulation changes the relevant biological pathway.</w:t>
      </w:r>
    </w:p>
    <w:p w14:paraId="60E79FC2" w14:textId="77777777" w:rsidR="00641656" w:rsidRPr="00641656" w:rsidRDefault="00641656" w:rsidP="00641656">
      <w:pPr>
        <w:jc w:val="both"/>
        <w:rPr>
          <w:rFonts w:cs="Times New Roman"/>
          <w:szCs w:val="24"/>
        </w:rPr>
      </w:pPr>
      <w:r w:rsidRPr="00641656">
        <w:rPr>
          <w:rFonts w:cs="Times New Roman"/>
          <w:szCs w:val="24"/>
        </w:rPr>
        <w:br w:type="page"/>
      </w:r>
    </w:p>
    <w:p w14:paraId="30E8CA24"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2.17 Irinotecan: Pharmacokinetics and Metabolism</w:t>
      </w:r>
    </w:p>
    <w:p w14:paraId="6D9FA543" w14:textId="77777777" w:rsidR="00641656" w:rsidRPr="00641656" w:rsidRDefault="00641656" w:rsidP="00641656">
      <w:pPr>
        <w:ind w:firstLine="432"/>
        <w:jc w:val="both"/>
        <w:rPr>
          <w:rFonts w:cs="Times New Roman"/>
          <w:szCs w:val="24"/>
        </w:rPr>
      </w:pPr>
      <w:r w:rsidRPr="00641656">
        <w:rPr>
          <w:rFonts w:cs="Times New Roman"/>
          <w:szCs w:val="24"/>
        </w:rPr>
        <w:t>Irinotecan undergoes complex metabolism involving conversion to SN-38, glucuronidation, and transporter-mediated disposition. The active metabolite is substantially more potent than irinotecan, but systemic exposure is influenced by activation efficiency and clearance. Clinical pharmacology studies have demonstrated relationships between SN-38 exposure and toxicity, supporting the importance of pharmacokinetic variability (</w:t>
      </w:r>
      <w:proofErr w:type="spellStart"/>
      <w:r w:rsidRPr="00641656">
        <w:rPr>
          <w:rFonts w:cs="Times New Roman"/>
          <w:szCs w:val="24"/>
        </w:rPr>
        <w:t>Mathijssen</w:t>
      </w:r>
      <w:proofErr w:type="spellEnd"/>
      <w:r w:rsidRPr="00641656">
        <w:rPr>
          <w:rFonts w:cs="Times New Roman"/>
          <w:szCs w:val="24"/>
        </w:rPr>
        <w:t xml:space="preserve"> et al., 2001).</w:t>
      </w:r>
    </w:p>
    <w:p w14:paraId="2093E18B" w14:textId="77777777" w:rsidR="00641656" w:rsidRPr="00641656" w:rsidRDefault="00641656" w:rsidP="00641656">
      <w:pPr>
        <w:ind w:firstLine="432"/>
        <w:jc w:val="both"/>
        <w:rPr>
          <w:rFonts w:cs="Times New Roman"/>
          <w:szCs w:val="24"/>
        </w:rPr>
      </w:pPr>
      <w:r w:rsidRPr="00641656">
        <w:rPr>
          <w:rFonts w:cs="Times New Roman"/>
          <w:szCs w:val="24"/>
        </w:rPr>
        <w:t>UGT1A1 variation can affect glucuronidation of SN-38. The UGT1A1*28 polymorphism has been studied as a contributor to toxicity risk, although genotype-guided dosing is context dependent. Transporters such as ABCG2 and ABCC2 can also influence disposition.</w:t>
      </w:r>
    </w:p>
    <w:p w14:paraId="6440620B" w14:textId="77777777" w:rsidR="00641656" w:rsidRPr="00641656" w:rsidRDefault="00641656" w:rsidP="00641656">
      <w:pPr>
        <w:ind w:firstLine="432"/>
        <w:jc w:val="both"/>
        <w:rPr>
          <w:rFonts w:cs="Times New Roman"/>
          <w:szCs w:val="24"/>
        </w:rPr>
      </w:pPr>
      <w:r w:rsidRPr="00641656">
        <w:rPr>
          <w:rFonts w:cs="Times New Roman"/>
          <w:szCs w:val="24"/>
        </w:rPr>
        <w:t>A nanoparticle formulation can alter the pharmacokinetic pathway by changing release and tissue distribution. However, this may also change the relationship between parent drug and active metabolite. Pharmacokinetic studies should therefore measure both when feasible.</w:t>
      </w:r>
    </w:p>
    <w:p w14:paraId="14FE23F4" w14:textId="77777777" w:rsidR="00641656" w:rsidRPr="00641656" w:rsidRDefault="00641656" w:rsidP="00641656">
      <w:pPr>
        <w:jc w:val="both"/>
        <w:rPr>
          <w:rFonts w:cs="Times New Roman"/>
          <w:szCs w:val="24"/>
        </w:rPr>
      </w:pPr>
      <w:r w:rsidRPr="00641656">
        <w:rPr>
          <w:rFonts w:cs="Times New Roman"/>
          <w:szCs w:val="24"/>
        </w:rPr>
        <w:br w:type="page"/>
      </w:r>
    </w:p>
    <w:p w14:paraId="74B606F4"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2.18 Sorafenib: Pharmacology and Resistance</w:t>
      </w:r>
    </w:p>
    <w:p w14:paraId="0635AB24" w14:textId="77777777" w:rsidR="00641656" w:rsidRPr="00641656" w:rsidRDefault="00641656" w:rsidP="00641656">
      <w:pPr>
        <w:ind w:firstLine="432"/>
        <w:jc w:val="both"/>
        <w:rPr>
          <w:rFonts w:cs="Times New Roman"/>
          <w:szCs w:val="24"/>
        </w:rPr>
      </w:pPr>
      <w:r w:rsidRPr="00641656">
        <w:rPr>
          <w:rFonts w:cs="Times New Roman"/>
          <w:szCs w:val="24"/>
        </w:rPr>
        <w:t>Sorafenib inhibits multiple kinases, including RAF family members and receptors associated with angiogenesis. Its broad target profile contributes to its antitumor effects but also creates opportunities for adaptive resistance. Tumor cells can activate alternative signaling pathways, alter drug transport, or modify their microenvironment.</w:t>
      </w:r>
    </w:p>
    <w:p w14:paraId="53F33827" w14:textId="77777777" w:rsidR="00641656" w:rsidRPr="00641656" w:rsidRDefault="00641656" w:rsidP="00641656">
      <w:pPr>
        <w:ind w:firstLine="432"/>
        <w:jc w:val="both"/>
        <w:rPr>
          <w:rFonts w:cs="Times New Roman"/>
          <w:szCs w:val="24"/>
        </w:rPr>
      </w:pPr>
      <w:r w:rsidRPr="00641656">
        <w:rPr>
          <w:rFonts w:cs="Times New Roman"/>
          <w:szCs w:val="24"/>
        </w:rPr>
        <w:t>In colorectal cancer, sorafenib has been explored in combination with other agents rather than as a universal single-agent treatment. The rationale for combination is that pathway inhibition can sensitize tumors to other forms of cytotoxic stress. The success of such strategies depends on tumor genotype, pathway dependence, and exposure.</w:t>
      </w:r>
    </w:p>
    <w:p w14:paraId="34BE1339" w14:textId="77777777" w:rsidR="00641656" w:rsidRPr="00641656" w:rsidRDefault="00641656" w:rsidP="00641656">
      <w:pPr>
        <w:ind w:firstLine="432"/>
        <w:jc w:val="both"/>
        <w:rPr>
          <w:rFonts w:cs="Times New Roman"/>
          <w:szCs w:val="24"/>
        </w:rPr>
      </w:pPr>
      <w:r w:rsidRPr="00641656">
        <w:rPr>
          <w:rFonts w:cs="Times New Roman"/>
          <w:szCs w:val="24"/>
        </w:rPr>
        <w:t>From a formulation standpoint, sorafenib's hydrophobic nature makes it compatible conceptually with membrane-associated loading. However, strong membrane association may also slow release. The formulation must therefore balance loading with bioavailability.</w:t>
      </w:r>
    </w:p>
    <w:p w14:paraId="7AF4507D" w14:textId="77777777" w:rsidR="00641656" w:rsidRPr="00641656" w:rsidRDefault="00641656" w:rsidP="00641656">
      <w:pPr>
        <w:jc w:val="both"/>
        <w:rPr>
          <w:rFonts w:cs="Times New Roman"/>
          <w:szCs w:val="24"/>
        </w:rPr>
      </w:pPr>
      <w:r w:rsidRPr="00641656">
        <w:rPr>
          <w:rFonts w:cs="Times New Roman"/>
          <w:szCs w:val="24"/>
        </w:rPr>
        <w:br w:type="page"/>
      </w:r>
    </w:p>
    <w:p w14:paraId="09C0C300"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2.19 Literature on Irinotecan Nanocarriers</w:t>
      </w:r>
    </w:p>
    <w:p w14:paraId="43058694" w14:textId="77777777" w:rsidR="00641656" w:rsidRPr="00641656" w:rsidRDefault="00641656" w:rsidP="00641656">
      <w:pPr>
        <w:ind w:firstLine="432"/>
        <w:jc w:val="both"/>
        <w:rPr>
          <w:rFonts w:cs="Times New Roman"/>
          <w:szCs w:val="24"/>
        </w:rPr>
      </w:pPr>
      <w:r w:rsidRPr="00641656">
        <w:rPr>
          <w:rFonts w:cs="Times New Roman"/>
          <w:szCs w:val="24"/>
        </w:rPr>
        <w:t>Irinotecan has been investigated in liposomal, polymeric, micellar, and other nanoscale delivery systems. The best-known example is liposomal irinotecan, which demonstrated that encapsulation can modify pharmacokinetics and therapeutic exposure. Such work provides strong support for the broader concept of nanocarrier-based irinotecan delivery.</w:t>
      </w:r>
    </w:p>
    <w:p w14:paraId="4608C2B8" w14:textId="77777777" w:rsidR="00641656" w:rsidRPr="00641656" w:rsidRDefault="00641656" w:rsidP="00641656">
      <w:pPr>
        <w:ind w:firstLine="432"/>
        <w:jc w:val="both"/>
        <w:rPr>
          <w:rFonts w:cs="Times New Roman"/>
          <w:szCs w:val="24"/>
        </w:rPr>
      </w:pPr>
      <w:r w:rsidRPr="00641656">
        <w:rPr>
          <w:rFonts w:cs="Times New Roman"/>
          <w:szCs w:val="24"/>
        </w:rPr>
        <w:t>The literature indicates that prolonged circulation and controlled release can increase exposure of tumor tissue to active drug while changing the toxicity profile. Nevertheless, carrier composition and release kinetics determine the outcome. Results from one irinotecan carrier cannot simply be transferred to another platform.</w:t>
      </w:r>
    </w:p>
    <w:p w14:paraId="5922D659" w14:textId="77777777" w:rsidR="00641656" w:rsidRPr="00641656" w:rsidRDefault="00641656" w:rsidP="00641656">
      <w:pPr>
        <w:ind w:firstLine="432"/>
        <w:jc w:val="both"/>
        <w:rPr>
          <w:rFonts w:cs="Times New Roman"/>
          <w:szCs w:val="24"/>
        </w:rPr>
      </w:pPr>
      <w:r w:rsidRPr="00641656">
        <w:rPr>
          <w:rFonts w:cs="Times New Roman"/>
          <w:szCs w:val="24"/>
        </w:rPr>
        <w:t xml:space="preserve">The proposed </w:t>
      </w:r>
      <w:proofErr w:type="spellStart"/>
      <w:r w:rsidRPr="00641656">
        <w:rPr>
          <w:rFonts w:cs="Times New Roman"/>
          <w:szCs w:val="24"/>
        </w:rPr>
        <w:t>dendrimerosome</w:t>
      </w:r>
      <w:proofErr w:type="spellEnd"/>
      <w:r w:rsidRPr="00641656">
        <w:rPr>
          <w:rFonts w:cs="Times New Roman"/>
          <w:szCs w:val="24"/>
        </w:rPr>
        <w:t xml:space="preserve"> system is therefore best viewed as a new formulation architecture that builds on established pharmacological evidence for irinotecan delivery while introducing molecularly defined vesicles and co-loading with sorafenib.</w:t>
      </w:r>
    </w:p>
    <w:p w14:paraId="2885F571" w14:textId="77777777" w:rsidR="00641656" w:rsidRPr="00641656" w:rsidRDefault="00641656" w:rsidP="00641656">
      <w:pPr>
        <w:jc w:val="both"/>
        <w:rPr>
          <w:rFonts w:cs="Times New Roman"/>
          <w:szCs w:val="24"/>
        </w:rPr>
      </w:pPr>
      <w:r w:rsidRPr="00641656">
        <w:rPr>
          <w:rFonts w:cs="Times New Roman"/>
          <w:szCs w:val="24"/>
        </w:rPr>
        <w:br w:type="page"/>
      </w:r>
    </w:p>
    <w:p w14:paraId="3625B31D"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2.20 Literature on Sorafenib Nanocarriers</w:t>
      </w:r>
    </w:p>
    <w:p w14:paraId="5F5528D0" w14:textId="77777777" w:rsidR="00641656" w:rsidRPr="00641656" w:rsidRDefault="00641656" w:rsidP="00641656">
      <w:pPr>
        <w:ind w:firstLine="432"/>
        <w:jc w:val="both"/>
        <w:rPr>
          <w:rFonts w:cs="Times New Roman"/>
          <w:szCs w:val="24"/>
        </w:rPr>
      </w:pPr>
      <w:r w:rsidRPr="00641656">
        <w:rPr>
          <w:rFonts w:cs="Times New Roman"/>
          <w:szCs w:val="24"/>
        </w:rPr>
        <w:t>Sorafenib has been incorporated into liposomes, polymeric nanoparticles, micelles, lipid nanoparticles, and other carriers to improve solubility, distribution, and tumor exposure. Because sorafenib is poorly water soluble, nanocarriers can provide an alternative to conventional formulation approaches.</w:t>
      </w:r>
    </w:p>
    <w:p w14:paraId="610BA620" w14:textId="77777777" w:rsidR="00641656" w:rsidRPr="00641656" w:rsidRDefault="00641656" w:rsidP="00641656">
      <w:pPr>
        <w:ind w:firstLine="432"/>
        <w:jc w:val="both"/>
        <w:rPr>
          <w:rFonts w:cs="Times New Roman"/>
          <w:szCs w:val="24"/>
        </w:rPr>
      </w:pPr>
      <w:r w:rsidRPr="00641656">
        <w:rPr>
          <w:rFonts w:cs="Times New Roman"/>
          <w:szCs w:val="24"/>
        </w:rPr>
        <w:t>Several studies have explored combinations of sorafenib with cytotoxic drugs or other targeted agents. Nanocarriers can potentially synchronize exposure and increase tumor accumulation. However, combination formulations require careful attention to dose ratio and release behavior.</w:t>
      </w:r>
    </w:p>
    <w:p w14:paraId="16F10F6A" w14:textId="77777777" w:rsidR="00641656" w:rsidRPr="00641656" w:rsidRDefault="00641656" w:rsidP="00641656">
      <w:pPr>
        <w:ind w:firstLine="432"/>
        <w:jc w:val="both"/>
        <w:rPr>
          <w:rFonts w:cs="Times New Roman"/>
          <w:szCs w:val="24"/>
        </w:rPr>
      </w:pPr>
      <w:r w:rsidRPr="00641656">
        <w:rPr>
          <w:rFonts w:cs="Times New Roman"/>
          <w:szCs w:val="24"/>
        </w:rPr>
        <w:t>The literature supports the feasibility of nanocarrier-based sorafenib delivery but also demonstrates that formulation composition strongly influences efficacy. Therefore, direct comparison with free sorafenib is essential in any new platform.</w:t>
      </w:r>
    </w:p>
    <w:p w14:paraId="38E91DAA" w14:textId="77777777" w:rsidR="00641656" w:rsidRPr="00641656" w:rsidRDefault="00641656" w:rsidP="00641656">
      <w:pPr>
        <w:jc w:val="both"/>
        <w:rPr>
          <w:rFonts w:cs="Times New Roman"/>
          <w:szCs w:val="24"/>
        </w:rPr>
      </w:pPr>
      <w:r w:rsidRPr="00641656">
        <w:rPr>
          <w:rFonts w:cs="Times New Roman"/>
          <w:szCs w:val="24"/>
        </w:rPr>
        <w:br w:type="page"/>
      </w:r>
    </w:p>
    <w:p w14:paraId="6223D986"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 xml:space="preserve">2.21 Combination </w:t>
      </w:r>
      <w:proofErr w:type="spellStart"/>
      <w:r w:rsidRPr="00641656">
        <w:rPr>
          <w:rFonts w:ascii="Times New Roman" w:hAnsi="Times New Roman" w:cs="Times New Roman"/>
          <w:sz w:val="24"/>
          <w:szCs w:val="24"/>
        </w:rPr>
        <w:t>Nanotherapy</w:t>
      </w:r>
      <w:proofErr w:type="spellEnd"/>
    </w:p>
    <w:p w14:paraId="145CD08F" w14:textId="77777777" w:rsidR="00641656" w:rsidRPr="00641656" w:rsidRDefault="00641656" w:rsidP="00641656">
      <w:pPr>
        <w:ind w:firstLine="432"/>
        <w:jc w:val="both"/>
        <w:rPr>
          <w:rFonts w:cs="Times New Roman"/>
          <w:szCs w:val="24"/>
        </w:rPr>
      </w:pPr>
      <w:r w:rsidRPr="00641656">
        <w:rPr>
          <w:rFonts w:cs="Times New Roman"/>
          <w:szCs w:val="24"/>
        </w:rPr>
        <w:t xml:space="preserve">Combination </w:t>
      </w:r>
      <w:proofErr w:type="spellStart"/>
      <w:r w:rsidRPr="00641656">
        <w:rPr>
          <w:rFonts w:cs="Times New Roman"/>
          <w:szCs w:val="24"/>
        </w:rPr>
        <w:t>nanotherapy</w:t>
      </w:r>
      <w:proofErr w:type="spellEnd"/>
      <w:r w:rsidRPr="00641656">
        <w:rPr>
          <w:rFonts w:cs="Times New Roman"/>
          <w:szCs w:val="24"/>
        </w:rPr>
        <w:t xml:space="preserve"> attempts to co-deliver multiple agents in one carrier or coordinate their administration through matched pharmacokinetics. The conceptual advantage is synchronized exposure and the possibility of delivering drugs to the same cell population. The literature includes combinations of cytotoxic drugs, kinase inhibitors, nucleic acids, and immunomodulators.</w:t>
      </w:r>
    </w:p>
    <w:p w14:paraId="47B9C07C" w14:textId="77777777" w:rsidR="00641656" w:rsidRPr="00641656" w:rsidRDefault="00641656" w:rsidP="00641656">
      <w:pPr>
        <w:ind w:firstLine="432"/>
        <w:jc w:val="both"/>
        <w:rPr>
          <w:rFonts w:cs="Times New Roman"/>
          <w:szCs w:val="24"/>
        </w:rPr>
      </w:pPr>
      <w:r w:rsidRPr="00641656">
        <w:rPr>
          <w:rFonts w:cs="Times New Roman"/>
          <w:szCs w:val="24"/>
        </w:rPr>
        <w:t xml:space="preserve">Co-loading can reduce variability in relative exposure, but it can also create formulation competition. One drug may displace another, change membrane packing, or alter release. Therefore, combination </w:t>
      </w:r>
      <w:proofErr w:type="spellStart"/>
      <w:r w:rsidRPr="00641656">
        <w:rPr>
          <w:rFonts w:cs="Times New Roman"/>
          <w:szCs w:val="24"/>
        </w:rPr>
        <w:t>nanotherapy</w:t>
      </w:r>
      <w:proofErr w:type="spellEnd"/>
      <w:r w:rsidRPr="00641656">
        <w:rPr>
          <w:rFonts w:cs="Times New Roman"/>
          <w:szCs w:val="24"/>
        </w:rPr>
        <w:t xml:space="preserve"> should be optimized around both pharmacological and formulation variables.</w:t>
      </w:r>
    </w:p>
    <w:p w14:paraId="3C1A3A47" w14:textId="77777777" w:rsidR="00641656" w:rsidRPr="00641656" w:rsidRDefault="00641656" w:rsidP="00641656">
      <w:pPr>
        <w:ind w:firstLine="432"/>
        <w:jc w:val="both"/>
        <w:rPr>
          <w:rFonts w:cs="Times New Roman"/>
          <w:szCs w:val="24"/>
        </w:rPr>
      </w:pPr>
      <w:r w:rsidRPr="00641656">
        <w:rPr>
          <w:rFonts w:cs="Times New Roman"/>
          <w:szCs w:val="24"/>
        </w:rPr>
        <w:t>The Chou–Talalay method is frequently used to quantify combination effects. It provides a framework for distinguishing synergistic, additive, and antagonistic interactions across effect levels. The method is most informative when used with a concentration matrix and independent biological replicates (Chou, 2006).</w:t>
      </w:r>
    </w:p>
    <w:p w14:paraId="553A787A" w14:textId="77777777" w:rsidR="00641656" w:rsidRPr="00641656" w:rsidRDefault="00641656" w:rsidP="00641656">
      <w:pPr>
        <w:jc w:val="both"/>
        <w:rPr>
          <w:rFonts w:cs="Times New Roman"/>
          <w:szCs w:val="24"/>
        </w:rPr>
      </w:pPr>
      <w:r w:rsidRPr="00641656">
        <w:rPr>
          <w:rFonts w:cs="Times New Roman"/>
          <w:szCs w:val="24"/>
        </w:rPr>
        <w:br w:type="page"/>
      </w:r>
    </w:p>
    <w:p w14:paraId="3F2CD37C"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 xml:space="preserve">2.22 </w:t>
      </w:r>
      <w:proofErr w:type="spellStart"/>
      <w:r w:rsidRPr="00641656">
        <w:rPr>
          <w:rFonts w:ascii="Times New Roman" w:hAnsi="Times New Roman" w:cs="Times New Roman"/>
          <w:sz w:val="24"/>
          <w:szCs w:val="24"/>
        </w:rPr>
        <w:t>Theranostic</w:t>
      </w:r>
      <w:proofErr w:type="spellEnd"/>
      <w:r w:rsidRPr="00641656">
        <w:rPr>
          <w:rFonts w:ascii="Times New Roman" w:hAnsi="Times New Roman" w:cs="Times New Roman"/>
          <w:sz w:val="24"/>
          <w:szCs w:val="24"/>
        </w:rPr>
        <w:t xml:space="preserve"> Nanoparticles in Oncology</w:t>
      </w:r>
    </w:p>
    <w:p w14:paraId="35BA1CDB" w14:textId="77777777" w:rsidR="00641656" w:rsidRPr="00641656" w:rsidRDefault="00641656" w:rsidP="00641656">
      <w:pPr>
        <w:ind w:firstLine="432"/>
        <w:jc w:val="both"/>
        <w:rPr>
          <w:rFonts w:cs="Times New Roman"/>
          <w:szCs w:val="24"/>
        </w:rPr>
      </w:pPr>
      <w:proofErr w:type="spellStart"/>
      <w:r w:rsidRPr="00641656">
        <w:rPr>
          <w:rFonts w:cs="Times New Roman"/>
          <w:szCs w:val="24"/>
        </w:rPr>
        <w:t>Theranostic</w:t>
      </w:r>
      <w:proofErr w:type="spellEnd"/>
      <w:r w:rsidRPr="00641656">
        <w:rPr>
          <w:rFonts w:cs="Times New Roman"/>
          <w:szCs w:val="24"/>
        </w:rPr>
        <w:t xml:space="preserve"> nanoparticles integrate therapeutic payloads with imaging or diagnostic functions. The literature includes fluorescent, magnetic, radioactive, photoacoustic, and multimodal platforms. These systems can provide information about biodistribution, tumor localization, and treatment response.</w:t>
      </w:r>
    </w:p>
    <w:p w14:paraId="3FF1CB1C" w14:textId="77777777" w:rsidR="00641656" w:rsidRPr="00641656" w:rsidRDefault="00641656" w:rsidP="00641656">
      <w:pPr>
        <w:ind w:firstLine="432"/>
        <w:jc w:val="both"/>
        <w:rPr>
          <w:rFonts w:cs="Times New Roman"/>
          <w:szCs w:val="24"/>
        </w:rPr>
      </w:pPr>
      <w:r w:rsidRPr="00641656">
        <w:rPr>
          <w:rFonts w:cs="Times New Roman"/>
          <w:szCs w:val="24"/>
        </w:rPr>
        <w:t xml:space="preserve">A major advantage of </w:t>
      </w:r>
      <w:proofErr w:type="spellStart"/>
      <w:r w:rsidRPr="00641656">
        <w:rPr>
          <w:rFonts w:cs="Times New Roman"/>
          <w:szCs w:val="24"/>
        </w:rPr>
        <w:t>theranostics</w:t>
      </w:r>
      <w:proofErr w:type="spellEnd"/>
      <w:r w:rsidRPr="00641656">
        <w:rPr>
          <w:rFonts w:cs="Times New Roman"/>
          <w:szCs w:val="24"/>
        </w:rPr>
        <w:t xml:space="preserve"> is the ability to measure delivery. Instead of assuming that a formulation reaches the tumor, imaging can demonstrate whether and where the carrier accumulates. This can be particularly useful in the context of heterogeneous EPR.</w:t>
      </w:r>
    </w:p>
    <w:p w14:paraId="3A09CAF0" w14:textId="77777777" w:rsidR="00641656" w:rsidRPr="00641656" w:rsidRDefault="00641656" w:rsidP="00641656">
      <w:pPr>
        <w:ind w:firstLine="432"/>
        <w:jc w:val="both"/>
        <w:rPr>
          <w:rFonts w:cs="Times New Roman"/>
          <w:szCs w:val="24"/>
        </w:rPr>
      </w:pPr>
      <w:r w:rsidRPr="00641656">
        <w:rPr>
          <w:rFonts w:cs="Times New Roman"/>
          <w:szCs w:val="24"/>
        </w:rPr>
        <w:t>However, the imaging signal must be interpreted carefully. A fluorescent label may dissociate from the carrier, persist after drug release, or be quenched in tissue. Therefore, imaging should ideally be complemented by direct drug quantification or another pharmacodynamic measurement.</w:t>
      </w:r>
    </w:p>
    <w:p w14:paraId="24BB23E5" w14:textId="77777777" w:rsidR="00641656" w:rsidRPr="00641656" w:rsidRDefault="00641656" w:rsidP="00641656">
      <w:pPr>
        <w:jc w:val="both"/>
        <w:rPr>
          <w:rFonts w:cs="Times New Roman"/>
          <w:szCs w:val="24"/>
        </w:rPr>
      </w:pPr>
      <w:r w:rsidRPr="00641656">
        <w:rPr>
          <w:rFonts w:cs="Times New Roman"/>
          <w:szCs w:val="24"/>
        </w:rPr>
        <w:br w:type="page"/>
      </w:r>
    </w:p>
    <w:p w14:paraId="3A5CBF57"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2.23 Fluorescence Imaging for Nanocarrier Tracking</w:t>
      </w:r>
    </w:p>
    <w:p w14:paraId="13253A76" w14:textId="77777777" w:rsidR="00641656" w:rsidRPr="00641656" w:rsidRDefault="00641656" w:rsidP="00641656">
      <w:pPr>
        <w:ind w:firstLine="432"/>
        <w:jc w:val="both"/>
        <w:rPr>
          <w:rFonts w:cs="Times New Roman"/>
          <w:szCs w:val="24"/>
        </w:rPr>
      </w:pPr>
      <w:r w:rsidRPr="00641656">
        <w:rPr>
          <w:rFonts w:cs="Times New Roman"/>
          <w:szCs w:val="24"/>
        </w:rPr>
        <w:t>Fluorescence imaging is widely used because it is relatively accessible and compatible with microscopy and small-animal optical imaging. Fluorescent probes can be incorporated into nanoparticles or attached to their surfaces. Signal intensity can then be used to follow distribution over time.</w:t>
      </w:r>
    </w:p>
    <w:p w14:paraId="164069C8" w14:textId="77777777" w:rsidR="00641656" w:rsidRPr="00641656" w:rsidRDefault="00641656" w:rsidP="00641656">
      <w:pPr>
        <w:ind w:firstLine="432"/>
        <w:jc w:val="both"/>
        <w:rPr>
          <w:rFonts w:cs="Times New Roman"/>
          <w:szCs w:val="24"/>
        </w:rPr>
      </w:pPr>
      <w:r w:rsidRPr="00641656">
        <w:rPr>
          <w:rFonts w:cs="Times New Roman"/>
          <w:szCs w:val="24"/>
        </w:rPr>
        <w:t>The principal limitations are tissue scattering, absorption, limited depth penetration, photobleaching, and probe leakage. The signal should therefore be interpreted as an indicator of labeled material rather than automatically as a quantitative measure of drug concentration.</w:t>
      </w:r>
    </w:p>
    <w:p w14:paraId="4026D7E0" w14:textId="77777777" w:rsidR="00641656" w:rsidRPr="00641656" w:rsidRDefault="00641656" w:rsidP="00641656">
      <w:pPr>
        <w:ind w:firstLine="432"/>
        <w:jc w:val="both"/>
        <w:rPr>
          <w:rFonts w:cs="Times New Roman"/>
          <w:szCs w:val="24"/>
        </w:rPr>
      </w:pPr>
      <w:r w:rsidRPr="00641656">
        <w:rPr>
          <w:rFonts w:cs="Times New Roman"/>
          <w:szCs w:val="24"/>
        </w:rPr>
        <w:t xml:space="preserve">For a </w:t>
      </w:r>
      <w:proofErr w:type="spellStart"/>
      <w:r w:rsidRPr="00641656">
        <w:rPr>
          <w:rFonts w:cs="Times New Roman"/>
          <w:szCs w:val="24"/>
        </w:rPr>
        <w:t>dendrimerosome</w:t>
      </w:r>
      <w:proofErr w:type="spellEnd"/>
      <w:r w:rsidRPr="00641656">
        <w:rPr>
          <w:rFonts w:cs="Times New Roman"/>
          <w:szCs w:val="24"/>
        </w:rPr>
        <w:t xml:space="preserve"> formulation, fluorescence microscopy can help determine whether particles are internalized by colorectal cancer cells. Whole-animal imaging, when ethically approved and technically available, can provide complementary information about systemic distribution. Controls should include free probe and blank carrier with probe where necessary.</w:t>
      </w:r>
    </w:p>
    <w:p w14:paraId="2D348B63" w14:textId="77777777" w:rsidR="00641656" w:rsidRPr="00641656" w:rsidRDefault="00641656" w:rsidP="00641656">
      <w:pPr>
        <w:jc w:val="both"/>
        <w:rPr>
          <w:rFonts w:cs="Times New Roman"/>
          <w:szCs w:val="24"/>
        </w:rPr>
      </w:pPr>
      <w:r w:rsidRPr="00641656">
        <w:rPr>
          <w:rFonts w:cs="Times New Roman"/>
          <w:szCs w:val="24"/>
        </w:rPr>
        <w:br w:type="page"/>
      </w:r>
    </w:p>
    <w:p w14:paraId="53D414BA"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2.24 In-Vitro Cytotoxicity Models</w:t>
      </w:r>
    </w:p>
    <w:p w14:paraId="0A2C1384" w14:textId="77777777" w:rsidR="00641656" w:rsidRPr="00641656" w:rsidRDefault="00641656" w:rsidP="00641656">
      <w:pPr>
        <w:ind w:firstLine="432"/>
        <w:jc w:val="both"/>
        <w:rPr>
          <w:rFonts w:cs="Times New Roman"/>
          <w:szCs w:val="24"/>
        </w:rPr>
      </w:pPr>
      <w:r w:rsidRPr="00641656">
        <w:rPr>
          <w:rFonts w:cs="Times New Roman"/>
          <w:szCs w:val="24"/>
        </w:rPr>
        <w:t>Cancer cell lines remain important for early nanomedicine screening because they provide reproducible models for comparing formulations. Colorectal cancer lines can represent different molecular backgrounds, allowing the formulation to be tested across heterogeneous phenotypes. However, cell lines lack the complete microenvironment of tumors.</w:t>
      </w:r>
    </w:p>
    <w:p w14:paraId="57F570AA" w14:textId="77777777" w:rsidR="00641656" w:rsidRPr="00641656" w:rsidRDefault="00641656" w:rsidP="00641656">
      <w:pPr>
        <w:ind w:firstLine="432"/>
        <w:jc w:val="both"/>
        <w:rPr>
          <w:rFonts w:cs="Times New Roman"/>
          <w:szCs w:val="24"/>
        </w:rPr>
      </w:pPr>
      <w:r w:rsidRPr="00641656">
        <w:rPr>
          <w:rFonts w:cs="Times New Roman"/>
          <w:szCs w:val="24"/>
        </w:rPr>
        <w:t>Viability assays such as MTT, resazurin, ATP-based luminescence, and live/dead staining measure different biological endpoints. Nanoparticles can interfere with optical assays, making formulation-only controls necessary. IC50 values should be calculated from multiple independent experiments and reported with appropriate variability.</w:t>
      </w:r>
    </w:p>
    <w:p w14:paraId="7DF00F0F" w14:textId="77777777" w:rsidR="00641656" w:rsidRPr="00641656" w:rsidRDefault="00641656" w:rsidP="00641656">
      <w:pPr>
        <w:ind w:firstLine="432"/>
        <w:jc w:val="both"/>
        <w:rPr>
          <w:rFonts w:cs="Times New Roman"/>
          <w:szCs w:val="24"/>
        </w:rPr>
      </w:pPr>
      <w:r w:rsidRPr="00641656">
        <w:rPr>
          <w:rFonts w:cs="Times New Roman"/>
          <w:szCs w:val="24"/>
        </w:rPr>
        <w:t xml:space="preserve">A useful experimental hierarchy compares untreated cells, blank </w:t>
      </w:r>
      <w:proofErr w:type="spellStart"/>
      <w:r w:rsidRPr="00641656">
        <w:rPr>
          <w:rFonts w:cs="Times New Roman"/>
          <w:szCs w:val="24"/>
        </w:rPr>
        <w:t>dendrimerosomes</w:t>
      </w:r>
      <w:proofErr w:type="spellEnd"/>
      <w:r w:rsidRPr="00641656">
        <w:rPr>
          <w:rFonts w:cs="Times New Roman"/>
          <w:szCs w:val="24"/>
        </w:rPr>
        <w:t xml:space="preserve">, free irinotecan, free sorafenib, free combination, single-drug </w:t>
      </w:r>
      <w:proofErr w:type="spellStart"/>
      <w:r w:rsidRPr="00641656">
        <w:rPr>
          <w:rFonts w:cs="Times New Roman"/>
          <w:szCs w:val="24"/>
        </w:rPr>
        <w:t>dendrimerosomes</w:t>
      </w:r>
      <w:proofErr w:type="spellEnd"/>
      <w:r w:rsidRPr="00641656">
        <w:rPr>
          <w:rFonts w:cs="Times New Roman"/>
          <w:szCs w:val="24"/>
        </w:rPr>
        <w:t xml:space="preserve">, and dual-drug </w:t>
      </w:r>
      <w:proofErr w:type="spellStart"/>
      <w:r w:rsidRPr="00641656">
        <w:rPr>
          <w:rFonts w:cs="Times New Roman"/>
          <w:szCs w:val="24"/>
        </w:rPr>
        <w:t>dendrimerosomes</w:t>
      </w:r>
      <w:proofErr w:type="spellEnd"/>
      <w:r w:rsidRPr="00641656">
        <w:rPr>
          <w:rFonts w:cs="Times New Roman"/>
          <w:szCs w:val="24"/>
        </w:rPr>
        <w:t>. This structure allows carrier and drug effects to be separated.</w:t>
      </w:r>
    </w:p>
    <w:p w14:paraId="7D7EA277" w14:textId="77777777" w:rsidR="00641656" w:rsidRPr="00641656" w:rsidRDefault="00641656" w:rsidP="00641656">
      <w:pPr>
        <w:jc w:val="both"/>
        <w:rPr>
          <w:rFonts w:cs="Times New Roman"/>
          <w:szCs w:val="24"/>
        </w:rPr>
      </w:pPr>
      <w:r w:rsidRPr="00641656">
        <w:rPr>
          <w:rFonts w:cs="Times New Roman"/>
          <w:szCs w:val="24"/>
        </w:rPr>
        <w:br w:type="page"/>
      </w:r>
    </w:p>
    <w:p w14:paraId="7E2B9E58"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2.25 Apoptosis and Cell-Cycle Evaluation</w:t>
      </w:r>
    </w:p>
    <w:p w14:paraId="6A66A48E" w14:textId="77777777" w:rsidR="00641656" w:rsidRPr="00641656" w:rsidRDefault="00641656" w:rsidP="00641656">
      <w:pPr>
        <w:ind w:firstLine="432"/>
        <w:jc w:val="both"/>
        <w:rPr>
          <w:rFonts w:cs="Times New Roman"/>
          <w:szCs w:val="24"/>
        </w:rPr>
      </w:pPr>
      <w:r w:rsidRPr="00641656">
        <w:rPr>
          <w:rFonts w:cs="Times New Roman"/>
          <w:szCs w:val="24"/>
        </w:rPr>
        <w:t>Cytotoxicity measurements identify whether cells lose viability but do not establish mechanism. Apoptosis assays, caspase measurements, mitochondrial potential, and cell-cycle analysis can provide mechanistic information. Because irinotecan induces replication-associated DNA damage, changes in cell-cycle progression and DNA-damage response are particularly relevant.</w:t>
      </w:r>
    </w:p>
    <w:p w14:paraId="7EC3CEE6" w14:textId="77777777" w:rsidR="00641656" w:rsidRPr="00641656" w:rsidRDefault="00641656" w:rsidP="00641656">
      <w:pPr>
        <w:ind w:firstLine="432"/>
        <w:jc w:val="both"/>
        <w:rPr>
          <w:rFonts w:cs="Times New Roman"/>
          <w:szCs w:val="24"/>
        </w:rPr>
      </w:pPr>
      <w:r w:rsidRPr="00641656">
        <w:rPr>
          <w:rFonts w:cs="Times New Roman"/>
          <w:szCs w:val="24"/>
        </w:rPr>
        <w:t>Sorafenib may alter signaling pathways that regulate proliferation and survival. Combination treatment can therefore produce changes in apoptosis that differ from either agent alone. Mechanistic assays should be selected according to the hypothesis and interpreted alongside cytotoxicity.</w:t>
      </w:r>
    </w:p>
    <w:p w14:paraId="38E53C4D" w14:textId="77777777" w:rsidR="00641656" w:rsidRPr="00641656" w:rsidRDefault="00641656" w:rsidP="00641656">
      <w:pPr>
        <w:ind w:firstLine="432"/>
        <w:jc w:val="both"/>
        <w:rPr>
          <w:rFonts w:cs="Times New Roman"/>
          <w:szCs w:val="24"/>
        </w:rPr>
      </w:pPr>
      <w:r w:rsidRPr="00641656">
        <w:rPr>
          <w:rFonts w:cs="Times New Roman"/>
          <w:szCs w:val="24"/>
        </w:rPr>
        <w:t>A formulation that increases apoptosis at the same nominal drug concentration may indicate improved intracellular delivery. However, the possibility of carrier-induced membrane damage must be excluded through blank-carrier controls.</w:t>
      </w:r>
    </w:p>
    <w:p w14:paraId="4D471B6E" w14:textId="77777777" w:rsidR="00641656" w:rsidRPr="00641656" w:rsidRDefault="00641656" w:rsidP="00641656">
      <w:pPr>
        <w:jc w:val="both"/>
        <w:rPr>
          <w:rFonts w:cs="Times New Roman"/>
          <w:szCs w:val="24"/>
        </w:rPr>
      </w:pPr>
      <w:r w:rsidRPr="00641656">
        <w:rPr>
          <w:rFonts w:cs="Times New Roman"/>
          <w:szCs w:val="24"/>
        </w:rPr>
        <w:br w:type="page"/>
      </w:r>
    </w:p>
    <w:p w14:paraId="3BF43369"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2.26 Pharmacokinetic Evaluation of Nanocarriers</w:t>
      </w:r>
    </w:p>
    <w:p w14:paraId="226524EE" w14:textId="77777777" w:rsidR="00641656" w:rsidRPr="00641656" w:rsidRDefault="00641656" w:rsidP="00641656">
      <w:pPr>
        <w:ind w:firstLine="432"/>
        <w:jc w:val="both"/>
        <w:rPr>
          <w:rFonts w:cs="Times New Roman"/>
          <w:szCs w:val="24"/>
        </w:rPr>
      </w:pPr>
      <w:r w:rsidRPr="00641656">
        <w:rPr>
          <w:rFonts w:cs="Times New Roman"/>
          <w:szCs w:val="24"/>
        </w:rPr>
        <w:t>Pharmacokinetic evaluation determines how formulation changes systemic exposure. Key parameters include maximum concentration, time to maximum concentration, area under the concentration–time curve, clearance, volume of distribution, and half-life. Nanocarriers can increase circulation time or alter tissue distribution, but the effect depends on carrier composition.</w:t>
      </w:r>
    </w:p>
    <w:p w14:paraId="1D467383" w14:textId="77777777" w:rsidR="00641656" w:rsidRPr="00641656" w:rsidRDefault="00641656" w:rsidP="00641656">
      <w:pPr>
        <w:ind w:firstLine="432"/>
        <w:jc w:val="both"/>
        <w:rPr>
          <w:rFonts w:cs="Times New Roman"/>
          <w:szCs w:val="24"/>
        </w:rPr>
      </w:pPr>
      <w:r w:rsidRPr="00641656">
        <w:rPr>
          <w:rFonts w:cs="Times New Roman"/>
          <w:szCs w:val="24"/>
        </w:rPr>
        <w:t>For dual-drug systems, each drug should be measured independently. A formulation may prolong irinotecan exposure without producing the same effect for sorafenib. If SN-38 is relevant to the pharmacodynamic hypothesis, it should also be considered.</w:t>
      </w:r>
    </w:p>
    <w:p w14:paraId="32CA3325" w14:textId="77777777" w:rsidR="00641656" w:rsidRPr="00641656" w:rsidRDefault="00641656" w:rsidP="00641656">
      <w:pPr>
        <w:ind w:firstLine="432"/>
        <w:jc w:val="both"/>
        <w:rPr>
          <w:rFonts w:cs="Times New Roman"/>
          <w:szCs w:val="24"/>
        </w:rPr>
      </w:pPr>
      <w:r w:rsidRPr="00641656">
        <w:rPr>
          <w:rFonts w:cs="Times New Roman"/>
          <w:szCs w:val="24"/>
        </w:rPr>
        <w:t>Pharmacokinetic results should be connected to formulation properties. Higher exposure without improved tumor distribution may not translate into efficacy, whereas increased tumor-to-plasma exposure could support the targeting hypothesis.</w:t>
      </w:r>
    </w:p>
    <w:p w14:paraId="1218E205" w14:textId="77777777" w:rsidR="00641656" w:rsidRPr="00641656" w:rsidRDefault="00641656" w:rsidP="00641656">
      <w:pPr>
        <w:jc w:val="both"/>
        <w:rPr>
          <w:rFonts w:cs="Times New Roman"/>
          <w:szCs w:val="24"/>
        </w:rPr>
      </w:pPr>
      <w:r w:rsidRPr="00641656">
        <w:rPr>
          <w:rFonts w:cs="Times New Roman"/>
          <w:szCs w:val="24"/>
        </w:rPr>
        <w:br w:type="page"/>
      </w:r>
    </w:p>
    <w:p w14:paraId="5FA3898B"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2.27 Biodistribution and Tumor Accumulation</w:t>
      </w:r>
    </w:p>
    <w:p w14:paraId="1FE08E63" w14:textId="77777777" w:rsidR="00641656" w:rsidRPr="00641656" w:rsidRDefault="00641656" w:rsidP="00641656">
      <w:pPr>
        <w:ind w:firstLine="432"/>
        <w:jc w:val="both"/>
        <w:rPr>
          <w:rFonts w:cs="Times New Roman"/>
          <w:szCs w:val="24"/>
        </w:rPr>
      </w:pPr>
      <w:r w:rsidRPr="00641656">
        <w:rPr>
          <w:rFonts w:cs="Times New Roman"/>
          <w:szCs w:val="24"/>
        </w:rPr>
        <w:t>Biodistribution studies determine where a nanocarrier or drug travels after administration. Imaging can provide spatial information, whereas tissue extraction followed by HPLC can provide drug concentration. The strongest evidence comes from combining both approaches.</w:t>
      </w:r>
    </w:p>
    <w:p w14:paraId="04C32D3B" w14:textId="77777777" w:rsidR="00641656" w:rsidRPr="00641656" w:rsidRDefault="00641656" w:rsidP="00641656">
      <w:pPr>
        <w:ind w:firstLine="432"/>
        <w:jc w:val="both"/>
        <w:rPr>
          <w:rFonts w:cs="Times New Roman"/>
          <w:szCs w:val="24"/>
        </w:rPr>
      </w:pPr>
      <w:r w:rsidRPr="00641656">
        <w:rPr>
          <w:rFonts w:cs="Times New Roman"/>
          <w:szCs w:val="24"/>
        </w:rPr>
        <w:t>The literature shows that nanoparticles often accumulate in liver and spleen because of mononuclear phagocyte system uptake. Tumor accumulation varies by tumor type and model. A high liver signal is therefore not necessarily a formulation failure; it reflects biological clearance. The question is whether tumor delivery is sufficient relative to healthy-tissue exposure.</w:t>
      </w:r>
    </w:p>
    <w:p w14:paraId="4EAAEBED" w14:textId="77777777" w:rsidR="00641656" w:rsidRPr="00641656" w:rsidRDefault="00641656" w:rsidP="00641656">
      <w:pPr>
        <w:ind w:firstLine="432"/>
        <w:jc w:val="both"/>
        <w:rPr>
          <w:rFonts w:cs="Times New Roman"/>
          <w:szCs w:val="24"/>
        </w:rPr>
      </w:pPr>
      <w:r w:rsidRPr="00641656">
        <w:rPr>
          <w:rFonts w:cs="Times New Roman"/>
          <w:szCs w:val="24"/>
        </w:rPr>
        <w:t xml:space="preserve">For a </w:t>
      </w:r>
      <w:proofErr w:type="spellStart"/>
      <w:r w:rsidRPr="00641656">
        <w:rPr>
          <w:rFonts w:cs="Times New Roman"/>
          <w:szCs w:val="24"/>
        </w:rPr>
        <w:t>theranostic</w:t>
      </w:r>
      <w:proofErr w:type="spellEnd"/>
      <w:r w:rsidRPr="00641656">
        <w:rPr>
          <w:rFonts w:cs="Times New Roman"/>
          <w:szCs w:val="24"/>
        </w:rPr>
        <w:t xml:space="preserve"> formulation, the relationship between imaging signal and drug concentration should be evaluated. If the probe remains associated with the carrier, imaging may serve as a surrogate for carrier distribution. If it dissociates, the interpretation changes.</w:t>
      </w:r>
    </w:p>
    <w:p w14:paraId="0E29C57B" w14:textId="77777777" w:rsidR="00641656" w:rsidRPr="00641656" w:rsidRDefault="00641656" w:rsidP="00641656">
      <w:pPr>
        <w:jc w:val="both"/>
        <w:rPr>
          <w:rFonts w:cs="Times New Roman"/>
          <w:szCs w:val="24"/>
        </w:rPr>
      </w:pPr>
      <w:r w:rsidRPr="00641656">
        <w:rPr>
          <w:rFonts w:cs="Times New Roman"/>
          <w:szCs w:val="24"/>
        </w:rPr>
        <w:br w:type="page"/>
      </w:r>
    </w:p>
    <w:p w14:paraId="7389C61D"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2.28 Safety and Translational Considerations</w:t>
      </w:r>
    </w:p>
    <w:p w14:paraId="07823CDA" w14:textId="77777777" w:rsidR="00641656" w:rsidRPr="00641656" w:rsidRDefault="00641656" w:rsidP="00641656">
      <w:pPr>
        <w:ind w:firstLine="432"/>
        <w:jc w:val="both"/>
        <w:rPr>
          <w:rFonts w:cs="Times New Roman"/>
          <w:szCs w:val="24"/>
        </w:rPr>
      </w:pPr>
      <w:r w:rsidRPr="00641656">
        <w:rPr>
          <w:rFonts w:cs="Times New Roman"/>
          <w:szCs w:val="24"/>
        </w:rPr>
        <w:t>Clinical translation of nanomedicines depends on more than efficacy. Manufacturing reproducibility, sterility, endotoxin control, residual solvent, particle-size distribution, stability, and scale-up all influence development. Regulatory agencies require evidence that critical quality attributes remain controlled.</w:t>
      </w:r>
    </w:p>
    <w:p w14:paraId="2A65237B" w14:textId="77777777" w:rsidR="00641656" w:rsidRPr="00641656" w:rsidRDefault="00641656" w:rsidP="00641656">
      <w:pPr>
        <w:ind w:firstLine="432"/>
        <w:jc w:val="both"/>
        <w:rPr>
          <w:rFonts w:cs="Times New Roman"/>
          <w:szCs w:val="24"/>
        </w:rPr>
      </w:pPr>
      <w:proofErr w:type="spellStart"/>
      <w:r w:rsidRPr="00641656">
        <w:rPr>
          <w:rFonts w:cs="Times New Roman"/>
          <w:szCs w:val="24"/>
        </w:rPr>
        <w:t>Dendrimerosomes</w:t>
      </w:r>
      <w:proofErr w:type="spellEnd"/>
      <w:r w:rsidRPr="00641656">
        <w:rPr>
          <w:rFonts w:cs="Times New Roman"/>
          <w:szCs w:val="24"/>
        </w:rPr>
        <w:t xml:space="preserve"> are promising but relatively less mature than liposomes. Their molecular precision can be an advantage for reproducibility, but synthesis and assembly may be more complex. A translational program should therefore establish a robust manufacturing process early.</w:t>
      </w:r>
    </w:p>
    <w:p w14:paraId="050EE693" w14:textId="77777777" w:rsidR="00641656" w:rsidRPr="00641656" w:rsidRDefault="00641656" w:rsidP="00641656">
      <w:pPr>
        <w:ind w:firstLine="432"/>
        <w:jc w:val="both"/>
        <w:rPr>
          <w:rFonts w:cs="Times New Roman"/>
          <w:szCs w:val="24"/>
        </w:rPr>
      </w:pPr>
      <w:r w:rsidRPr="00641656">
        <w:rPr>
          <w:rFonts w:cs="Times New Roman"/>
          <w:szCs w:val="24"/>
        </w:rPr>
        <w:t>The literature on nanomedicine translation emphasizes that successful products generally require close integration of chemistry, manufacturing, characterization, pharmacology, and toxicology (Bobo et al., 2016; Mitchell et al., 2021).</w:t>
      </w:r>
    </w:p>
    <w:p w14:paraId="27B0546B" w14:textId="77777777" w:rsidR="00641656" w:rsidRPr="00641656" w:rsidRDefault="00641656" w:rsidP="00641656">
      <w:pPr>
        <w:jc w:val="both"/>
        <w:rPr>
          <w:rFonts w:cs="Times New Roman"/>
          <w:szCs w:val="24"/>
        </w:rPr>
      </w:pPr>
      <w:r w:rsidRPr="00641656">
        <w:rPr>
          <w:rFonts w:cs="Times New Roman"/>
          <w:szCs w:val="24"/>
        </w:rPr>
        <w:br w:type="page"/>
      </w:r>
    </w:p>
    <w:p w14:paraId="32A35D7F"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2.29 Critical Synthesis of the Literature</w:t>
      </w:r>
    </w:p>
    <w:p w14:paraId="404695B2" w14:textId="77777777" w:rsidR="00641656" w:rsidRPr="00641656" w:rsidRDefault="00641656" w:rsidP="00641656">
      <w:pPr>
        <w:ind w:firstLine="432"/>
        <w:jc w:val="both"/>
        <w:rPr>
          <w:rFonts w:cs="Times New Roman"/>
          <w:szCs w:val="24"/>
        </w:rPr>
      </w:pPr>
      <w:r w:rsidRPr="00641656">
        <w:rPr>
          <w:rFonts w:cs="Times New Roman"/>
          <w:szCs w:val="24"/>
        </w:rPr>
        <w:t xml:space="preserve">The literature supports several elements of the proposed research strongly. Irinotecan has a well-established pharmacological rationale and has already been successfully formulated in nanocarrier systems. Sorafenib is a validated </w:t>
      </w:r>
      <w:proofErr w:type="spellStart"/>
      <w:r w:rsidRPr="00641656">
        <w:rPr>
          <w:rFonts w:cs="Times New Roman"/>
          <w:szCs w:val="24"/>
        </w:rPr>
        <w:t>multikinase</w:t>
      </w:r>
      <w:proofErr w:type="spellEnd"/>
      <w:r w:rsidRPr="00641656">
        <w:rPr>
          <w:rFonts w:cs="Times New Roman"/>
          <w:szCs w:val="24"/>
        </w:rPr>
        <w:t xml:space="preserve"> inhibitor whose hydrophobicity makes it suitable for membrane-associated nanocarrier delivery. </w:t>
      </w:r>
      <w:proofErr w:type="spellStart"/>
      <w:r w:rsidRPr="00641656">
        <w:rPr>
          <w:rFonts w:cs="Times New Roman"/>
          <w:szCs w:val="24"/>
        </w:rPr>
        <w:t>Dendrimersomes</w:t>
      </w:r>
      <w:proofErr w:type="spellEnd"/>
      <w:r w:rsidRPr="00641656">
        <w:rPr>
          <w:rFonts w:cs="Times New Roman"/>
          <w:szCs w:val="24"/>
        </w:rPr>
        <w:t xml:space="preserve"> provide a relatively new vesicular architecture with tunable molecular design. Combination </w:t>
      </w:r>
      <w:proofErr w:type="spellStart"/>
      <w:r w:rsidRPr="00641656">
        <w:rPr>
          <w:rFonts w:cs="Times New Roman"/>
          <w:szCs w:val="24"/>
        </w:rPr>
        <w:t>nanotherapy</w:t>
      </w:r>
      <w:proofErr w:type="spellEnd"/>
      <w:r w:rsidRPr="00641656">
        <w:rPr>
          <w:rFonts w:cs="Times New Roman"/>
          <w:szCs w:val="24"/>
        </w:rPr>
        <w:t xml:space="preserve"> offers a strategy for synchronizing exposure. </w:t>
      </w:r>
      <w:proofErr w:type="spellStart"/>
      <w:r w:rsidRPr="00641656">
        <w:rPr>
          <w:rFonts w:cs="Times New Roman"/>
          <w:szCs w:val="24"/>
        </w:rPr>
        <w:t>Theranostics</w:t>
      </w:r>
      <w:proofErr w:type="spellEnd"/>
      <w:r w:rsidRPr="00641656">
        <w:rPr>
          <w:rFonts w:cs="Times New Roman"/>
          <w:szCs w:val="24"/>
        </w:rPr>
        <w:t xml:space="preserve"> can provide evidence about distribution.</w:t>
      </w:r>
    </w:p>
    <w:p w14:paraId="6EE9AF38" w14:textId="77777777" w:rsidR="00641656" w:rsidRPr="00641656" w:rsidRDefault="00641656" w:rsidP="00641656">
      <w:pPr>
        <w:ind w:firstLine="432"/>
        <w:jc w:val="both"/>
        <w:rPr>
          <w:rFonts w:cs="Times New Roman"/>
          <w:szCs w:val="24"/>
        </w:rPr>
      </w:pPr>
      <w:r w:rsidRPr="00641656">
        <w:rPr>
          <w:rFonts w:cs="Times New Roman"/>
          <w:szCs w:val="24"/>
        </w:rPr>
        <w:t xml:space="preserve">At the same time, the literature reveals uncertainties. The interaction between irinotecan and sorafenib is likely to depend on concentration and biological context. Co-loading may not automatically improve synergy. EPR-mediated targeting is heterogeneous. Imaging may not perfectly represent drug distribution. </w:t>
      </w:r>
      <w:proofErr w:type="spellStart"/>
      <w:r w:rsidRPr="00641656">
        <w:rPr>
          <w:rFonts w:cs="Times New Roman"/>
          <w:szCs w:val="24"/>
        </w:rPr>
        <w:t>Dendrimerosome</w:t>
      </w:r>
      <w:proofErr w:type="spellEnd"/>
      <w:r w:rsidRPr="00641656">
        <w:rPr>
          <w:rFonts w:cs="Times New Roman"/>
          <w:szCs w:val="24"/>
        </w:rPr>
        <w:t xml:space="preserve"> stability and scale-up require further study.</w:t>
      </w:r>
    </w:p>
    <w:p w14:paraId="15F3E438" w14:textId="77777777" w:rsidR="00641656" w:rsidRPr="00641656" w:rsidRDefault="00641656" w:rsidP="00641656">
      <w:pPr>
        <w:ind w:firstLine="432"/>
        <w:jc w:val="both"/>
        <w:rPr>
          <w:rFonts w:cs="Times New Roman"/>
          <w:szCs w:val="24"/>
        </w:rPr>
      </w:pPr>
      <w:r w:rsidRPr="00641656">
        <w:rPr>
          <w:rFonts w:cs="Times New Roman"/>
          <w:szCs w:val="24"/>
        </w:rPr>
        <w:t>These uncertainties define the research opportunity. Rather than asking only whether a new nanoparticle can be made, the proposed work asks whether the formulation can be optimized, characterized, measured, and biologically justified as an integrated therapeutic system.</w:t>
      </w:r>
    </w:p>
    <w:p w14:paraId="4886E8F9" w14:textId="77777777" w:rsidR="00641656" w:rsidRPr="00641656" w:rsidRDefault="00641656" w:rsidP="00641656">
      <w:pPr>
        <w:jc w:val="both"/>
        <w:rPr>
          <w:rFonts w:cs="Times New Roman"/>
          <w:szCs w:val="24"/>
        </w:rPr>
      </w:pPr>
      <w:r w:rsidRPr="00641656">
        <w:rPr>
          <w:rFonts w:cs="Times New Roman"/>
          <w:szCs w:val="24"/>
        </w:rPr>
        <w:br w:type="page"/>
      </w:r>
    </w:p>
    <w:p w14:paraId="7AA46DDF"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2.30 Identified Knowledge Gap and Chapter Conclusion</w:t>
      </w:r>
    </w:p>
    <w:p w14:paraId="111806EA" w14:textId="77777777" w:rsidR="00641656" w:rsidRPr="00641656" w:rsidRDefault="00641656" w:rsidP="00641656">
      <w:pPr>
        <w:ind w:firstLine="432"/>
        <w:jc w:val="both"/>
        <w:rPr>
          <w:rFonts w:cs="Times New Roman"/>
          <w:szCs w:val="24"/>
        </w:rPr>
      </w:pPr>
      <w:r w:rsidRPr="00641656">
        <w:rPr>
          <w:rFonts w:cs="Times New Roman"/>
          <w:szCs w:val="24"/>
        </w:rPr>
        <w:t xml:space="preserve">The reviewed literature identifies a specific gap at the intersection of dual-drug delivery, </w:t>
      </w:r>
      <w:proofErr w:type="spellStart"/>
      <w:r w:rsidRPr="00641656">
        <w:rPr>
          <w:rFonts w:cs="Times New Roman"/>
          <w:szCs w:val="24"/>
        </w:rPr>
        <w:t>dendrimerosome</w:t>
      </w:r>
      <w:proofErr w:type="spellEnd"/>
      <w:r w:rsidRPr="00641656">
        <w:rPr>
          <w:rFonts w:cs="Times New Roman"/>
          <w:szCs w:val="24"/>
        </w:rPr>
        <w:t xml:space="preserve"> formulation, and </w:t>
      </w:r>
      <w:proofErr w:type="spellStart"/>
      <w:r w:rsidRPr="00641656">
        <w:rPr>
          <w:rFonts w:cs="Times New Roman"/>
          <w:szCs w:val="24"/>
        </w:rPr>
        <w:t>theranostic</w:t>
      </w:r>
      <w:proofErr w:type="spellEnd"/>
      <w:r w:rsidRPr="00641656">
        <w:rPr>
          <w:rFonts w:cs="Times New Roman"/>
          <w:szCs w:val="24"/>
        </w:rPr>
        <w:t xml:space="preserve"> evaluation. Although </w:t>
      </w:r>
      <w:proofErr w:type="spellStart"/>
      <w:r w:rsidRPr="00641656">
        <w:rPr>
          <w:rFonts w:cs="Times New Roman"/>
          <w:szCs w:val="24"/>
        </w:rPr>
        <w:t>dendrimersomes</w:t>
      </w:r>
      <w:proofErr w:type="spellEnd"/>
      <w:r w:rsidRPr="00641656">
        <w:rPr>
          <w:rFonts w:cs="Times New Roman"/>
          <w:szCs w:val="24"/>
        </w:rPr>
        <w:t xml:space="preserve"> have been established as self-assembled vesicles and have attracted interest for biomedical applications, the systematic co-loading of irinotecan and sorafenib, with explicit control of drug ratio, release, cellular response, and imaging, remains insufficiently characterized.</w:t>
      </w:r>
    </w:p>
    <w:p w14:paraId="61CDFF12" w14:textId="77777777" w:rsidR="00641656" w:rsidRPr="00641656" w:rsidRDefault="00641656" w:rsidP="00641656">
      <w:pPr>
        <w:ind w:firstLine="432"/>
        <w:jc w:val="both"/>
        <w:rPr>
          <w:rFonts w:cs="Times New Roman"/>
          <w:szCs w:val="24"/>
        </w:rPr>
      </w:pPr>
      <w:r w:rsidRPr="00641656">
        <w:rPr>
          <w:rFonts w:cs="Times New Roman"/>
          <w:szCs w:val="24"/>
        </w:rPr>
        <w:t>The gap is not simply the absence of a particular formulation. More importantly, there is a need for an integrated development framework in which formulation variables are connected to measurable quality attributes and biological outcomes. The proposed research addresses this need by combining analytical development, formulation optimization, physicochemical characterization, release, stability, cellular assays, combination analysis, and imaging.</w:t>
      </w:r>
    </w:p>
    <w:p w14:paraId="36BF3AFE" w14:textId="77777777" w:rsidR="00641656" w:rsidRPr="00641656" w:rsidRDefault="00641656" w:rsidP="00641656">
      <w:pPr>
        <w:ind w:firstLine="432"/>
        <w:jc w:val="both"/>
        <w:rPr>
          <w:rFonts w:cs="Times New Roman"/>
          <w:szCs w:val="24"/>
        </w:rPr>
      </w:pPr>
      <w:r w:rsidRPr="00641656">
        <w:rPr>
          <w:rFonts w:cs="Times New Roman"/>
          <w:szCs w:val="24"/>
        </w:rPr>
        <w:t xml:space="preserve">The literature also supports a cautious interpretation of tumor targeting. EPR is a useful biological concept but not a guaranteed clinical mechanism. </w:t>
      </w:r>
      <w:proofErr w:type="spellStart"/>
      <w:r w:rsidRPr="00641656">
        <w:rPr>
          <w:rFonts w:cs="Times New Roman"/>
          <w:szCs w:val="24"/>
        </w:rPr>
        <w:t>Theranostic</w:t>
      </w:r>
      <w:proofErr w:type="spellEnd"/>
      <w:r w:rsidRPr="00641656">
        <w:rPr>
          <w:rFonts w:cs="Times New Roman"/>
          <w:szCs w:val="24"/>
        </w:rPr>
        <w:t xml:space="preserve"> imaging can help overcome this limitation by making distribution measurable. The proposed platform therefore represents a testable hypothesis in cancer nanomedicine rather than an assumption of universal nanoparticle targeting.</w:t>
      </w:r>
    </w:p>
    <w:p w14:paraId="6146F9DD" w14:textId="77777777" w:rsidR="00641656" w:rsidRPr="00641656" w:rsidRDefault="00641656" w:rsidP="00641656">
      <w:pPr>
        <w:ind w:firstLine="432"/>
        <w:jc w:val="both"/>
        <w:rPr>
          <w:rFonts w:cs="Times New Roman"/>
          <w:szCs w:val="24"/>
        </w:rPr>
      </w:pPr>
      <w:r w:rsidRPr="00641656">
        <w:rPr>
          <w:rFonts w:cs="Times New Roman"/>
          <w:szCs w:val="24"/>
        </w:rPr>
        <w:t>Together, Chapters 1 and 2 establish the scientific basis for the subsequent experimental chapters. The methods should be designed to answer the identified questions directly and to preserve the distinction between formulation quality, delivery, pharmacological activity, and clinical relevance.</w:t>
      </w:r>
    </w:p>
    <w:p w14:paraId="7AEC7A15" w14:textId="77777777" w:rsidR="00641656" w:rsidRPr="00641656" w:rsidRDefault="00641656" w:rsidP="00641656">
      <w:pPr>
        <w:jc w:val="both"/>
        <w:rPr>
          <w:rFonts w:cs="Times New Roman"/>
          <w:szCs w:val="24"/>
        </w:rPr>
      </w:pPr>
      <w:r w:rsidRPr="00641656">
        <w:rPr>
          <w:rFonts w:cs="Times New Roman"/>
          <w:szCs w:val="24"/>
        </w:rPr>
        <w:br w:type="page"/>
      </w:r>
    </w:p>
    <w:p w14:paraId="5D147FEC" w14:textId="77777777" w:rsidR="00641656" w:rsidRPr="00641656" w:rsidRDefault="00641656" w:rsidP="00641656">
      <w:pPr>
        <w:pStyle w:val="Heading2"/>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2.31 Summary Tables of the Reviewed Literature</w:t>
      </w:r>
    </w:p>
    <w:tbl>
      <w:tblPr>
        <w:tblStyle w:val="TableGrid"/>
        <w:tblW w:w="0" w:type="auto"/>
        <w:jc w:val="center"/>
        <w:tblLook w:val="04A0" w:firstRow="1" w:lastRow="0" w:firstColumn="1" w:lastColumn="0" w:noHBand="0" w:noVBand="1"/>
      </w:tblPr>
      <w:tblGrid>
        <w:gridCol w:w="1976"/>
        <w:gridCol w:w="2603"/>
        <w:gridCol w:w="2220"/>
        <w:gridCol w:w="2191"/>
      </w:tblGrid>
      <w:tr w:rsidR="00641656" w:rsidRPr="00641656" w14:paraId="0767363F" w14:textId="77777777" w:rsidTr="00E239B7">
        <w:trPr>
          <w:jc w:val="center"/>
        </w:trPr>
        <w:tc>
          <w:tcPr>
            <w:tcW w:w="1872" w:type="dxa"/>
            <w:vAlign w:val="center"/>
          </w:tcPr>
          <w:p w14:paraId="767C6A28" w14:textId="77777777" w:rsidR="00641656" w:rsidRPr="00641656" w:rsidRDefault="00641656" w:rsidP="00641656">
            <w:pPr>
              <w:jc w:val="both"/>
              <w:rPr>
                <w:rFonts w:cs="Times New Roman"/>
                <w:szCs w:val="24"/>
              </w:rPr>
            </w:pPr>
            <w:r w:rsidRPr="00641656">
              <w:rPr>
                <w:rFonts w:cs="Times New Roman"/>
                <w:b/>
                <w:szCs w:val="24"/>
              </w:rPr>
              <w:t>Platform / concept</w:t>
            </w:r>
          </w:p>
        </w:tc>
        <w:tc>
          <w:tcPr>
            <w:tcW w:w="2448" w:type="dxa"/>
            <w:vAlign w:val="center"/>
          </w:tcPr>
          <w:p w14:paraId="1E01702D" w14:textId="77777777" w:rsidR="00641656" w:rsidRPr="00641656" w:rsidRDefault="00641656" w:rsidP="00641656">
            <w:pPr>
              <w:jc w:val="both"/>
              <w:rPr>
                <w:rFonts w:cs="Times New Roman"/>
                <w:szCs w:val="24"/>
              </w:rPr>
            </w:pPr>
            <w:r w:rsidRPr="00641656">
              <w:rPr>
                <w:rFonts w:cs="Times New Roman"/>
                <w:b/>
                <w:szCs w:val="24"/>
              </w:rPr>
              <w:t>Primary strength</w:t>
            </w:r>
          </w:p>
        </w:tc>
        <w:tc>
          <w:tcPr>
            <w:tcW w:w="2448" w:type="dxa"/>
            <w:vAlign w:val="center"/>
          </w:tcPr>
          <w:p w14:paraId="38393AB3" w14:textId="77777777" w:rsidR="00641656" w:rsidRPr="00641656" w:rsidRDefault="00641656" w:rsidP="00641656">
            <w:pPr>
              <w:jc w:val="both"/>
              <w:rPr>
                <w:rFonts w:cs="Times New Roman"/>
                <w:szCs w:val="24"/>
              </w:rPr>
            </w:pPr>
            <w:r w:rsidRPr="00641656">
              <w:rPr>
                <w:rFonts w:cs="Times New Roman"/>
                <w:b/>
                <w:szCs w:val="24"/>
              </w:rPr>
              <w:t>Major limitation</w:t>
            </w:r>
          </w:p>
        </w:tc>
        <w:tc>
          <w:tcPr>
            <w:tcW w:w="2304" w:type="dxa"/>
            <w:vAlign w:val="center"/>
          </w:tcPr>
          <w:p w14:paraId="068DC264" w14:textId="77777777" w:rsidR="00641656" w:rsidRPr="00641656" w:rsidRDefault="00641656" w:rsidP="00641656">
            <w:pPr>
              <w:jc w:val="both"/>
              <w:rPr>
                <w:rFonts w:cs="Times New Roman"/>
                <w:szCs w:val="24"/>
              </w:rPr>
            </w:pPr>
            <w:r w:rsidRPr="00641656">
              <w:rPr>
                <w:rFonts w:cs="Times New Roman"/>
                <w:b/>
                <w:szCs w:val="24"/>
              </w:rPr>
              <w:t>Relevance to present thesis</w:t>
            </w:r>
          </w:p>
        </w:tc>
      </w:tr>
      <w:tr w:rsidR="00641656" w:rsidRPr="00641656" w14:paraId="24E45330" w14:textId="77777777" w:rsidTr="00E239B7">
        <w:trPr>
          <w:jc w:val="center"/>
        </w:trPr>
        <w:tc>
          <w:tcPr>
            <w:tcW w:w="1872" w:type="dxa"/>
            <w:vAlign w:val="center"/>
          </w:tcPr>
          <w:p w14:paraId="1D98C00B" w14:textId="77777777" w:rsidR="00641656" w:rsidRPr="00641656" w:rsidRDefault="00641656" w:rsidP="00641656">
            <w:pPr>
              <w:spacing w:line="240" w:lineRule="auto"/>
              <w:jc w:val="both"/>
              <w:rPr>
                <w:rFonts w:cs="Times New Roman"/>
                <w:szCs w:val="24"/>
              </w:rPr>
            </w:pPr>
            <w:r w:rsidRPr="00641656">
              <w:rPr>
                <w:rFonts w:cs="Times New Roman"/>
                <w:szCs w:val="24"/>
              </w:rPr>
              <w:t>Liposomes</w:t>
            </w:r>
          </w:p>
        </w:tc>
        <w:tc>
          <w:tcPr>
            <w:tcW w:w="2448" w:type="dxa"/>
            <w:vAlign w:val="center"/>
          </w:tcPr>
          <w:p w14:paraId="080C1F78" w14:textId="77777777" w:rsidR="00641656" w:rsidRPr="00641656" w:rsidRDefault="00641656" w:rsidP="00641656">
            <w:pPr>
              <w:spacing w:line="240" w:lineRule="auto"/>
              <w:jc w:val="both"/>
              <w:rPr>
                <w:rFonts w:cs="Times New Roman"/>
                <w:szCs w:val="24"/>
              </w:rPr>
            </w:pPr>
            <w:r w:rsidRPr="00641656">
              <w:rPr>
                <w:rFonts w:cs="Times New Roman"/>
                <w:szCs w:val="24"/>
              </w:rPr>
              <w:t>Clinical precedent; dual hydrophilic/hydrophobic loading</w:t>
            </w:r>
          </w:p>
        </w:tc>
        <w:tc>
          <w:tcPr>
            <w:tcW w:w="2448" w:type="dxa"/>
            <w:vAlign w:val="center"/>
          </w:tcPr>
          <w:p w14:paraId="541FFE48" w14:textId="77777777" w:rsidR="00641656" w:rsidRPr="00641656" w:rsidRDefault="00641656" w:rsidP="00641656">
            <w:pPr>
              <w:spacing w:line="240" w:lineRule="auto"/>
              <w:jc w:val="both"/>
              <w:rPr>
                <w:rFonts w:cs="Times New Roman"/>
                <w:szCs w:val="24"/>
              </w:rPr>
            </w:pPr>
            <w:r w:rsidRPr="00641656">
              <w:rPr>
                <w:rFonts w:cs="Times New Roman"/>
                <w:szCs w:val="24"/>
              </w:rPr>
              <w:t>Composition and stability can vary</w:t>
            </w:r>
          </w:p>
        </w:tc>
        <w:tc>
          <w:tcPr>
            <w:tcW w:w="2304" w:type="dxa"/>
            <w:vAlign w:val="center"/>
          </w:tcPr>
          <w:p w14:paraId="6A6AF921" w14:textId="77777777" w:rsidR="00641656" w:rsidRPr="00641656" w:rsidRDefault="00641656" w:rsidP="00641656">
            <w:pPr>
              <w:spacing w:line="240" w:lineRule="auto"/>
              <w:jc w:val="both"/>
              <w:rPr>
                <w:rFonts w:cs="Times New Roman"/>
                <w:szCs w:val="24"/>
              </w:rPr>
            </w:pPr>
            <w:r w:rsidRPr="00641656">
              <w:rPr>
                <w:rFonts w:cs="Times New Roman"/>
                <w:szCs w:val="24"/>
              </w:rPr>
              <w:t>Benchmark for vesicular delivery</w:t>
            </w:r>
          </w:p>
        </w:tc>
      </w:tr>
      <w:tr w:rsidR="00641656" w:rsidRPr="00641656" w14:paraId="523DB159" w14:textId="77777777" w:rsidTr="00E239B7">
        <w:trPr>
          <w:jc w:val="center"/>
        </w:trPr>
        <w:tc>
          <w:tcPr>
            <w:tcW w:w="1872" w:type="dxa"/>
            <w:vAlign w:val="center"/>
          </w:tcPr>
          <w:p w14:paraId="66581700" w14:textId="77777777" w:rsidR="00641656" w:rsidRPr="00641656" w:rsidRDefault="00641656" w:rsidP="00641656">
            <w:pPr>
              <w:spacing w:line="240" w:lineRule="auto"/>
              <w:jc w:val="both"/>
              <w:rPr>
                <w:rFonts w:cs="Times New Roman"/>
                <w:szCs w:val="24"/>
              </w:rPr>
            </w:pPr>
            <w:r w:rsidRPr="00641656">
              <w:rPr>
                <w:rFonts w:cs="Times New Roman"/>
                <w:szCs w:val="24"/>
              </w:rPr>
              <w:t>Polymeric nanoparticles</w:t>
            </w:r>
          </w:p>
        </w:tc>
        <w:tc>
          <w:tcPr>
            <w:tcW w:w="2448" w:type="dxa"/>
            <w:vAlign w:val="center"/>
          </w:tcPr>
          <w:p w14:paraId="5C774E8A" w14:textId="77777777" w:rsidR="00641656" w:rsidRPr="00641656" w:rsidRDefault="00641656" w:rsidP="00641656">
            <w:pPr>
              <w:spacing w:line="240" w:lineRule="auto"/>
              <w:jc w:val="both"/>
              <w:rPr>
                <w:rFonts w:cs="Times New Roman"/>
                <w:szCs w:val="24"/>
              </w:rPr>
            </w:pPr>
            <w:r w:rsidRPr="00641656">
              <w:rPr>
                <w:rFonts w:cs="Times New Roman"/>
                <w:szCs w:val="24"/>
              </w:rPr>
              <w:t>Controlled release and tunable degradation</w:t>
            </w:r>
          </w:p>
        </w:tc>
        <w:tc>
          <w:tcPr>
            <w:tcW w:w="2448" w:type="dxa"/>
            <w:vAlign w:val="center"/>
          </w:tcPr>
          <w:p w14:paraId="680CE16B" w14:textId="77777777" w:rsidR="00641656" w:rsidRPr="00641656" w:rsidRDefault="00641656" w:rsidP="00641656">
            <w:pPr>
              <w:spacing w:line="240" w:lineRule="auto"/>
              <w:jc w:val="both"/>
              <w:rPr>
                <w:rFonts w:cs="Times New Roman"/>
                <w:szCs w:val="24"/>
              </w:rPr>
            </w:pPr>
            <w:r w:rsidRPr="00641656">
              <w:rPr>
                <w:rFonts w:cs="Times New Roman"/>
                <w:szCs w:val="24"/>
              </w:rPr>
              <w:t>More complex materials; possible residuals</w:t>
            </w:r>
          </w:p>
        </w:tc>
        <w:tc>
          <w:tcPr>
            <w:tcW w:w="2304" w:type="dxa"/>
            <w:vAlign w:val="center"/>
          </w:tcPr>
          <w:p w14:paraId="5130A52E" w14:textId="77777777" w:rsidR="00641656" w:rsidRPr="00641656" w:rsidRDefault="00641656" w:rsidP="00641656">
            <w:pPr>
              <w:spacing w:line="240" w:lineRule="auto"/>
              <w:jc w:val="both"/>
              <w:rPr>
                <w:rFonts w:cs="Times New Roman"/>
                <w:szCs w:val="24"/>
              </w:rPr>
            </w:pPr>
            <w:r w:rsidRPr="00641656">
              <w:rPr>
                <w:rFonts w:cs="Times New Roman"/>
                <w:szCs w:val="24"/>
              </w:rPr>
              <w:t>Alternative nanocarrier comparator</w:t>
            </w:r>
          </w:p>
        </w:tc>
      </w:tr>
      <w:tr w:rsidR="00641656" w:rsidRPr="00641656" w14:paraId="35CF4C4C" w14:textId="77777777" w:rsidTr="00E239B7">
        <w:trPr>
          <w:jc w:val="center"/>
        </w:trPr>
        <w:tc>
          <w:tcPr>
            <w:tcW w:w="1872" w:type="dxa"/>
            <w:vAlign w:val="center"/>
          </w:tcPr>
          <w:p w14:paraId="23C982CB" w14:textId="77777777" w:rsidR="00641656" w:rsidRPr="00641656" w:rsidRDefault="00641656" w:rsidP="00641656">
            <w:pPr>
              <w:spacing w:line="240" w:lineRule="auto"/>
              <w:jc w:val="both"/>
              <w:rPr>
                <w:rFonts w:cs="Times New Roman"/>
                <w:szCs w:val="24"/>
              </w:rPr>
            </w:pPr>
            <w:r w:rsidRPr="00641656">
              <w:rPr>
                <w:rFonts w:cs="Times New Roman"/>
                <w:szCs w:val="24"/>
              </w:rPr>
              <w:t>Dendrimers</w:t>
            </w:r>
          </w:p>
        </w:tc>
        <w:tc>
          <w:tcPr>
            <w:tcW w:w="2448" w:type="dxa"/>
            <w:vAlign w:val="center"/>
          </w:tcPr>
          <w:p w14:paraId="04AB68F6" w14:textId="77777777" w:rsidR="00641656" w:rsidRPr="00641656" w:rsidRDefault="00641656" w:rsidP="00641656">
            <w:pPr>
              <w:spacing w:line="240" w:lineRule="auto"/>
              <w:jc w:val="both"/>
              <w:rPr>
                <w:rFonts w:cs="Times New Roman"/>
                <w:szCs w:val="24"/>
              </w:rPr>
            </w:pPr>
            <w:r w:rsidRPr="00641656">
              <w:rPr>
                <w:rFonts w:cs="Times New Roman"/>
                <w:szCs w:val="24"/>
              </w:rPr>
              <w:t>Defined architecture and high functional density</w:t>
            </w:r>
          </w:p>
        </w:tc>
        <w:tc>
          <w:tcPr>
            <w:tcW w:w="2448" w:type="dxa"/>
            <w:vAlign w:val="center"/>
          </w:tcPr>
          <w:p w14:paraId="3EE65639" w14:textId="77777777" w:rsidR="00641656" w:rsidRPr="00641656" w:rsidRDefault="00641656" w:rsidP="00641656">
            <w:pPr>
              <w:spacing w:line="240" w:lineRule="auto"/>
              <w:jc w:val="both"/>
              <w:rPr>
                <w:rFonts w:cs="Times New Roman"/>
                <w:szCs w:val="24"/>
              </w:rPr>
            </w:pPr>
            <w:r w:rsidRPr="00641656">
              <w:rPr>
                <w:rFonts w:cs="Times New Roman"/>
                <w:szCs w:val="24"/>
              </w:rPr>
              <w:t>Surface-charge-related toxicity</w:t>
            </w:r>
          </w:p>
        </w:tc>
        <w:tc>
          <w:tcPr>
            <w:tcW w:w="2304" w:type="dxa"/>
            <w:vAlign w:val="center"/>
          </w:tcPr>
          <w:p w14:paraId="25868CAB" w14:textId="77777777" w:rsidR="00641656" w:rsidRPr="00641656" w:rsidRDefault="00641656" w:rsidP="00641656">
            <w:pPr>
              <w:spacing w:line="240" w:lineRule="auto"/>
              <w:jc w:val="both"/>
              <w:rPr>
                <w:rFonts w:cs="Times New Roman"/>
                <w:szCs w:val="24"/>
              </w:rPr>
            </w:pPr>
            <w:r w:rsidRPr="00641656">
              <w:rPr>
                <w:rFonts w:cs="Times New Roman"/>
                <w:szCs w:val="24"/>
              </w:rPr>
              <w:t xml:space="preserve">Molecular building blocks for </w:t>
            </w:r>
            <w:proofErr w:type="spellStart"/>
            <w:r w:rsidRPr="00641656">
              <w:rPr>
                <w:rFonts w:cs="Times New Roman"/>
                <w:szCs w:val="24"/>
              </w:rPr>
              <w:t>dendrimerosomes</w:t>
            </w:r>
            <w:proofErr w:type="spellEnd"/>
          </w:p>
        </w:tc>
      </w:tr>
      <w:tr w:rsidR="00641656" w:rsidRPr="00641656" w14:paraId="591B7AD1" w14:textId="77777777" w:rsidTr="00E239B7">
        <w:trPr>
          <w:jc w:val="center"/>
        </w:trPr>
        <w:tc>
          <w:tcPr>
            <w:tcW w:w="1872" w:type="dxa"/>
            <w:vAlign w:val="center"/>
          </w:tcPr>
          <w:p w14:paraId="6CAEC0B8" w14:textId="77777777" w:rsidR="00641656" w:rsidRPr="00641656" w:rsidRDefault="00641656" w:rsidP="00641656">
            <w:pPr>
              <w:spacing w:line="240" w:lineRule="auto"/>
              <w:jc w:val="both"/>
              <w:rPr>
                <w:rFonts w:cs="Times New Roman"/>
                <w:szCs w:val="24"/>
              </w:rPr>
            </w:pPr>
            <w:r w:rsidRPr="00641656">
              <w:rPr>
                <w:rFonts w:cs="Times New Roman"/>
                <w:szCs w:val="24"/>
              </w:rPr>
              <w:t>Janus dendrimers</w:t>
            </w:r>
          </w:p>
        </w:tc>
        <w:tc>
          <w:tcPr>
            <w:tcW w:w="2448" w:type="dxa"/>
            <w:vAlign w:val="center"/>
          </w:tcPr>
          <w:p w14:paraId="07244D21" w14:textId="77777777" w:rsidR="00641656" w:rsidRPr="00641656" w:rsidRDefault="00641656" w:rsidP="00641656">
            <w:pPr>
              <w:spacing w:line="240" w:lineRule="auto"/>
              <w:jc w:val="both"/>
              <w:rPr>
                <w:rFonts w:cs="Times New Roman"/>
                <w:szCs w:val="24"/>
              </w:rPr>
            </w:pPr>
            <w:r w:rsidRPr="00641656">
              <w:rPr>
                <w:rFonts w:cs="Times New Roman"/>
                <w:szCs w:val="24"/>
              </w:rPr>
              <w:t>Amphiphilic self-assembly and molecular precision</w:t>
            </w:r>
          </w:p>
        </w:tc>
        <w:tc>
          <w:tcPr>
            <w:tcW w:w="2448" w:type="dxa"/>
            <w:vAlign w:val="center"/>
          </w:tcPr>
          <w:p w14:paraId="16AFAF40" w14:textId="77777777" w:rsidR="00641656" w:rsidRPr="00641656" w:rsidRDefault="00641656" w:rsidP="00641656">
            <w:pPr>
              <w:spacing w:line="240" w:lineRule="auto"/>
              <w:jc w:val="both"/>
              <w:rPr>
                <w:rFonts w:cs="Times New Roman"/>
                <w:szCs w:val="24"/>
              </w:rPr>
            </w:pPr>
            <w:r w:rsidRPr="00641656">
              <w:rPr>
                <w:rFonts w:cs="Times New Roman"/>
                <w:szCs w:val="24"/>
              </w:rPr>
              <w:t>Less mature translational evidence</w:t>
            </w:r>
          </w:p>
        </w:tc>
        <w:tc>
          <w:tcPr>
            <w:tcW w:w="2304" w:type="dxa"/>
            <w:vAlign w:val="center"/>
          </w:tcPr>
          <w:p w14:paraId="6CE2EFEE" w14:textId="77777777" w:rsidR="00641656" w:rsidRPr="00641656" w:rsidRDefault="00641656" w:rsidP="00641656">
            <w:pPr>
              <w:spacing w:line="240" w:lineRule="auto"/>
              <w:jc w:val="both"/>
              <w:rPr>
                <w:rFonts w:cs="Times New Roman"/>
                <w:szCs w:val="24"/>
              </w:rPr>
            </w:pPr>
            <w:r w:rsidRPr="00641656">
              <w:rPr>
                <w:rFonts w:cs="Times New Roman"/>
                <w:szCs w:val="24"/>
              </w:rPr>
              <w:t>Core platform</w:t>
            </w:r>
          </w:p>
        </w:tc>
      </w:tr>
      <w:tr w:rsidR="00641656" w:rsidRPr="00641656" w14:paraId="67170C4F" w14:textId="77777777" w:rsidTr="00E239B7">
        <w:trPr>
          <w:jc w:val="center"/>
        </w:trPr>
        <w:tc>
          <w:tcPr>
            <w:tcW w:w="1872" w:type="dxa"/>
            <w:vAlign w:val="center"/>
          </w:tcPr>
          <w:p w14:paraId="0E43796C" w14:textId="77777777" w:rsidR="00641656" w:rsidRPr="00641656" w:rsidRDefault="00641656" w:rsidP="00641656">
            <w:pPr>
              <w:spacing w:line="240" w:lineRule="auto"/>
              <w:jc w:val="both"/>
              <w:rPr>
                <w:rFonts w:cs="Times New Roman"/>
                <w:szCs w:val="24"/>
              </w:rPr>
            </w:pPr>
            <w:proofErr w:type="spellStart"/>
            <w:r w:rsidRPr="00641656">
              <w:rPr>
                <w:rFonts w:cs="Times New Roman"/>
                <w:szCs w:val="24"/>
              </w:rPr>
              <w:t>Dendrimerosomes</w:t>
            </w:r>
            <w:proofErr w:type="spellEnd"/>
          </w:p>
        </w:tc>
        <w:tc>
          <w:tcPr>
            <w:tcW w:w="2448" w:type="dxa"/>
            <w:vAlign w:val="center"/>
          </w:tcPr>
          <w:p w14:paraId="4D95E160" w14:textId="77777777" w:rsidR="00641656" w:rsidRPr="00641656" w:rsidRDefault="00641656" w:rsidP="00641656">
            <w:pPr>
              <w:spacing w:line="240" w:lineRule="auto"/>
              <w:jc w:val="both"/>
              <w:rPr>
                <w:rFonts w:cs="Times New Roman"/>
                <w:szCs w:val="24"/>
              </w:rPr>
            </w:pPr>
            <w:r w:rsidRPr="00641656">
              <w:rPr>
                <w:rFonts w:cs="Times New Roman"/>
                <w:szCs w:val="24"/>
              </w:rPr>
              <w:t>Vesicular architecture with tunable molecular design</w:t>
            </w:r>
          </w:p>
        </w:tc>
        <w:tc>
          <w:tcPr>
            <w:tcW w:w="2448" w:type="dxa"/>
            <w:vAlign w:val="center"/>
          </w:tcPr>
          <w:p w14:paraId="09F4021C" w14:textId="77777777" w:rsidR="00641656" w:rsidRPr="00641656" w:rsidRDefault="00641656" w:rsidP="00641656">
            <w:pPr>
              <w:spacing w:line="240" w:lineRule="auto"/>
              <w:jc w:val="both"/>
              <w:rPr>
                <w:rFonts w:cs="Times New Roman"/>
                <w:szCs w:val="24"/>
              </w:rPr>
            </w:pPr>
            <w:r w:rsidRPr="00641656">
              <w:rPr>
                <w:rFonts w:cs="Times New Roman"/>
                <w:szCs w:val="24"/>
              </w:rPr>
              <w:t>Limited large-scale pharmaceutical literature</w:t>
            </w:r>
          </w:p>
        </w:tc>
        <w:tc>
          <w:tcPr>
            <w:tcW w:w="2304" w:type="dxa"/>
            <w:vAlign w:val="center"/>
          </w:tcPr>
          <w:p w14:paraId="7101A4AA" w14:textId="77777777" w:rsidR="00641656" w:rsidRPr="00641656" w:rsidRDefault="00641656" w:rsidP="00641656">
            <w:pPr>
              <w:spacing w:line="240" w:lineRule="auto"/>
              <w:jc w:val="both"/>
              <w:rPr>
                <w:rFonts w:cs="Times New Roman"/>
                <w:szCs w:val="24"/>
              </w:rPr>
            </w:pPr>
            <w:r w:rsidRPr="00641656">
              <w:rPr>
                <w:rFonts w:cs="Times New Roman"/>
                <w:szCs w:val="24"/>
              </w:rPr>
              <w:t>Proposed carrier</w:t>
            </w:r>
          </w:p>
        </w:tc>
      </w:tr>
      <w:tr w:rsidR="00641656" w:rsidRPr="00641656" w14:paraId="7CFFA12C" w14:textId="77777777" w:rsidTr="00E239B7">
        <w:trPr>
          <w:jc w:val="center"/>
        </w:trPr>
        <w:tc>
          <w:tcPr>
            <w:tcW w:w="1872" w:type="dxa"/>
            <w:vAlign w:val="center"/>
          </w:tcPr>
          <w:p w14:paraId="7A402AF5" w14:textId="77777777" w:rsidR="00641656" w:rsidRPr="00641656" w:rsidRDefault="00641656" w:rsidP="00641656">
            <w:pPr>
              <w:spacing w:line="240" w:lineRule="auto"/>
              <w:jc w:val="both"/>
              <w:rPr>
                <w:rFonts w:cs="Times New Roman"/>
                <w:szCs w:val="24"/>
              </w:rPr>
            </w:pPr>
            <w:proofErr w:type="spellStart"/>
            <w:r w:rsidRPr="00641656">
              <w:rPr>
                <w:rFonts w:cs="Times New Roman"/>
                <w:szCs w:val="24"/>
              </w:rPr>
              <w:t>Theranostic</w:t>
            </w:r>
            <w:proofErr w:type="spellEnd"/>
            <w:r w:rsidRPr="00641656">
              <w:rPr>
                <w:rFonts w:cs="Times New Roman"/>
                <w:szCs w:val="24"/>
              </w:rPr>
              <w:t xml:space="preserve"> nanoparticles</w:t>
            </w:r>
          </w:p>
        </w:tc>
        <w:tc>
          <w:tcPr>
            <w:tcW w:w="2448" w:type="dxa"/>
            <w:vAlign w:val="center"/>
          </w:tcPr>
          <w:p w14:paraId="0ABCE74D" w14:textId="77777777" w:rsidR="00641656" w:rsidRPr="00641656" w:rsidRDefault="00641656" w:rsidP="00641656">
            <w:pPr>
              <w:spacing w:line="240" w:lineRule="auto"/>
              <w:jc w:val="both"/>
              <w:rPr>
                <w:rFonts w:cs="Times New Roman"/>
                <w:szCs w:val="24"/>
              </w:rPr>
            </w:pPr>
            <w:r w:rsidRPr="00641656">
              <w:rPr>
                <w:rFonts w:cs="Times New Roman"/>
                <w:szCs w:val="24"/>
              </w:rPr>
              <w:t>Links distribution with treatment</w:t>
            </w:r>
          </w:p>
        </w:tc>
        <w:tc>
          <w:tcPr>
            <w:tcW w:w="2448" w:type="dxa"/>
            <w:vAlign w:val="center"/>
          </w:tcPr>
          <w:p w14:paraId="0C0236D7" w14:textId="77777777" w:rsidR="00641656" w:rsidRPr="00641656" w:rsidRDefault="00641656" w:rsidP="00641656">
            <w:pPr>
              <w:spacing w:line="240" w:lineRule="auto"/>
              <w:jc w:val="both"/>
              <w:rPr>
                <w:rFonts w:cs="Times New Roman"/>
                <w:szCs w:val="24"/>
              </w:rPr>
            </w:pPr>
            <w:r w:rsidRPr="00641656">
              <w:rPr>
                <w:rFonts w:cs="Times New Roman"/>
                <w:szCs w:val="24"/>
              </w:rPr>
              <w:t>Probe can alter carrier behavior</w:t>
            </w:r>
          </w:p>
        </w:tc>
        <w:tc>
          <w:tcPr>
            <w:tcW w:w="2304" w:type="dxa"/>
            <w:vAlign w:val="center"/>
          </w:tcPr>
          <w:p w14:paraId="4BFE7C9E" w14:textId="77777777" w:rsidR="00641656" w:rsidRPr="00641656" w:rsidRDefault="00641656" w:rsidP="00641656">
            <w:pPr>
              <w:spacing w:line="240" w:lineRule="auto"/>
              <w:jc w:val="both"/>
              <w:rPr>
                <w:rFonts w:cs="Times New Roman"/>
                <w:szCs w:val="24"/>
              </w:rPr>
            </w:pPr>
            <w:r w:rsidRPr="00641656">
              <w:rPr>
                <w:rFonts w:cs="Times New Roman"/>
                <w:szCs w:val="24"/>
              </w:rPr>
              <w:t>Imaging component</w:t>
            </w:r>
          </w:p>
        </w:tc>
      </w:tr>
      <w:tr w:rsidR="00641656" w:rsidRPr="00641656" w14:paraId="5F2116F7" w14:textId="77777777" w:rsidTr="00E239B7">
        <w:trPr>
          <w:jc w:val="center"/>
        </w:trPr>
        <w:tc>
          <w:tcPr>
            <w:tcW w:w="1872" w:type="dxa"/>
            <w:vAlign w:val="center"/>
          </w:tcPr>
          <w:p w14:paraId="75D704C6" w14:textId="77777777" w:rsidR="00641656" w:rsidRPr="00641656" w:rsidRDefault="00641656" w:rsidP="00641656">
            <w:pPr>
              <w:spacing w:line="240" w:lineRule="auto"/>
              <w:jc w:val="both"/>
              <w:rPr>
                <w:rFonts w:cs="Times New Roman"/>
                <w:szCs w:val="24"/>
              </w:rPr>
            </w:pPr>
            <w:r w:rsidRPr="00641656">
              <w:rPr>
                <w:rFonts w:cs="Times New Roman"/>
                <w:szCs w:val="24"/>
              </w:rPr>
              <w:t>EPR-based targeting</w:t>
            </w:r>
          </w:p>
        </w:tc>
        <w:tc>
          <w:tcPr>
            <w:tcW w:w="2448" w:type="dxa"/>
            <w:vAlign w:val="center"/>
          </w:tcPr>
          <w:p w14:paraId="54DF206E" w14:textId="77777777" w:rsidR="00641656" w:rsidRPr="00641656" w:rsidRDefault="00641656" w:rsidP="00641656">
            <w:pPr>
              <w:spacing w:line="240" w:lineRule="auto"/>
              <w:jc w:val="both"/>
              <w:rPr>
                <w:rFonts w:cs="Times New Roman"/>
                <w:szCs w:val="24"/>
              </w:rPr>
            </w:pPr>
            <w:r w:rsidRPr="00641656">
              <w:rPr>
                <w:rFonts w:cs="Times New Roman"/>
                <w:szCs w:val="24"/>
              </w:rPr>
              <w:t>Provides rationale for passive tumor accumulation</w:t>
            </w:r>
          </w:p>
        </w:tc>
        <w:tc>
          <w:tcPr>
            <w:tcW w:w="2448" w:type="dxa"/>
            <w:vAlign w:val="center"/>
          </w:tcPr>
          <w:p w14:paraId="0EEC0996" w14:textId="77777777" w:rsidR="00641656" w:rsidRPr="00641656" w:rsidRDefault="00641656" w:rsidP="00641656">
            <w:pPr>
              <w:spacing w:line="240" w:lineRule="auto"/>
              <w:jc w:val="both"/>
              <w:rPr>
                <w:rFonts w:cs="Times New Roman"/>
                <w:szCs w:val="24"/>
              </w:rPr>
            </w:pPr>
            <w:r w:rsidRPr="00641656">
              <w:rPr>
                <w:rFonts w:cs="Times New Roman"/>
                <w:szCs w:val="24"/>
              </w:rPr>
              <w:t>Marked tumor/patient heterogeneity</w:t>
            </w:r>
          </w:p>
        </w:tc>
        <w:tc>
          <w:tcPr>
            <w:tcW w:w="2304" w:type="dxa"/>
            <w:vAlign w:val="center"/>
          </w:tcPr>
          <w:p w14:paraId="10386901" w14:textId="77777777" w:rsidR="00641656" w:rsidRPr="00641656" w:rsidRDefault="00641656" w:rsidP="00641656">
            <w:pPr>
              <w:spacing w:line="240" w:lineRule="auto"/>
              <w:jc w:val="both"/>
              <w:rPr>
                <w:rFonts w:cs="Times New Roman"/>
                <w:szCs w:val="24"/>
              </w:rPr>
            </w:pPr>
            <w:r w:rsidRPr="00641656">
              <w:rPr>
                <w:rFonts w:cs="Times New Roman"/>
                <w:szCs w:val="24"/>
              </w:rPr>
              <w:t>Targeting hypothesis to be empirically tested</w:t>
            </w:r>
          </w:p>
        </w:tc>
      </w:tr>
    </w:tbl>
    <w:p w14:paraId="137AE623" w14:textId="77777777" w:rsidR="00641656" w:rsidRPr="00641656" w:rsidRDefault="00641656" w:rsidP="00641656">
      <w:pPr>
        <w:jc w:val="both"/>
        <w:rPr>
          <w:rFonts w:cs="Times New Roman"/>
          <w:szCs w:val="24"/>
        </w:rPr>
      </w:pPr>
      <w:r w:rsidRPr="00641656">
        <w:rPr>
          <w:rFonts w:cs="Times New Roman"/>
          <w:szCs w:val="24"/>
        </w:rPr>
        <w:br w:type="page"/>
      </w:r>
    </w:p>
    <w:tbl>
      <w:tblPr>
        <w:tblStyle w:val="TableGrid"/>
        <w:tblW w:w="0" w:type="auto"/>
        <w:jc w:val="center"/>
        <w:tblLook w:val="04A0" w:firstRow="1" w:lastRow="0" w:firstColumn="1" w:lastColumn="0" w:noHBand="0" w:noVBand="1"/>
      </w:tblPr>
      <w:tblGrid>
        <w:gridCol w:w="2149"/>
        <w:gridCol w:w="3844"/>
        <w:gridCol w:w="2997"/>
      </w:tblGrid>
      <w:tr w:rsidR="00641656" w:rsidRPr="00641656" w14:paraId="07D5ADAB" w14:textId="77777777" w:rsidTr="00E239B7">
        <w:trPr>
          <w:jc w:val="center"/>
        </w:trPr>
        <w:tc>
          <w:tcPr>
            <w:tcW w:w="2160" w:type="dxa"/>
            <w:vAlign w:val="center"/>
          </w:tcPr>
          <w:p w14:paraId="6CDB8F79" w14:textId="77777777" w:rsidR="00641656" w:rsidRPr="00641656" w:rsidRDefault="00641656" w:rsidP="00641656">
            <w:pPr>
              <w:jc w:val="both"/>
              <w:rPr>
                <w:rFonts w:cs="Times New Roman"/>
                <w:szCs w:val="24"/>
              </w:rPr>
            </w:pPr>
            <w:r w:rsidRPr="00641656">
              <w:rPr>
                <w:rFonts w:cs="Times New Roman"/>
                <w:b/>
                <w:szCs w:val="24"/>
              </w:rPr>
              <w:lastRenderedPageBreak/>
              <w:t>Evidence domain</w:t>
            </w:r>
          </w:p>
        </w:tc>
        <w:tc>
          <w:tcPr>
            <w:tcW w:w="3888" w:type="dxa"/>
            <w:vAlign w:val="center"/>
          </w:tcPr>
          <w:p w14:paraId="3E1C0F17" w14:textId="77777777" w:rsidR="00641656" w:rsidRPr="00641656" w:rsidRDefault="00641656" w:rsidP="00641656">
            <w:pPr>
              <w:jc w:val="both"/>
              <w:rPr>
                <w:rFonts w:cs="Times New Roman"/>
                <w:szCs w:val="24"/>
              </w:rPr>
            </w:pPr>
            <w:r w:rsidRPr="00641656">
              <w:rPr>
                <w:rFonts w:cs="Times New Roman"/>
                <w:b/>
                <w:szCs w:val="24"/>
              </w:rPr>
              <w:t>Key literature message</w:t>
            </w:r>
          </w:p>
        </w:tc>
        <w:tc>
          <w:tcPr>
            <w:tcW w:w="3024" w:type="dxa"/>
            <w:vAlign w:val="center"/>
          </w:tcPr>
          <w:p w14:paraId="557BC231" w14:textId="77777777" w:rsidR="00641656" w:rsidRPr="00641656" w:rsidRDefault="00641656" w:rsidP="00641656">
            <w:pPr>
              <w:jc w:val="both"/>
              <w:rPr>
                <w:rFonts w:cs="Times New Roman"/>
                <w:szCs w:val="24"/>
              </w:rPr>
            </w:pPr>
            <w:r w:rsidRPr="00641656">
              <w:rPr>
                <w:rFonts w:cs="Times New Roman"/>
                <w:b/>
                <w:szCs w:val="24"/>
              </w:rPr>
              <w:t>Implication for study design</w:t>
            </w:r>
          </w:p>
        </w:tc>
      </w:tr>
      <w:tr w:rsidR="00641656" w:rsidRPr="00641656" w14:paraId="574B228D" w14:textId="77777777" w:rsidTr="00E239B7">
        <w:trPr>
          <w:jc w:val="center"/>
        </w:trPr>
        <w:tc>
          <w:tcPr>
            <w:tcW w:w="2160" w:type="dxa"/>
            <w:vAlign w:val="center"/>
          </w:tcPr>
          <w:p w14:paraId="2B7420C2" w14:textId="77777777" w:rsidR="00641656" w:rsidRPr="00641656" w:rsidRDefault="00641656" w:rsidP="00641656">
            <w:pPr>
              <w:spacing w:line="240" w:lineRule="auto"/>
              <w:jc w:val="both"/>
              <w:rPr>
                <w:rFonts w:cs="Times New Roman"/>
                <w:szCs w:val="24"/>
              </w:rPr>
            </w:pPr>
            <w:r w:rsidRPr="00641656">
              <w:rPr>
                <w:rFonts w:cs="Times New Roman"/>
                <w:szCs w:val="24"/>
              </w:rPr>
              <w:t>Irinotecan pharmacology</w:t>
            </w:r>
          </w:p>
        </w:tc>
        <w:tc>
          <w:tcPr>
            <w:tcW w:w="3888" w:type="dxa"/>
            <w:vAlign w:val="center"/>
          </w:tcPr>
          <w:p w14:paraId="21198FB1" w14:textId="77777777" w:rsidR="00641656" w:rsidRPr="00641656" w:rsidRDefault="00641656" w:rsidP="00641656">
            <w:pPr>
              <w:spacing w:line="240" w:lineRule="auto"/>
              <w:jc w:val="both"/>
              <w:rPr>
                <w:rFonts w:cs="Times New Roman"/>
                <w:szCs w:val="24"/>
              </w:rPr>
            </w:pPr>
            <w:r w:rsidRPr="00641656">
              <w:rPr>
                <w:rFonts w:cs="Times New Roman"/>
                <w:szCs w:val="24"/>
              </w:rPr>
              <w:t>SN-38 is a potent active metabolite; exposure varies</w:t>
            </w:r>
          </w:p>
        </w:tc>
        <w:tc>
          <w:tcPr>
            <w:tcW w:w="3024" w:type="dxa"/>
            <w:vAlign w:val="center"/>
          </w:tcPr>
          <w:p w14:paraId="6CAA2B47" w14:textId="77777777" w:rsidR="00641656" w:rsidRPr="00641656" w:rsidRDefault="00641656" w:rsidP="00641656">
            <w:pPr>
              <w:spacing w:line="240" w:lineRule="auto"/>
              <w:jc w:val="both"/>
              <w:rPr>
                <w:rFonts w:cs="Times New Roman"/>
                <w:szCs w:val="24"/>
              </w:rPr>
            </w:pPr>
            <w:r w:rsidRPr="00641656">
              <w:rPr>
                <w:rFonts w:cs="Times New Roman"/>
                <w:szCs w:val="24"/>
              </w:rPr>
              <w:t>Consider parent drug and active metabolite where relevant</w:t>
            </w:r>
          </w:p>
        </w:tc>
      </w:tr>
      <w:tr w:rsidR="00641656" w:rsidRPr="00641656" w14:paraId="44ACB341" w14:textId="77777777" w:rsidTr="00E239B7">
        <w:trPr>
          <w:jc w:val="center"/>
        </w:trPr>
        <w:tc>
          <w:tcPr>
            <w:tcW w:w="2160" w:type="dxa"/>
            <w:vAlign w:val="center"/>
          </w:tcPr>
          <w:p w14:paraId="78795A74" w14:textId="77777777" w:rsidR="00641656" w:rsidRPr="00641656" w:rsidRDefault="00641656" w:rsidP="00641656">
            <w:pPr>
              <w:spacing w:line="240" w:lineRule="auto"/>
              <w:jc w:val="both"/>
              <w:rPr>
                <w:rFonts w:cs="Times New Roman"/>
                <w:szCs w:val="24"/>
              </w:rPr>
            </w:pPr>
            <w:r w:rsidRPr="00641656">
              <w:rPr>
                <w:rFonts w:cs="Times New Roman"/>
                <w:szCs w:val="24"/>
              </w:rPr>
              <w:t>Sorafenib pharmacology</w:t>
            </w:r>
          </w:p>
        </w:tc>
        <w:tc>
          <w:tcPr>
            <w:tcW w:w="3888" w:type="dxa"/>
            <w:vAlign w:val="center"/>
          </w:tcPr>
          <w:p w14:paraId="62900F2C" w14:textId="77777777" w:rsidR="00641656" w:rsidRPr="00641656" w:rsidRDefault="00641656" w:rsidP="00641656">
            <w:pPr>
              <w:spacing w:line="240" w:lineRule="auto"/>
              <w:jc w:val="both"/>
              <w:rPr>
                <w:rFonts w:cs="Times New Roman"/>
                <w:szCs w:val="24"/>
              </w:rPr>
            </w:pPr>
            <w:proofErr w:type="spellStart"/>
            <w:r w:rsidRPr="00641656">
              <w:rPr>
                <w:rFonts w:cs="Times New Roman"/>
                <w:szCs w:val="24"/>
              </w:rPr>
              <w:t>Multikinase</w:t>
            </w:r>
            <w:proofErr w:type="spellEnd"/>
            <w:r w:rsidRPr="00641656">
              <w:rPr>
                <w:rFonts w:cs="Times New Roman"/>
                <w:szCs w:val="24"/>
              </w:rPr>
              <w:t xml:space="preserve"> inhibition; resistance and context dependence</w:t>
            </w:r>
          </w:p>
        </w:tc>
        <w:tc>
          <w:tcPr>
            <w:tcW w:w="3024" w:type="dxa"/>
            <w:vAlign w:val="center"/>
          </w:tcPr>
          <w:p w14:paraId="4BA2EEB7" w14:textId="77777777" w:rsidR="00641656" w:rsidRPr="00641656" w:rsidRDefault="00641656" w:rsidP="00641656">
            <w:pPr>
              <w:spacing w:line="240" w:lineRule="auto"/>
              <w:jc w:val="both"/>
              <w:rPr>
                <w:rFonts w:cs="Times New Roman"/>
                <w:szCs w:val="24"/>
              </w:rPr>
            </w:pPr>
            <w:r w:rsidRPr="00641656">
              <w:rPr>
                <w:rFonts w:cs="Times New Roman"/>
                <w:szCs w:val="24"/>
              </w:rPr>
              <w:t>Use mechanistic and combination controls</w:t>
            </w:r>
          </w:p>
        </w:tc>
      </w:tr>
      <w:tr w:rsidR="00641656" w:rsidRPr="00641656" w14:paraId="72593FFE" w14:textId="77777777" w:rsidTr="00E239B7">
        <w:trPr>
          <w:jc w:val="center"/>
        </w:trPr>
        <w:tc>
          <w:tcPr>
            <w:tcW w:w="2160" w:type="dxa"/>
            <w:vAlign w:val="center"/>
          </w:tcPr>
          <w:p w14:paraId="3065971C" w14:textId="77777777" w:rsidR="00641656" w:rsidRPr="00641656" w:rsidRDefault="00641656" w:rsidP="00641656">
            <w:pPr>
              <w:spacing w:line="240" w:lineRule="auto"/>
              <w:jc w:val="both"/>
              <w:rPr>
                <w:rFonts w:cs="Times New Roman"/>
                <w:szCs w:val="24"/>
              </w:rPr>
            </w:pPr>
            <w:r w:rsidRPr="00641656">
              <w:rPr>
                <w:rFonts w:cs="Times New Roman"/>
                <w:szCs w:val="24"/>
              </w:rPr>
              <w:t>Combination therapy</w:t>
            </w:r>
          </w:p>
        </w:tc>
        <w:tc>
          <w:tcPr>
            <w:tcW w:w="3888" w:type="dxa"/>
            <w:vAlign w:val="center"/>
          </w:tcPr>
          <w:p w14:paraId="4462E67D" w14:textId="77777777" w:rsidR="00641656" w:rsidRPr="00641656" w:rsidRDefault="00641656" w:rsidP="00641656">
            <w:pPr>
              <w:spacing w:line="240" w:lineRule="auto"/>
              <w:jc w:val="both"/>
              <w:rPr>
                <w:rFonts w:cs="Times New Roman"/>
                <w:szCs w:val="24"/>
              </w:rPr>
            </w:pPr>
            <w:r w:rsidRPr="00641656">
              <w:rPr>
                <w:rFonts w:cs="Times New Roman"/>
                <w:szCs w:val="24"/>
              </w:rPr>
              <w:t>Interaction varies with dose and effect level</w:t>
            </w:r>
          </w:p>
        </w:tc>
        <w:tc>
          <w:tcPr>
            <w:tcW w:w="3024" w:type="dxa"/>
            <w:vAlign w:val="center"/>
          </w:tcPr>
          <w:p w14:paraId="213110AB" w14:textId="77777777" w:rsidR="00641656" w:rsidRPr="00641656" w:rsidRDefault="00641656" w:rsidP="00641656">
            <w:pPr>
              <w:spacing w:line="240" w:lineRule="auto"/>
              <w:jc w:val="both"/>
              <w:rPr>
                <w:rFonts w:cs="Times New Roman"/>
                <w:szCs w:val="24"/>
              </w:rPr>
            </w:pPr>
            <w:r w:rsidRPr="00641656">
              <w:rPr>
                <w:rFonts w:cs="Times New Roman"/>
                <w:szCs w:val="24"/>
              </w:rPr>
              <w:t>Use concentration matrix rather than single combination</w:t>
            </w:r>
          </w:p>
        </w:tc>
      </w:tr>
      <w:tr w:rsidR="00641656" w:rsidRPr="00641656" w14:paraId="2E723059" w14:textId="77777777" w:rsidTr="00E239B7">
        <w:trPr>
          <w:jc w:val="center"/>
        </w:trPr>
        <w:tc>
          <w:tcPr>
            <w:tcW w:w="2160" w:type="dxa"/>
            <w:vAlign w:val="center"/>
          </w:tcPr>
          <w:p w14:paraId="64F8E53D" w14:textId="77777777" w:rsidR="00641656" w:rsidRPr="00641656" w:rsidRDefault="00641656" w:rsidP="00641656">
            <w:pPr>
              <w:spacing w:line="240" w:lineRule="auto"/>
              <w:jc w:val="both"/>
              <w:rPr>
                <w:rFonts w:cs="Times New Roman"/>
                <w:szCs w:val="24"/>
              </w:rPr>
            </w:pPr>
            <w:r w:rsidRPr="00641656">
              <w:rPr>
                <w:rFonts w:cs="Times New Roman"/>
                <w:szCs w:val="24"/>
              </w:rPr>
              <w:t>Nanocarrier biology</w:t>
            </w:r>
          </w:p>
        </w:tc>
        <w:tc>
          <w:tcPr>
            <w:tcW w:w="3888" w:type="dxa"/>
            <w:vAlign w:val="center"/>
          </w:tcPr>
          <w:p w14:paraId="3B7F39A4" w14:textId="77777777" w:rsidR="00641656" w:rsidRPr="00641656" w:rsidRDefault="00641656" w:rsidP="00641656">
            <w:pPr>
              <w:spacing w:line="240" w:lineRule="auto"/>
              <w:jc w:val="both"/>
              <w:rPr>
                <w:rFonts w:cs="Times New Roman"/>
                <w:szCs w:val="24"/>
              </w:rPr>
            </w:pPr>
            <w:r w:rsidRPr="00641656">
              <w:rPr>
                <w:rFonts w:cs="Times New Roman"/>
                <w:szCs w:val="24"/>
              </w:rPr>
              <w:t>Protein corona and MPS uptake affect fate</w:t>
            </w:r>
          </w:p>
        </w:tc>
        <w:tc>
          <w:tcPr>
            <w:tcW w:w="3024" w:type="dxa"/>
            <w:vAlign w:val="center"/>
          </w:tcPr>
          <w:p w14:paraId="1AD3124F" w14:textId="77777777" w:rsidR="00641656" w:rsidRPr="00641656" w:rsidRDefault="00641656" w:rsidP="00641656">
            <w:pPr>
              <w:spacing w:line="240" w:lineRule="auto"/>
              <w:jc w:val="both"/>
              <w:rPr>
                <w:rFonts w:cs="Times New Roman"/>
                <w:szCs w:val="24"/>
              </w:rPr>
            </w:pPr>
            <w:r w:rsidRPr="00641656">
              <w:rPr>
                <w:rFonts w:cs="Times New Roman"/>
                <w:szCs w:val="24"/>
              </w:rPr>
              <w:t>Standardize biological media and assess biodistribution</w:t>
            </w:r>
          </w:p>
        </w:tc>
      </w:tr>
      <w:tr w:rsidR="00641656" w:rsidRPr="00641656" w14:paraId="01F41521" w14:textId="77777777" w:rsidTr="00E239B7">
        <w:trPr>
          <w:jc w:val="center"/>
        </w:trPr>
        <w:tc>
          <w:tcPr>
            <w:tcW w:w="2160" w:type="dxa"/>
            <w:vAlign w:val="center"/>
          </w:tcPr>
          <w:p w14:paraId="6DB5A364" w14:textId="77777777" w:rsidR="00641656" w:rsidRPr="00641656" w:rsidRDefault="00641656" w:rsidP="00641656">
            <w:pPr>
              <w:spacing w:line="240" w:lineRule="auto"/>
              <w:jc w:val="both"/>
              <w:rPr>
                <w:rFonts w:cs="Times New Roman"/>
                <w:szCs w:val="24"/>
              </w:rPr>
            </w:pPr>
            <w:r w:rsidRPr="00641656">
              <w:rPr>
                <w:rFonts w:cs="Times New Roman"/>
                <w:szCs w:val="24"/>
              </w:rPr>
              <w:t>EPR</w:t>
            </w:r>
          </w:p>
        </w:tc>
        <w:tc>
          <w:tcPr>
            <w:tcW w:w="3888" w:type="dxa"/>
            <w:vAlign w:val="center"/>
          </w:tcPr>
          <w:p w14:paraId="6C4A2418" w14:textId="77777777" w:rsidR="00641656" w:rsidRPr="00641656" w:rsidRDefault="00641656" w:rsidP="00641656">
            <w:pPr>
              <w:spacing w:line="240" w:lineRule="auto"/>
              <w:jc w:val="both"/>
              <w:rPr>
                <w:rFonts w:cs="Times New Roman"/>
                <w:szCs w:val="24"/>
              </w:rPr>
            </w:pPr>
            <w:r w:rsidRPr="00641656">
              <w:rPr>
                <w:rFonts w:cs="Times New Roman"/>
                <w:szCs w:val="24"/>
              </w:rPr>
              <w:t>Tumor accumulation is heterogeneous</w:t>
            </w:r>
          </w:p>
        </w:tc>
        <w:tc>
          <w:tcPr>
            <w:tcW w:w="3024" w:type="dxa"/>
            <w:vAlign w:val="center"/>
          </w:tcPr>
          <w:p w14:paraId="735794CB" w14:textId="77777777" w:rsidR="00641656" w:rsidRPr="00641656" w:rsidRDefault="00641656" w:rsidP="00641656">
            <w:pPr>
              <w:spacing w:line="240" w:lineRule="auto"/>
              <w:jc w:val="both"/>
              <w:rPr>
                <w:rFonts w:cs="Times New Roman"/>
                <w:szCs w:val="24"/>
              </w:rPr>
            </w:pPr>
            <w:r w:rsidRPr="00641656">
              <w:rPr>
                <w:rFonts w:cs="Times New Roman"/>
                <w:szCs w:val="24"/>
              </w:rPr>
              <w:t>Do not assume passive targeting</w:t>
            </w:r>
          </w:p>
        </w:tc>
      </w:tr>
      <w:tr w:rsidR="00641656" w:rsidRPr="00641656" w14:paraId="79AB779E" w14:textId="77777777" w:rsidTr="00E239B7">
        <w:trPr>
          <w:jc w:val="center"/>
        </w:trPr>
        <w:tc>
          <w:tcPr>
            <w:tcW w:w="2160" w:type="dxa"/>
            <w:vAlign w:val="center"/>
          </w:tcPr>
          <w:p w14:paraId="0BDB3D54" w14:textId="77777777" w:rsidR="00641656" w:rsidRPr="00641656" w:rsidRDefault="00641656" w:rsidP="00641656">
            <w:pPr>
              <w:spacing w:line="240" w:lineRule="auto"/>
              <w:jc w:val="both"/>
              <w:rPr>
                <w:rFonts w:cs="Times New Roman"/>
                <w:szCs w:val="24"/>
              </w:rPr>
            </w:pPr>
            <w:proofErr w:type="spellStart"/>
            <w:r w:rsidRPr="00641656">
              <w:rPr>
                <w:rFonts w:cs="Times New Roman"/>
                <w:szCs w:val="24"/>
              </w:rPr>
              <w:t>Theranostics</w:t>
            </w:r>
            <w:proofErr w:type="spellEnd"/>
          </w:p>
        </w:tc>
        <w:tc>
          <w:tcPr>
            <w:tcW w:w="3888" w:type="dxa"/>
            <w:vAlign w:val="center"/>
          </w:tcPr>
          <w:p w14:paraId="74CC64AE" w14:textId="77777777" w:rsidR="00641656" w:rsidRPr="00641656" w:rsidRDefault="00641656" w:rsidP="00641656">
            <w:pPr>
              <w:spacing w:line="240" w:lineRule="auto"/>
              <w:jc w:val="both"/>
              <w:rPr>
                <w:rFonts w:cs="Times New Roman"/>
                <w:szCs w:val="24"/>
              </w:rPr>
            </w:pPr>
            <w:r w:rsidRPr="00641656">
              <w:rPr>
                <w:rFonts w:cs="Times New Roman"/>
                <w:szCs w:val="24"/>
              </w:rPr>
              <w:t>Imaging can reveal localization</w:t>
            </w:r>
          </w:p>
        </w:tc>
        <w:tc>
          <w:tcPr>
            <w:tcW w:w="3024" w:type="dxa"/>
            <w:vAlign w:val="center"/>
          </w:tcPr>
          <w:p w14:paraId="603F5BA3" w14:textId="77777777" w:rsidR="00641656" w:rsidRPr="00641656" w:rsidRDefault="00641656" w:rsidP="00641656">
            <w:pPr>
              <w:spacing w:line="240" w:lineRule="auto"/>
              <w:jc w:val="both"/>
              <w:rPr>
                <w:rFonts w:cs="Times New Roman"/>
                <w:szCs w:val="24"/>
              </w:rPr>
            </w:pPr>
            <w:r w:rsidRPr="00641656">
              <w:rPr>
                <w:rFonts w:cs="Times New Roman"/>
                <w:szCs w:val="24"/>
              </w:rPr>
              <w:t>Correlate imaging with drug measurements</w:t>
            </w:r>
          </w:p>
        </w:tc>
      </w:tr>
      <w:tr w:rsidR="00641656" w:rsidRPr="00641656" w14:paraId="739AEB37" w14:textId="77777777" w:rsidTr="00E239B7">
        <w:trPr>
          <w:jc w:val="center"/>
        </w:trPr>
        <w:tc>
          <w:tcPr>
            <w:tcW w:w="2160" w:type="dxa"/>
            <w:vAlign w:val="center"/>
          </w:tcPr>
          <w:p w14:paraId="4218EED2" w14:textId="77777777" w:rsidR="00641656" w:rsidRPr="00641656" w:rsidRDefault="00641656" w:rsidP="00641656">
            <w:pPr>
              <w:spacing w:line="240" w:lineRule="auto"/>
              <w:jc w:val="both"/>
              <w:rPr>
                <w:rFonts w:cs="Times New Roman"/>
                <w:szCs w:val="24"/>
              </w:rPr>
            </w:pPr>
            <w:r w:rsidRPr="00641656">
              <w:rPr>
                <w:rFonts w:cs="Times New Roman"/>
                <w:szCs w:val="24"/>
              </w:rPr>
              <w:t>Analytical validation</w:t>
            </w:r>
          </w:p>
        </w:tc>
        <w:tc>
          <w:tcPr>
            <w:tcW w:w="3888" w:type="dxa"/>
            <w:vAlign w:val="center"/>
          </w:tcPr>
          <w:p w14:paraId="518EC308" w14:textId="77777777" w:rsidR="00641656" w:rsidRPr="00641656" w:rsidRDefault="00641656" w:rsidP="00641656">
            <w:pPr>
              <w:spacing w:line="240" w:lineRule="auto"/>
              <w:jc w:val="both"/>
              <w:rPr>
                <w:rFonts w:cs="Times New Roman"/>
                <w:szCs w:val="24"/>
              </w:rPr>
            </w:pPr>
            <w:r w:rsidRPr="00641656">
              <w:rPr>
                <w:rFonts w:cs="Times New Roman"/>
                <w:szCs w:val="24"/>
              </w:rPr>
              <w:t>Specificity, accuracy, precision and range are essential</w:t>
            </w:r>
          </w:p>
        </w:tc>
        <w:tc>
          <w:tcPr>
            <w:tcW w:w="3024" w:type="dxa"/>
            <w:vAlign w:val="center"/>
          </w:tcPr>
          <w:p w14:paraId="6CDCF474" w14:textId="77777777" w:rsidR="00641656" w:rsidRPr="00641656" w:rsidRDefault="00641656" w:rsidP="00641656">
            <w:pPr>
              <w:spacing w:line="240" w:lineRule="auto"/>
              <w:jc w:val="both"/>
              <w:rPr>
                <w:rFonts w:cs="Times New Roman"/>
                <w:szCs w:val="24"/>
              </w:rPr>
            </w:pPr>
            <w:r w:rsidRPr="00641656">
              <w:rPr>
                <w:rFonts w:cs="Times New Roman"/>
                <w:szCs w:val="24"/>
              </w:rPr>
              <w:t>Validate HPLC before release/content studies</w:t>
            </w:r>
          </w:p>
        </w:tc>
      </w:tr>
    </w:tbl>
    <w:p w14:paraId="193E9E89" w14:textId="77777777" w:rsidR="00641656" w:rsidRPr="00641656" w:rsidRDefault="00641656" w:rsidP="00641656">
      <w:pPr>
        <w:jc w:val="both"/>
        <w:rPr>
          <w:rFonts w:cs="Times New Roman"/>
          <w:szCs w:val="24"/>
        </w:rPr>
      </w:pPr>
      <w:r w:rsidRPr="00641656">
        <w:rPr>
          <w:rFonts w:cs="Times New Roman"/>
          <w:szCs w:val="24"/>
        </w:rPr>
        <w:br w:type="page"/>
      </w:r>
    </w:p>
    <w:p w14:paraId="4B552152"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lastRenderedPageBreak/>
        <w:br w:type="page"/>
      </w:r>
    </w:p>
    <w:p w14:paraId="1BEC1BE9" w14:textId="77777777" w:rsidR="00641656" w:rsidRPr="00641656" w:rsidRDefault="00641656" w:rsidP="00641656">
      <w:pPr>
        <w:pStyle w:val="Heading1"/>
        <w:numPr>
          <w:ilvl w:val="0"/>
          <w:numId w:val="11"/>
        </w:numPr>
        <w:spacing w:before="240" w:after="160"/>
        <w:jc w:val="both"/>
        <w:rPr>
          <w:rFonts w:ascii="Times New Roman" w:hAnsi="Times New Roman" w:cs="Times New Roman"/>
          <w:sz w:val="24"/>
          <w:szCs w:val="24"/>
        </w:rPr>
      </w:pPr>
      <w:r w:rsidRPr="00641656">
        <w:rPr>
          <w:rFonts w:ascii="Times New Roman" w:hAnsi="Times New Roman" w:cs="Times New Roman"/>
          <w:sz w:val="24"/>
          <w:szCs w:val="24"/>
        </w:rPr>
        <w:lastRenderedPageBreak/>
        <w:t>References for Chapter 2</w:t>
      </w:r>
    </w:p>
    <w:p w14:paraId="4BF77A4F"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Klein, C., et al. (2023). Perspectives for improving the tumor targeting of nanomedicine via the EPR effect in clinical tumors. Advanced Drug Delivery Reviews, 198, 114867.</w:t>
      </w:r>
    </w:p>
    <w:p w14:paraId="701BF92B"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Kwon, I. K., Lee, S. C., Han, B., &amp; Park, K. (2012). Analysis on the current status of targeted drug delivery to tumors. Journal of Controlled Release, 164, 108–114.</w:t>
      </w:r>
    </w:p>
    <w:p w14:paraId="7C32E9F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Lammers, T., Kiessling, F., </w:t>
      </w:r>
      <w:proofErr w:type="spellStart"/>
      <w:r w:rsidRPr="00641656">
        <w:rPr>
          <w:rFonts w:cs="Times New Roman"/>
          <w:szCs w:val="24"/>
        </w:rPr>
        <w:t>Hennink</w:t>
      </w:r>
      <w:proofErr w:type="spellEnd"/>
      <w:r w:rsidRPr="00641656">
        <w:rPr>
          <w:rFonts w:cs="Times New Roman"/>
          <w:szCs w:val="24"/>
        </w:rPr>
        <w:t>, W. E., &amp; Storm, G. (2012). Drug targeting to tumors: Principles, pitfalls and pre-clinical progress. Journal of Controlled Release, 161, 175–187.</w:t>
      </w:r>
    </w:p>
    <w:p w14:paraId="4846B8F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Li, J., Mooney, D. J. (2016). Designing hydrogels for controlled drug delivery. Nature Reviews Materials, 1, 16071.</w:t>
      </w:r>
    </w:p>
    <w:p w14:paraId="5C32CEE5"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Liu, Y., Miyoshi, H., &amp; Nakamura, M. (2007). Nanomedicine for drug delivery and imaging. Nature Reviews Cancer, 7, 993–1002.</w:t>
      </w:r>
    </w:p>
    <w:p w14:paraId="24380800"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Luxenhofer</w:t>
      </w:r>
      <w:proofErr w:type="spellEnd"/>
      <w:r w:rsidRPr="00641656">
        <w:rPr>
          <w:rFonts w:cs="Times New Roman"/>
          <w:szCs w:val="24"/>
        </w:rPr>
        <w:t>, R., Schulz, A., Roques, C., et al. (2014). Nanomedicine for cancer therapy: Current status and future prospects. Journal of Controlled Release, 192, 115–125.</w:t>
      </w:r>
    </w:p>
    <w:p w14:paraId="1497B58E"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Maeda, H. (2015). Toward a full understanding of the EPR effect in primary and metastatic tumors as well as issues related to its heterogeneity. Advanced Drug Delivery Reviews, 91, 3–6. https://doi.org/10.1016/j.addr.2015.01.002</w:t>
      </w:r>
    </w:p>
    <w:p w14:paraId="1B1CBBFD"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Maeda, H., Nakamura, H., &amp; Fang, J. (2013). The EPR effect for macromolecular drug delivery to solid tumors: Improvement of tumor uptake, lowering of systemic toxicity, and distinct tumor imaging in vivo. Advanced Drug Delivery Reviews, 65, 71–79.</w:t>
      </w:r>
    </w:p>
    <w:p w14:paraId="3864A39D"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Mai, W. X., &amp; Meng, H. (2013). Mesoporous silica nanoparticles: A multifunctional nano therapeutic system. Integrative Biology, 5, 19–28.</w:t>
      </w:r>
    </w:p>
    <w:p w14:paraId="07E59B8D"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Mathijssen</w:t>
      </w:r>
      <w:proofErr w:type="spellEnd"/>
      <w:r w:rsidRPr="00641656">
        <w:rPr>
          <w:rFonts w:cs="Times New Roman"/>
          <w:szCs w:val="24"/>
        </w:rPr>
        <w:t>, R. H. J., van Alphen, R. J., Verweij, J., et al. (2001). Clinical pharmacokinetics and metabolism of irinotecan. Clinical Cancer Research, 7, 2182–2194.</w:t>
      </w:r>
    </w:p>
    <w:p w14:paraId="0E8D17B7"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McNeil, S. E. (2005). Nanotechnology for the biologist. Journal of Leukocyte Biology, 78, 585–594.</w:t>
      </w:r>
    </w:p>
    <w:p w14:paraId="55D37064"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lastRenderedPageBreak/>
        <w:t>Mitchell, M. J., Billingsley, M. M., Haley, R. M., et al. (2021). Engineering precision nanoparticles for drug delivery. Nature Reviews Drug Discovery, 20, 101–124.</w:t>
      </w:r>
    </w:p>
    <w:p w14:paraId="2B8B8CEA"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Mitchell, M. J., Jain, R. K., &amp; Langer, R. (2023). Engineering the tumor microenvironment for drug delivery. Nature Reviews Materials, 8, 1–20.</w:t>
      </w:r>
    </w:p>
    <w:p w14:paraId="23A9A5A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Monopoli, M. P., Åberg, C., Salvati, A., &amp; Dawson, K. A. (2012). Biomolecular coronas provide the biological identity of nanosized materials. Nature Nanotechnology, 7, 779–786.</w:t>
      </w:r>
    </w:p>
    <w:p w14:paraId="3E44DDCC"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Nummelin, S., Selin, M., Legrand, S., et al. (2017). Modular synthesis of self-assembling Janus-dendrimers and facile preparation of drug-loaded </w:t>
      </w:r>
      <w:proofErr w:type="spellStart"/>
      <w:r w:rsidRPr="00641656">
        <w:rPr>
          <w:rFonts w:cs="Times New Roman"/>
          <w:szCs w:val="24"/>
        </w:rPr>
        <w:t>dendrimersomes</w:t>
      </w:r>
      <w:proofErr w:type="spellEnd"/>
      <w:r w:rsidRPr="00641656">
        <w:rPr>
          <w:rFonts w:cs="Times New Roman"/>
          <w:szCs w:val="24"/>
        </w:rPr>
        <w:t>. Nanoscale, 9, 7189–7198. https://doi.org/10.1039/C6NR08102A</w:t>
      </w:r>
    </w:p>
    <w:p w14:paraId="72FDA4B0"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Park, J. W. (2002). Liposome-based drug delivery in breast cancer treatment. Breast Cancer Research, 4, 95–99.</w:t>
      </w:r>
    </w:p>
    <w:p w14:paraId="07A3DC04"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Peer, D. (2010). A daunting task: The delivery of therapeutic nanoparticles into the human body. Advanced Drug Delivery Reviews, 64, 173–174.</w:t>
      </w:r>
    </w:p>
    <w:p w14:paraId="343C447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Peer, D., Karp, J. M., Hong, S., et al. (2007). Nanocarriers as an emerging platform for cancer therapy. Nature Nanotechnology, 2, 751–760.</w:t>
      </w:r>
    </w:p>
    <w:p w14:paraId="071B803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Prabhakar, U., Maeda, H., Jain, R. K., et al. (2013). Challenges and key considerations of the enhanced permeability and retention effect for nanomedicine drug delivery in oncology. Cancer Research, 73, 2412–2417.</w:t>
      </w:r>
    </w:p>
    <w:p w14:paraId="4512A8E7"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Punt, C. J. A., Koopman, M., &amp; Vermeulen, L. (2017). From </w:t>
      </w:r>
      <w:proofErr w:type="spellStart"/>
      <w:r w:rsidRPr="00641656">
        <w:rPr>
          <w:rFonts w:cs="Times New Roman"/>
          <w:szCs w:val="24"/>
        </w:rPr>
        <w:t>tumour</w:t>
      </w:r>
      <w:proofErr w:type="spellEnd"/>
      <w:r w:rsidRPr="00641656">
        <w:rPr>
          <w:rFonts w:cs="Times New Roman"/>
          <w:szCs w:val="24"/>
        </w:rPr>
        <w:t xml:space="preserve"> heterogeneity to advances in precision treatment of colorectal cancer. Nature Reviews Clinical Oncology, 14, 235–246.</w:t>
      </w:r>
    </w:p>
    <w:p w14:paraId="77E68779"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Rivory</w:t>
      </w:r>
      <w:proofErr w:type="spellEnd"/>
      <w:r w:rsidRPr="00641656">
        <w:rPr>
          <w:rFonts w:cs="Times New Roman"/>
          <w:szCs w:val="24"/>
        </w:rPr>
        <w:t>, L. P., &amp; Robert, J. (1995). Molecular, cellular, and clinical aspects of the pharmacology of irinotecan. Pharmacology &amp; Therapeutics, 68, 269–296.</w:t>
      </w:r>
    </w:p>
    <w:p w14:paraId="61E819D3"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Rosenblum, D., Joshi, N., Tao, W., Karp, J. M., &amp; Peer, D. (2018). Progress and challenges towards targeted delivery of cancer therapeutics. Nature Communications, 9, 1410.</w:t>
      </w:r>
    </w:p>
    <w:p w14:paraId="2033B102"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Ruoslahti</w:t>
      </w:r>
      <w:proofErr w:type="spellEnd"/>
      <w:r w:rsidRPr="00641656">
        <w:rPr>
          <w:rFonts w:cs="Times New Roman"/>
          <w:szCs w:val="24"/>
        </w:rPr>
        <w:t>, E. (2017). Tumor penetrating peptides for improved drug delivery. Advanced Drug Delivery Reviews, 110–111, 3–12.</w:t>
      </w:r>
    </w:p>
    <w:p w14:paraId="7A1A6F24"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Schmid, D., &amp; Deisenhofer, J. (2013). The biology of the tumor microenvironment. Cell, 154, 1–12.</w:t>
      </w:r>
    </w:p>
    <w:p w14:paraId="6326BAFA"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lastRenderedPageBreak/>
        <w:t>Shen, S., &amp; Liao, J. (2016). Nanoparticle-mediated drug delivery to cancer cells. Journal of Controlled Release, 233, 70–80.</w:t>
      </w:r>
    </w:p>
    <w:p w14:paraId="5FDFEF3F"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Shi, J., </w:t>
      </w:r>
      <w:proofErr w:type="spellStart"/>
      <w:r w:rsidRPr="00641656">
        <w:rPr>
          <w:rFonts w:cs="Times New Roman"/>
          <w:szCs w:val="24"/>
        </w:rPr>
        <w:t>Kantoff</w:t>
      </w:r>
      <w:proofErr w:type="spellEnd"/>
      <w:r w:rsidRPr="00641656">
        <w:rPr>
          <w:rFonts w:cs="Times New Roman"/>
          <w:szCs w:val="24"/>
        </w:rPr>
        <w:t xml:space="preserve">, P. W., Wooster, R., &amp; </w:t>
      </w:r>
      <w:proofErr w:type="spellStart"/>
      <w:r w:rsidRPr="00641656">
        <w:rPr>
          <w:rFonts w:cs="Times New Roman"/>
          <w:szCs w:val="24"/>
        </w:rPr>
        <w:t>Farokhzad</w:t>
      </w:r>
      <w:proofErr w:type="spellEnd"/>
      <w:r w:rsidRPr="00641656">
        <w:rPr>
          <w:rFonts w:cs="Times New Roman"/>
          <w:szCs w:val="24"/>
        </w:rPr>
        <w:t>, O. C. (2017). Cancer nanomedicine: Progress, challenges and opportunities. Nature Reviews Cancer, 17, 20–37.</w:t>
      </w:r>
    </w:p>
    <w:p w14:paraId="2CEA2957" w14:textId="77777777" w:rsidR="00641656" w:rsidRPr="00641656" w:rsidRDefault="00641656" w:rsidP="00641656">
      <w:pPr>
        <w:pStyle w:val="ListParagraph"/>
        <w:numPr>
          <w:ilvl w:val="0"/>
          <w:numId w:val="11"/>
        </w:numPr>
        <w:jc w:val="both"/>
        <w:rPr>
          <w:rFonts w:cs="Times New Roman"/>
          <w:szCs w:val="24"/>
        </w:rPr>
      </w:pPr>
      <w:proofErr w:type="spellStart"/>
      <w:r w:rsidRPr="00641656">
        <w:rPr>
          <w:rFonts w:cs="Times New Roman"/>
          <w:szCs w:val="24"/>
        </w:rPr>
        <w:t>Sikwal</w:t>
      </w:r>
      <w:proofErr w:type="spellEnd"/>
      <w:r w:rsidRPr="00641656">
        <w:rPr>
          <w:rFonts w:cs="Times New Roman"/>
          <w:szCs w:val="24"/>
        </w:rPr>
        <w:t xml:space="preserve">, D. R., </w:t>
      </w:r>
      <w:proofErr w:type="spellStart"/>
      <w:r w:rsidRPr="00641656">
        <w:rPr>
          <w:rFonts w:cs="Times New Roman"/>
          <w:szCs w:val="24"/>
        </w:rPr>
        <w:t>Kalhapure</w:t>
      </w:r>
      <w:proofErr w:type="spellEnd"/>
      <w:r w:rsidRPr="00641656">
        <w:rPr>
          <w:rFonts w:cs="Times New Roman"/>
          <w:szCs w:val="24"/>
        </w:rPr>
        <w:t>, R. S., Rambharose, S., et al. (2017). An emerging class of amphiphilic dendrimers for pharmaceutical and biomedical applications: Janus amphiphilic dendrimers. European Journal of Pharmaceutical Sciences, 97, 113–134. https://doi.org/10.1016/j.ejps.2016.11.013</w:t>
      </w:r>
    </w:p>
    <w:p w14:paraId="2E40C633"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Sindhwani, S., Syed, A. M., Ngai, J., et al. (2020). The entry of nanoparticles into solid </w:t>
      </w:r>
      <w:proofErr w:type="spellStart"/>
      <w:r w:rsidRPr="00641656">
        <w:rPr>
          <w:rFonts w:cs="Times New Roman"/>
          <w:szCs w:val="24"/>
        </w:rPr>
        <w:t>tumours</w:t>
      </w:r>
      <w:proofErr w:type="spellEnd"/>
      <w:r w:rsidRPr="00641656">
        <w:rPr>
          <w:rFonts w:cs="Times New Roman"/>
          <w:szCs w:val="24"/>
        </w:rPr>
        <w:t>. Nature Materials, 19, 566–575.</w:t>
      </w:r>
    </w:p>
    <w:p w14:paraId="060052F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Sun, T., Zhang, Y. S., Pang, B., Hyun, D. C., Yang, M., &amp; Xia, Y. (2014). Engineered nanoparticles for drug delivery in cancer therapy. </w:t>
      </w:r>
      <w:proofErr w:type="spellStart"/>
      <w:r w:rsidRPr="00641656">
        <w:rPr>
          <w:rFonts w:cs="Times New Roman"/>
          <w:szCs w:val="24"/>
        </w:rPr>
        <w:t>Angewandte</w:t>
      </w:r>
      <w:proofErr w:type="spellEnd"/>
      <w:r w:rsidRPr="00641656">
        <w:rPr>
          <w:rFonts w:cs="Times New Roman"/>
          <w:szCs w:val="24"/>
        </w:rPr>
        <w:t xml:space="preserve"> Chemie International Edition, 53, 12320–12364.</w:t>
      </w:r>
    </w:p>
    <w:p w14:paraId="557BAFA9"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Sung, H., </w:t>
      </w:r>
      <w:proofErr w:type="spellStart"/>
      <w:r w:rsidRPr="00641656">
        <w:rPr>
          <w:rFonts w:cs="Times New Roman"/>
          <w:szCs w:val="24"/>
        </w:rPr>
        <w:t>Ferlay</w:t>
      </w:r>
      <w:proofErr w:type="spellEnd"/>
      <w:r w:rsidRPr="00641656">
        <w:rPr>
          <w:rFonts w:cs="Times New Roman"/>
          <w:szCs w:val="24"/>
        </w:rPr>
        <w:t>, J., Siegel, R. L., et al. (2021). Global cancer statistics 2020. CA: A Cancer Journal for Clinicians, 71, 209–249.</w:t>
      </w:r>
    </w:p>
    <w:p w14:paraId="050ECFBF"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Svenson, S., &amp; </w:t>
      </w:r>
      <w:proofErr w:type="spellStart"/>
      <w:r w:rsidRPr="00641656">
        <w:rPr>
          <w:rFonts w:cs="Times New Roman"/>
          <w:szCs w:val="24"/>
        </w:rPr>
        <w:t>Tomalia</w:t>
      </w:r>
      <w:proofErr w:type="spellEnd"/>
      <w:r w:rsidRPr="00641656">
        <w:rPr>
          <w:rFonts w:cs="Times New Roman"/>
          <w:szCs w:val="24"/>
        </w:rPr>
        <w:t>, D. A. (2005). Dendrimers in biomedical applications—reflections on the field. Advanced Drug Delivery Reviews, 57, 2106–2129.</w:t>
      </w:r>
    </w:p>
    <w:p w14:paraId="244494B3"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Ventola, C. L. (2017). Progress in nanomedicine: Approved and investigational nanodrugs. P&amp;T, 42, 742–755.</w:t>
      </w:r>
    </w:p>
    <w:p w14:paraId="76096759"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Wang, A. Z., Langer, R., &amp; </w:t>
      </w:r>
      <w:proofErr w:type="spellStart"/>
      <w:r w:rsidRPr="00641656">
        <w:rPr>
          <w:rFonts w:cs="Times New Roman"/>
          <w:szCs w:val="24"/>
        </w:rPr>
        <w:t>Farokhzad</w:t>
      </w:r>
      <w:proofErr w:type="spellEnd"/>
      <w:r w:rsidRPr="00641656">
        <w:rPr>
          <w:rFonts w:cs="Times New Roman"/>
          <w:szCs w:val="24"/>
        </w:rPr>
        <w:t>, O. C. (2012). Nanoparticle delivery of cancer drugs. Annual Review of Medicine, 63, 185–198.</w:t>
      </w:r>
    </w:p>
    <w:p w14:paraId="61CEB6BE"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Wilhelm, S., et al. (2021). Analysis of nanoparticle delivery to </w:t>
      </w:r>
      <w:proofErr w:type="spellStart"/>
      <w:r w:rsidRPr="00641656">
        <w:rPr>
          <w:rFonts w:cs="Times New Roman"/>
          <w:szCs w:val="24"/>
        </w:rPr>
        <w:t>tumours</w:t>
      </w:r>
      <w:proofErr w:type="spellEnd"/>
      <w:r w:rsidRPr="00641656">
        <w:rPr>
          <w:rFonts w:cs="Times New Roman"/>
          <w:szCs w:val="24"/>
        </w:rPr>
        <w:t>: A meta-analysis. Nature Reviews Materials, 6, 1–15.</w:t>
      </w:r>
    </w:p>
    <w:p w14:paraId="52458923"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Wilhelm, S., Tavares, A. J., Dai, Q., et al. (2016). Analysis of nanoparticle delivery to </w:t>
      </w:r>
      <w:proofErr w:type="spellStart"/>
      <w:r w:rsidRPr="00641656">
        <w:rPr>
          <w:rFonts w:cs="Times New Roman"/>
          <w:szCs w:val="24"/>
        </w:rPr>
        <w:t>tumours</w:t>
      </w:r>
      <w:proofErr w:type="spellEnd"/>
      <w:r w:rsidRPr="00641656">
        <w:rPr>
          <w:rFonts w:cs="Times New Roman"/>
          <w:szCs w:val="24"/>
        </w:rPr>
        <w:t>. Nature Reviews Materials, 1, 16014.</w:t>
      </w:r>
    </w:p>
    <w:p w14:paraId="50AAF60E"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 xml:space="preserve">Yameen, B., Choi, W. I., </w:t>
      </w:r>
      <w:proofErr w:type="spellStart"/>
      <w:r w:rsidRPr="00641656">
        <w:rPr>
          <w:rFonts w:cs="Times New Roman"/>
          <w:szCs w:val="24"/>
        </w:rPr>
        <w:t>Vilos</w:t>
      </w:r>
      <w:proofErr w:type="spellEnd"/>
      <w:r w:rsidRPr="00641656">
        <w:rPr>
          <w:rFonts w:cs="Times New Roman"/>
          <w:szCs w:val="24"/>
        </w:rPr>
        <w:t>, C., et al. (2014). Insight into nanoparticle cellular uptake and intracellular trafficking. Journal of Controlled Release, 190, 485–498.</w:t>
      </w:r>
    </w:p>
    <w:p w14:paraId="49AE57F8"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Zhang, Y., Chan, H. F., &amp; Leong, K. W. (2013). Advanced materials and processing for drug delivery: The past and the future. Advanced Drug Delivery Reviews, 65, 104–120.</w:t>
      </w:r>
    </w:p>
    <w:p w14:paraId="4071999D"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lastRenderedPageBreak/>
        <w:t>Zhao, P., Astruc, D. (2012). Docetaxel nanotechnology in cancer therapy. Advanced Drug Delivery Reviews, 66, 61–74.</w:t>
      </w:r>
    </w:p>
    <w:p w14:paraId="611EF1AD"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Zhou, J., &amp; Wang, G. (2017). Nanocarrier-mediated combination chemotherapy. Cancer Letters, 400, 1–12.</w:t>
      </w:r>
    </w:p>
    <w:p w14:paraId="7B2A6B49" w14:textId="77777777" w:rsidR="00641656" w:rsidRPr="00641656" w:rsidRDefault="00641656" w:rsidP="00641656">
      <w:pPr>
        <w:pStyle w:val="ListParagraph"/>
        <w:numPr>
          <w:ilvl w:val="0"/>
          <w:numId w:val="11"/>
        </w:numPr>
        <w:jc w:val="both"/>
        <w:rPr>
          <w:rFonts w:cs="Times New Roman"/>
          <w:szCs w:val="24"/>
        </w:rPr>
      </w:pPr>
      <w:r w:rsidRPr="00641656">
        <w:rPr>
          <w:rFonts w:cs="Times New Roman"/>
          <w:szCs w:val="24"/>
        </w:rPr>
        <w:t>Zhou, Q., et al. (2020). Nanocarrier-based combination therapy for cancer. Journal of Controlled Release, 326, 1–15.</w:t>
      </w:r>
    </w:p>
    <w:p w14:paraId="501D1770" w14:textId="77777777" w:rsidR="00641656" w:rsidRPr="00641656" w:rsidRDefault="00641656" w:rsidP="00641656">
      <w:pPr>
        <w:pStyle w:val="ListParagraph"/>
        <w:jc w:val="both"/>
        <w:rPr>
          <w:rFonts w:cs="Times New Roman"/>
          <w:szCs w:val="24"/>
        </w:rPr>
      </w:pPr>
    </w:p>
    <w:sectPr w:rsidR="00641656" w:rsidRPr="00641656"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37DA4"/>
    <w:multiLevelType w:val="hybridMultilevel"/>
    <w:tmpl w:val="AFE21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9E2B1E"/>
    <w:multiLevelType w:val="hybridMultilevel"/>
    <w:tmpl w:val="D3FE6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6266370">
    <w:abstractNumId w:val="8"/>
  </w:num>
  <w:num w:numId="2" w16cid:durableId="358092461">
    <w:abstractNumId w:val="6"/>
  </w:num>
  <w:num w:numId="3" w16cid:durableId="798761990">
    <w:abstractNumId w:val="5"/>
  </w:num>
  <w:num w:numId="4" w16cid:durableId="1590893505">
    <w:abstractNumId w:val="4"/>
  </w:num>
  <w:num w:numId="5" w16cid:durableId="1520974559">
    <w:abstractNumId w:val="7"/>
  </w:num>
  <w:num w:numId="6" w16cid:durableId="35930079">
    <w:abstractNumId w:val="3"/>
  </w:num>
  <w:num w:numId="7" w16cid:durableId="311256568">
    <w:abstractNumId w:val="2"/>
  </w:num>
  <w:num w:numId="8" w16cid:durableId="1130393132">
    <w:abstractNumId w:val="1"/>
  </w:num>
  <w:num w:numId="9" w16cid:durableId="1360742669">
    <w:abstractNumId w:val="0"/>
  </w:num>
  <w:num w:numId="10" w16cid:durableId="504856080">
    <w:abstractNumId w:val="9"/>
  </w:num>
  <w:num w:numId="11" w16cid:durableId="1342125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1656"/>
    <w:rsid w:val="00AA1D8D"/>
    <w:rsid w:val="00B47730"/>
    <w:rsid w:val="00BA5FAD"/>
    <w:rsid w:val="00CB0664"/>
    <w:rsid w:val="00D418B2"/>
    <w:rsid w:val="00E708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85664"/>
  <w14:defaultImageDpi w14:val="300"/>
  <w15:docId w15:val="{22BBD18F-1508-47C8-85CC-A0892725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68</Pages>
  <Words>15404</Words>
  <Characters>87807</Characters>
  <Application>Microsoft Office Word</Application>
  <DocSecurity>0</DocSecurity>
  <Lines>731</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drpooja joshi</cp:lastModifiedBy>
  <cp:revision>2</cp:revision>
  <dcterms:created xsi:type="dcterms:W3CDTF">2026-08-18T04:13:00Z</dcterms:created>
  <dcterms:modified xsi:type="dcterms:W3CDTF">2026-08-18T04:13:00Z</dcterms:modified>
  <cp:category/>
</cp:coreProperties>
</file>