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1769" w14:textId="77777777" w:rsidR="00D14BA5" w:rsidRPr="00F9186E" w:rsidRDefault="00D14BA5" w:rsidP="00D14BA5">
      <w:pPr>
        <w:jc w:val="both"/>
        <w:rPr>
          <w:szCs w:val="22"/>
        </w:rPr>
      </w:pPr>
      <w:r>
        <w:rPr>
          <w:szCs w:val="22"/>
        </w:rPr>
        <w:t xml:space="preserve">      </w:t>
      </w:r>
      <w:r w:rsidRPr="00F9186E">
        <w:rPr>
          <w:szCs w:val="22"/>
        </w:rPr>
        <w:t xml:space="preserve">In the year 1950s Herbert A. Simon introduced a concept known as bounded rationality, according to it when there are multiple options available and too much complexity decision makers face limitations in terms of information, time and cognitive ability. To reduce these limitations and mental overload people take quick intuitive thinking and becomes careless. </w:t>
      </w:r>
      <w:r>
        <w:rPr>
          <w:szCs w:val="22"/>
        </w:rPr>
        <w:t>T</w:t>
      </w:r>
      <w:r w:rsidRPr="00F9186E">
        <w:rPr>
          <w:szCs w:val="22"/>
        </w:rPr>
        <w:t>hey then tend to take mental shortcuts or sometimes known as heuristics to make decisions relying on few key pieces of information (Tversky &amp; Kahneman, 1974). Though this shortcut helps an individual in easier decision making and helps to overcome the limitations, the important information is neglected or overlooked resulting choices are influenced by their emotions, first impressions or default option (Hammond et al., 1998).</w:t>
      </w:r>
    </w:p>
    <w:p w14:paraId="69870955" w14:textId="77777777" w:rsidR="00D14BA5" w:rsidRPr="00095A73" w:rsidRDefault="00D14BA5" w:rsidP="00D14BA5">
      <w:pPr>
        <w:jc w:val="both"/>
        <w:rPr>
          <w:szCs w:val="22"/>
        </w:rPr>
      </w:pPr>
      <w:r w:rsidRPr="00095A73">
        <w:rPr>
          <w:szCs w:val="22"/>
        </w:rPr>
        <w:t xml:space="preserve">                   Planning for retirement is a conscious decision in which individuals choose to defer current consumption to secure financial well-being during retirement (Pavia &amp; Grima, 2019). It re</w:t>
      </w:r>
      <w:r>
        <w:rPr>
          <w:szCs w:val="22"/>
        </w:rPr>
        <w:t>quires</w:t>
      </w:r>
      <w:r w:rsidRPr="00095A73">
        <w:rPr>
          <w:szCs w:val="22"/>
        </w:rPr>
        <w:t xml:space="preserve"> a continuous process of decision-making, monitoring, and adjustment (Wang &amp; Wanberg, 2017) that entails setting explicit goals, managing savings, and selecting appropriate investment vehicles (Clark et al., 2006). Among these decisions, selecting a suitable pension scheme is particularly critical, as it directly governs long-term financial security and retirement income adequacy (Mitchell, 2010; OECD, 2024). However, the inherent complexity of pension products frequently limits individuals' ability to make optimal choices (Iyengar et al., 2004; Agnew &amp; Szykman, 2005)</w:t>
      </w:r>
      <w:r>
        <w:rPr>
          <w:szCs w:val="22"/>
        </w:rPr>
        <w:t xml:space="preserve">, which makes individuals to fall under the limitation of bounded rationality make delay or avoid important </w:t>
      </w:r>
      <w:proofErr w:type="gramStart"/>
      <w:r>
        <w:rPr>
          <w:szCs w:val="22"/>
        </w:rPr>
        <w:t>long term</w:t>
      </w:r>
      <w:proofErr w:type="gramEnd"/>
      <w:r>
        <w:rPr>
          <w:szCs w:val="22"/>
        </w:rPr>
        <w:t xml:space="preserve"> decision.</w:t>
      </w:r>
    </w:p>
    <w:p w14:paraId="7C7DFB2F" w14:textId="77777777" w:rsidR="00D14BA5" w:rsidRPr="00095A73" w:rsidRDefault="00D14BA5" w:rsidP="00D14BA5">
      <w:pPr>
        <w:jc w:val="both"/>
        <w:rPr>
          <w:szCs w:val="22"/>
        </w:rPr>
      </w:pPr>
      <w:r w:rsidRPr="00095A73">
        <w:rPr>
          <w:szCs w:val="22"/>
        </w:rPr>
        <w:t xml:space="preserve">                India’s retirement landscape has evolved into a diverse ecosystem of mandatory and voluntary pension instruments (Kapur, 2009; Swarup, 2014). Mandatory statutory schemes—such as the Employees’ Provident Fund (EPF) and Employees’ Pension Scheme (EPS)—provide baseline retirement benefits to formal sector employees. Conversely, voluntary schemes—such as the National Pension System (NPS), Public Provident Fund (PPF), and Atal Pension Yojana (APY)—offer broader flexibility across employment sectors.</w:t>
      </w:r>
      <w:r>
        <w:rPr>
          <w:szCs w:val="22"/>
        </w:rPr>
        <w:t xml:space="preserve"> </w:t>
      </w:r>
      <w:r w:rsidRPr="00095A73">
        <w:rPr>
          <w:szCs w:val="22"/>
        </w:rPr>
        <w:t>Despite th</w:t>
      </w:r>
      <w:r>
        <w:rPr>
          <w:szCs w:val="22"/>
        </w:rPr>
        <w:t>is</w:t>
      </w:r>
      <w:r w:rsidRPr="00095A73">
        <w:rPr>
          <w:szCs w:val="22"/>
        </w:rPr>
        <w:t xml:space="preserve"> availability, </w:t>
      </w:r>
      <w:r>
        <w:rPr>
          <w:szCs w:val="22"/>
        </w:rPr>
        <w:t xml:space="preserve">these pension </w:t>
      </w:r>
      <w:r w:rsidRPr="00095A73">
        <w:rPr>
          <w:szCs w:val="22"/>
        </w:rPr>
        <w:t>schemes vary substantially across structural dimensions, including contribution flexibility, market risk exposure, expected returns, tax treatment, administrative fees, liquidity, and withdrawal rules. This heterogeneity creates significant decision complexity for prospective subscribers (Jain, 2017; Tyagi et al., 2018; Nagar, 2024).</w:t>
      </w:r>
    </w:p>
    <w:p w14:paraId="081A3D34" w14:textId="77777777" w:rsidR="00D14BA5" w:rsidRPr="00095A73" w:rsidRDefault="00D14BA5" w:rsidP="00D14BA5">
      <w:pPr>
        <w:jc w:val="both"/>
        <w:rPr>
          <w:szCs w:val="22"/>
        </w:rPr>
      </w:pPr>
      <w:r w:rsidRPr="00095A73">
        <w:rPr>
          <w:szCs w:val="22"/>
        </w:rPr>
        <w:t xml:space="preserve">          Prior studies have attempted to support scheme evaluation at regional or bilateral levels through conceptual comparisons, such as EPF versus NPS (Nagar, 2024), evaluations of perceived scheme merits (Kumar &amp; Shailaja, 2024), or affordability analyses of APY relative to alternative options (Basu &amp; Ghosh, 2026). Nevertheless, comprehensive cross-scheme comparative evaluations remain surprisingly sparse in Indian literature. A primary cause is the fragmented regulatory architecture, where distinct pension products operate under disparate regulatory mandates (Asher, 2008).</w:t>
      </w:r>
    </w:p>
    <w:p w14:paraId="71AAA291" w14:textId="77777777" w:rsidR="00D14BA5" w:rsidRPr="00095A73" w:rsidRDefault="00D14BA5" w:rsidP="00D14BA5">
      <w:pPr>
        <w:jc w:val="both"/>
        <w:rPr>
          <w:szCs w:val="22"/>
        </w:rPr>
      </w:pPr>
      <w:r w:rsidRPr="00095A73">
        <w:rPr>
          <w:szCs w:val="22"/>
        </w:rPr>
        <w:t xml:space="preserve">Financial literacy is essential for effective retirement preparation, yet widespread knowledge deficits result in suboptimal retirement decisions both globally and within India (Thaler &amp; Benartzi, 2004; Lusardi &amp; Mitchell, 2014; Mittal &amp; Gupta, 2022; Maithri &amp; Pavithra Kumari, 2024). Because investors are heterogeneous with respect to financial obligations, career risks, and risk tolerances, a "one-size-fits-all" approach to pension selection is inadequate. Effective scheme selection requires systematically matching scheme characteristics with individual </w:t>
      </w:r>
      <w:proofErr w:type="spellStart"/>
      <w:r w:rsidRPr="00095A73">
        <w:rPr>
          <w:szCs w:val="22"/>
        </w:rPr>
        <w:t>labor</w:t>
      </w:r>
      <w:proofErr w:type="spellEnd"/>
      <w:r w:rsidRPr="00095A73">
        <w:rPr>
          <w:szCs w:val="22"/>
        </w:rPr>
        <w:t xml:space="preserve"> market profiles and preference structures.</w:t>
      </w:r>
    </w:p>
    <w:p w14:paraId="3A2B9B19" w14:textId="77777777" w:rsidR="00D14BA5" w:rsidRPr="00095A73" w:rsidRDefault="00D14BA5" w:rsidP="00D14BA5">
      <w:pPr>
        <w:jc w:val="both"/>
        <w:rPr>
          <w:szCs w:val="22"/>
        </w:rPr>
      </w:pPr>
      <w:r w:rsidRPr="00095A73">
        <w:rPr>
          <w:szCs w:val="22"/>
        </w:rPr>
        <w:t xml:space="preserve">Accordingly, this study addresses a central research question: </w:t>
      </w:r>
      <w:r w:rsidRPr="00095A73">
        <w:rPr>
          <w:b/>
          <w:bCs/>
          <w:i/>
          <w:iCs/>
          <w:szCs w:val="22"/>
        </w:rPr>
        <w:t>How should investors evaluate and choose among heterogeneous pension schemes?</w:t>
      </w:r>
    </w:p>
    <w:p w14:paraId="35E9E2D4" w14:textId="77777777" w:rsidR="00D14BA5" w:rsidRPr="00095A73" w:rsidRDefault="00D14BA5" w:rsidP="00D14BA5">
      <w:pPr>
        <w:jc w:val="both"/>
        <w:rPr>
          <w:b/>
          <w:bCs/>
          <w:szCs w:val="22"/>
        </w:rPr>
      </w:pPr>
      <w:r w:rsidRPr="00095A73">
        <w:rPr>
          <w:b/>
          <w:bCs/>
          <w:szCs w:val="22"/>
        </w:rPr>
        <w:t>3.2. Research Objectives</w:t>
      </w:r>
    </w:p>
    <w:p w14:paraId="68AFA333" w14:textId="77777777" w:rsidR="00D14BA5" w:rsidRDefault="00D14BA5" w:rsidP="00D14BA5">
      <w:pPr>
        <w:jc w:val="both"/>
        <w:rPr>
          <w:b/>
          <w:bCs/>
          <w:szCs w:val="22"/>
        </w:rPr>
      </w:pPr>
      <w:r>
        <w:rPr>
          <w:b/>
          <w:bCs/>
          <w:szCs w:val="22"/>
        </w:rPr>
        <w:t xml:space="preserve">              </w:t>
      </w:r>
      <w:r w:rsidRPr="00095A73">
        <w:rPr>
          <w:b/>
          <w:bCs/>
          <w:szCs w:val="22"/>
        </w:rPr>
        <w:t xml:space="preserve">The research objectives are organized sequentially. </w:t>
      </w:r>
    </w:p>
    <w:p w14:paraId="3514C09B" w14:textId="77777777" w:rsidR="00D14BA5" w:rsidRDefault="00D14BA5" w:rsidP="00D14BA5">
      <w:pPr>
        <w:jc w:val="both"/>
        <w:rPr>
          <w:b/>
          <w:bCs/>
          <w:szCs w:val="22"/>
        </w:rPr>
      </w:pPr>
      <w:r w:rsidRPr="00095A73">
        <w:rPr>
          <w:b/>
          <w:bCs/>
          <w:szCs w:val="22"/>
        </w:rPr>
        <w:lastRenderedPageBreak/>
        <w:t xml:space="preserve">Objective 1 </w:t>
      </w:r>
      <w:r>
        <w:rPr>
          <w:b/>
          <w:bCs/>
          <w:szCs w:val="22"/>
        </w:rPr>
        <w:t xml:space="preserve">to give a brief description of what set of </w:t>
      </w:r>
      <w:proofErr w:type="spellStart"/>
      <w:r>
        <w:rPr>
          <w:b/>
          <w:bCs/>
          <w:szCs w:val="22"/>
        </w:rPr>
        <w:t>crerteria</w:t>
      </w:r>
      <w:proofErr w:type="spellEnd"/>
      <w:r>
        <w:rPr>
          <w:b/>
          <w:bCs/>
          <w:szCs w:val="22"/>
        </w:rPr>
        <w:t xml:space="preserve"> to be evaluated</w:t>
      </w:r>
    </w:p>
    <w:p w14:paraId="782DD56B" w14:textId="77777777" w:rsidR="00D14BA5" w:rsidRDefault="00D14BA5" w:rsidP="00D14BA5">
      <w:pPr>
        <w:jc w:val="both"/>
        <w:rPr>
          <w:b/>
          <w:bCs/>
          <w:szCs w:val="22"/>
        </w:rPr>
      </w:pPr>
      <w:r w:rsidRPr="00095A73">
        <w:rPr>
          <w:b/>
          <w:bCs/>
          <w:szCs w:val="22"/>
        </w:rPr>
        <w:t xml:space="preserve"> Objective 2 </w:t>
      </w:r>
      <w:r>
        <w:rPr>
          <w:b/>
          <w:bCs/>
          <w:szCs w:val="22"/>
        </w:rPr>
        <w:t xml:space="preserve">to define the </w:t>
      </w:r>
      <w:r w:rsidRPr="00095A73">
        <w:rPr>
          <w:b/>
          <w:bCs/>
          <w:szCs w:val="22"/>
        </w:rPr>
        <w:t xml:space="preserve">representative investor archetypes. </w:t>
      </w:r>
    </w:p>
    <w:p w14:paraId="11616548" w14:textId="77777777" w:rsidR="00D14BA5" w:rsidRDefault="00D14BA5" w:rsidP="00D14BA5">
      <w:pPr>
        <w:jc w:val="both"/>
        <w:rPr>
          <w:b/>
          <w:bCs/>
          <w:szCs w:val="22"/>
        </w:rPr>
      </w:pPr>
      <w:r w:rsidRPr="00095A73">
        <w:rPr>
          <w:b/>
          <w:bCs/>
          <w:szCs w:val="22"/>
        </w:rPr>
        <w:t xml:space="preserve">Objective 3 specifies how the evaluation is performed by constructing a prescriptive MCDA framework. </w:t>
      </w:r>
    </w:p>
    <w:p w14:paraId="607734ED" w14:textId="77777777" w:rsidR="00D14BA5" w:rsidRPr="00095A73" w:rsidRDefault="00D14BA5" w:rsidP="00D14BA5">
      <w:pPr>
        <w:jc w:val="both"/>
        <w:rPr>
          <w:b/>
          <w:bCs/>
          <w:szCs w:val="22"/>
        </w:rPr>
      </w:pPr>
      <w:r w:rsidRPr="00095A73">
        <w:rPr>
          <w:b/>
          <w:bCs/>
          <w:szCs w:val="22"/>
        </w:rPr>
        <w:t xml:space="preserve">Objective 4 applies the framework to evaluate and rank pension schemes while assessing the robustness of the results through sensitivity </w:t>
      </w:r>
    </w:p>
    <w:p w14:paraId="583643A9" w14:textId="77777777" w:rsidR="00D14BA5" w:rsidRPr="00095A73" w:rsidRDefault="00D14BA5" w:rsidP="00D14BA5">
      <w:pPr>
        <w:jc w:val="both"/>
        <w:rPr>
          <w:szCs w:val="22"/>
        </w:rPr>
      </w:pPr>
      <w:r w:rsidRPr="00095A73">
        <w:rPr>
          <w:szCs w:val="22"/>
        </w:rPr>
        <w:t>Th</w:t>
      </w:r>
      <w:r>
        <w:rPr>
          <w:szCs w:val="22"/>
        </w:rPr>
        <w:t xml:space="preserve">is </w:t>
      </w:r>
      <w:r w:rsidRPr="00095A73">
        <w:rPr>
          <w:szCs w:val="22"/>
        </w:rPr>
        <w:t>framework evaluates alternatives across four derived criteria (</w:t>
      </w:r>
      <m:oMath>
        <m:sSub>
          <m:sSubPr>
            <m:ctrlPr>
              <w:rPr>
                <w:rFonts w:ascii="Cambria Math" w:hAnsi="Cambria Math"/>
                <w:szCs w:val="22"/>
              </w:rPr>
            </m:ctrlPr>
          </m:sSubPr>
          <m:e>
            <m:r>
              <w:rPr>
                <w:rFonts w:ascii="Cambria Math" w:hAnsi="Cambria Math"/>
                <w:szCs w:val="22"/>
              </w:rPr>
              <m:t>C</m:t>
            </m:r>
          </m:e>
          <m:sub>
            <m:r>
              <w:rPr>
                <w:rFonts w:ascii="Cambria Math" w:hAnsi="Cambria Math"/>
                <w:szCs w:val="22"/>
              </w:rPr>
              <m:t>1</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C</m:t>
            </m:r>
          </m:e>
          <m:sub>
            <m:r>
              <w:rPr>
                <w:rFonts w:ascii="Cambria Math" w:hAnsi="Cambria Math"/>
                <w:szCs w:val="22"/>
              </w:rPr>
              <m:t>2</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C</m:t>
            </m:r>
          </m:e>
          <m:sub>
            <m:r>
              <w:rPr>
                <w:rFonts w:ascii="Cambria Math" w:hAnsi="Cambria Math"/>
                <w:szCs w:val="22"/>
              </w:rPr>
              <m:t>3</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C</m:t>
            </m:r>
          </m:e>
          <m:sub>
            <m:r>
              <w:rPr>
                <w:rFonts w:ascii="Cambria Math" w:hAnsi="Cambria Math"/>
                <w:szCs w:val="22"/>
              </w:rPr>
              <m:t>4</m:t>
            </m:r>
          </m:sub>
        </m:sSub>
      </m:oMath>
      <w:r w:rsidRPr="00095A73">
        <w:rPr>
          <w:szCs w:val="22"/>
        </w:rPr>
        <w:t>):</w:t>
      </w:r>
    </w:p>
    <w:p w14:paraId="34CE82E3" w14:textId="77777777" w:rsidR="00D14BA5" w:rsidRPr="00D720E3" w:rsidRDefault="00D14BA5" w:rsidP="00D14BA5">
      <w:pPr>
        <w:jc w:val="both"/>
        <w:rPr>
          <w:b/>
          <w:bCs/>
          <w:sz w:val="18"/>
          <w:szCs w:val="18"/>
        </w:rPr>
      </w:pPr>
      <w:r w:rsidRPr="00D720E3">
        <w:rPr>
          <w:b/>
          <w:bCs/>
          <w:sz w:val="18"/>
          <w:szCs w:val="18"/>
        </w:rPr>
        <w:t>Theoretical Grounding of Evaluation Criteria</w:t>
      </w:r>
    </w:p>
    <w:p w14:paraId="718005CB" w14:textId="77777777" w:rsidR="00D14BA5" w:rsidRPr="00D720E3" w:rsidRDefault="00D14BA5" w:rsidP="00D14BA5">
      <w:pPr>
        <w:jc w:val="both"/>
        <w:rPr>
          <w:sz w:val="18"/>
          <w:szCs w:val="18"/>
        </w:rPr>
      </w:pPr>
      <w:r w:rsidRPr="00D720E3">
        <w:rPr>
          <w:sz w:val="18"/>
          <w:szCs w:val="18"/>
        </w:rPr>
        <w:t>The evaluation framework evaluates alternatives across four theory-derived criteria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3</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4</m:t>
            </m:r>
          </m:sub>
        </m:sSub>
      </m:oMath>
      <w:r w:rsidRPr="00D720E3">
        <w:rPr>
          <w:sz w:val="18"/>
          <w:szCs w:val="18"/>
        </w:rPr>
        <w:t>):</w:t>
      </w:r>
    </w:p>
    <w:p w14:paraId="576B39F3" w14:textId="77777777" w:rsidR="00D14BA5" w:rsidRPr="00EE25AD" w:rsidRDefault="00A77686" w:rsidP="00D14BA5">
      <w:pPr>
        <w:numPr>
          <w:ilvl w:val="0"/>
          <w:numId w:val="1"/>
        </w:numPr>
        <w:jc w:val="both"/>
        <w:rP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1</m:t>
            </m:r>
          </m:sub>
        </m:sSub>
      </m:oMath>
      <w:r w:rsidR="00D14BA5" w:rsidRPr="00D720E3">
        <w:rPr>
          <w:b/>
          <w:bCs/>
          <w:sz w:val="18"/>
          <w:szCs w:val="18"/>
        </w:rPr>
        <w:t>: Downside Protection and Benefit Security</w:t>
      </w:r>
    </w:p>
    <w:p w14:paraId="479B0D32" w14:textId="77777777" w:rsidR="00D14BA5" w:rsidRPr="00D720E3" w:rsidRDefault="00D14BA5" w:rsidP="00D14BA5">
      <w:pPr>
        <w:ind w:left="360"/>
        <w:jc w:val="both"/>
        <w:rPr>
          <w:sz w:val="18"/>
          <w:szCs w:val="18"/>
        </w:rPr>
      </w:pPr>
      <w:r>
        <w:rPr>
          <w:b/>
          <w:bCs/>
          <w:sz w:val="18"/>
          <w:szCs w:val="18"/>
        </w:rPr>
        <w:t xml:space="preserve">                         </w:t>
      </w:r>
      <w:r w:rsidRPr="00F04C4B">
        <w:rPr>
          <w:b/>
          <w:bCs/>
          <w:sz w:val="18"/>
          <w:szCs w:val="18"/>
        </w:rPr>
        <w:t>Security (C1)</w:t>
      </w:r>
      <w:r w:rsidRPr="00F04C4B">
        <w:rPr>
          <w:sz w:val="18"/>
          <w:szCs w:val="18"/>
        </w:rPr>
        <w:t xml:space="preserve"> evaluates the extent to which a pension scheme protects retirement savings through sovereign or statutory guarantees, protection of principal or pension benefits, and limited exposure to market and credit risk. Preserving accumulated retirement wealth becomes increasingly important as individuals approach retirement because they have less time to recover from investment losses (Bodie, 1995). Moreover, downside protection encourages long-term saving by reducing loss aversion (Calvet et al., 2023), while guaranteed pension benefits help safeguard retirement income during periods of economic uncertainty (Grande &amp; Visco, 2011)</w:t>
      </w:r>
      <w:r w:rsidRPr="00D720E3">
        <w:rPr>
          <w:sz w:val="18"/>
          <w:szCs w:val="18"/>
        </w:rPr>
        <w:t xml:space="preserve">  </w:t>
      </w:r>
    </w:p>
    <w:p w14:paraId="225622EA" w14:textId="77777777" w:rsidR="00D14BA5" w:rsidRPr="00477695" w:rsidRDefault="00A77686" w:rsidP="00D14BA5">
      <w:pPr>
        <w:numPr>
          <w:ilvl w:val="0"/>
          <w:numId w:val="1"/>
        </w:numPr>
        <w:jc w:val="both"/>
        <w:rP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2</m:t>
            </m:r>
          </m:sub>
        </m:sSub>
      </m:oMath>
      <w:r w:rsidR="00D14BA5" w:rsidRPr="00D720E3">
        <w:rPr>
          <w:b/>
          <w:bCs/>
          <w:sz w:val="18"/>
          <w:szCs w:val="18"/>
        </w:rPr>
        <w:t>: Cost and Administrative Efficiency</w:t>
      </w:r>
    </w:p>
    <w:p w14:paraId="5D862620" w14:textId="77777777" w:rsidR="00D14BA5" w:rsidRPr="00D254B7" w:rsidRDefault="00D14BA5" w:rsidP="00D14BA5">
      <w:pPr>
        <w:ind w:left="720"/>
        <w:jc w:val="both"/>
        <w:rPr>
          <w:sz w:val="18"/>
          <w:szCs w:val="18"/>
        </w:rPr>
      </w:pPr>
      <w:r w:rsidRPr="00D254B7">
        <w:rPr>
          <w:sz w:val="18"/>
          <w:szCs w:val="18"/>
        </w:rPr>
        <w:t xml:space="preserve">                Cost Efficiency (C2) evaluates the overall operational fee drag and institutional cost structure of a pension scheme, encompassing both direct subscriber fees (such as fund management and recordkeeping charges) and scheme-level administrative overheads. Over multi-decade accumulation phases, recurring institutional expenses reduce net fund productivity and overall system efficiency (Blake, 2003; Sharpe, 2013). Schemes operating with zero direct subscriber charges and fully subsidized administrative mechanisms receive highest efficiency scores, whereas schemes involving explicit institutional administrative levies or multi-tiered intermediary management fees receive relatively lower scores.</w:t>
      </w:r>
    </w:p>
    <w:p w14:paraId="7E717F86" w14:textId="77777777" w:rsidR="00D14BA5" w:rsidRPr="0014619A" w:rsidRDefault="00A77686" w:rsidP="00D14BA5">
      <w:pPr>
        <w:numPr>
          <w:ilvl w:val="0"/>
          <w:numId w:val="1"/>
        </w:numPr>
        <w:jc w:val="both"/>
        <w:rP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3</m:t>
            </m:r>
          </m:sub>
        </m:sSub>
      </m:oMath>
      <w:r w:rsidR="00D14BA5" w:rsidRPr="00D720E3">
        <w:rPr>
          <w:b/>
          <w:bCs/>
          <w:sz w:val="18"/>
          <w:szCs w:val="18"/>
        </w:rPr>
        <w:t>: Lifecycle Dynamic (Age Auto-Rebalancing)</w:t>
      </w:r>
    </w:p>
    <w:p w14:paraId="63363914" w14:textId="77777777" w:rsidR="00D14BA5" w:rsidRDefault="00D14BA5" w:rsidP="00D14BA5">
      <w:pPr>
        <w:ind w:left="720"/>
        <w:jc w:val="both"/>
        <w:rPr>
          <w:sz w:val="18"/>
          <w:szCs w:val="18"/>
        </w:rPr>
      </w:pPr>
      <w:r>
        <w:rPr>
          <w:b/>
          <w:bCs/>
          <w:sz w:val="18"/>
          <w:szCs w:val="18"/>
        </w:rPr>
        <w:t xml:space="preserve">               </w:t>
      </w:r>
      <w:r w:rsidRPr="0014619A">
        <w:rPr>
          <w:b/>
          <w:bCs/>
          <w:sz w:val="18"/>
          <w:szCs w:val="18"/>
        </w:rPr>
        <w:t>Lifecycle Portfolio Adjustment (C3)</w:t>
      </w:r>
      <w:r w:rsidRPr="0014619A">
        <w:rPr>
          <w:sz w:val="18"/>
          <w:szCs w:val="18"/>
        </w:rPr>
        <w:t xml:space="preserve"> evaluates the structural capacity of a pension scheme to dynamically rebalance asset allocation as a subscriber ages, systematically reducing exposure to market volatility as the retirement horizon approaches. According to classical lifecycle portfolio theory (Merton, 1969; Samuelson, 1969; </w:t>
      </w:r>
      <w:proofErr w:type="spellStart"/>
      <w:r w:rsidRPr="0014619A">
        <w:rPr>
          <w:sz w:val="18"/>
          <w:szCs w:val="18"/>
        </w:rPr>
        <w:t>Viceira</w:t>
      </w:r>
      <w:proofErr w:type="spellEnd"/>
      <w:r w:rsidRPr="0014619A">
        <w:rPr>
          <w:sz w:val="18"/>
          <w:szCs w:val="18"/>
        </w:rPr>
        <w:t>, 2001), optimal wealth preservation requires shifting capital from growth-oriented assets (equity) to capital-preserving assets (fixed income) to mitigate sequence-of-returns risk in late-career phases. Schemes featuring automated, age-indexed risk-reduction glide paths receive higher scores, whereas schemes maintaining static asset structures regardless of subscriber age receive lower scores</w:t>
      </w:r>
      <w:r>
        <w:rPr>
          <w:sz w:val="18"/>
          <w:szCs w:val="18"/>
        </w:rPr>
        <w:t>.</w:t>
      </w:r>
    </w:p>
    <w:p w14:paraId="3238A8C8" w14:textId="77777777" w:rsidR="00D14BA5" w:rsidRPr="00D254B7" w:rsidRDefault="00D14BA5" w:rsidP="00D14BA5">
      <w:pPr>
        <w:pStyle w:val="ListParagraph"/>
        <w:numPr>
          <w:ilvl w:val="0"/>
          <w:numId w:val="1"/>
        </w:numPr>
        <w:jc w:val="both"/>
        <w:rPr>
          <w:b/>
          <w:bCs/>
          <w:sz w:val="18"/>
          <w:szCs w:val="18"/>
        </w:rPr>
      </w:pPr>
      <w:r w:rsidRPr="00D254B7">
        <w:rPr>
          <w:b/>
          <w:bCs/>
          <w:sz w:val="18"/>
          <w:szCs w:val="18"/>
        </w:rPr>
        <w:t>Diversification (C4)</w:t>
      </w:r>
    </w:p>
    <w:p w14:paraId="42AFC571" w14:textId="77777777" w:rsidR="00D14BA5" w:rsidRDefault="00D14BA5" w:rsidP="00D14BA5">
      <w:pPr>
        <w:jc w:val="both"/>
        <w:rPr>
          <w:sz w:val="18"/>
          <w:szCs w:val="18"/>
        </w:rPr>
      </w:pPr>
      <w:r>
        <w:rPr>
          <w:sz w:val="18"/>
          <w:szCs w:val="18"/>
        </w:rPr>
        <w:t xml:space="preserve">                 </w:t>
      </w:r>
      <w:r w:rsidRPr="00D254B7">
        <w:rPr>
          <w:sz w:val="18"/>
          <w:szCs w:val="18"/>
        </w:rPr>
        <w:t xml:space="preserve"> evaluates the structural ability of a pension scheme to allocate investments across multiple asset classes—including equities, government securities, corporate bonds, and, where applicable, alternative assets—to reduce concentration risk and improve long-term risk-adjusted retirement outcomes. Grounded in Modern Portfolio Theory (Markowitz, 1952), holding uncorrelated or weakly correlated asset classes optimizes the investment frontier by minimizing portfolio variance for a given expected return. Schemes restricting capital to a single asset class receive the lowest scores, whereas schemes allowing broad multi-asset exposure across major asset classes receive higher scores.</w:t>
      </w:r>
      <w:r w:rsidRPr="00F4136E">
        <w:rPr>
          <w:sz w:val="18"/>
          <w:szCs w:val="18"/>
        </w:rPr>
        <w:t xml:space="preserve"> </w:t>
      </w:r>
    </w:p>
    <w:p w14:paraId="6C365026" w14:textId="77777777" w:rsidR="00D14BA5" w:rsidRPr="00F22F61" w:rsidRDefault="00D14BA5" w:rsidP="00D14BA5">
      <w:pPr>
        <w:jc w:val="both"/>
        <w:rPr>
          <w:sz w:val="18"/>
          <w:szCs w:val="18"/>
        </w:rPr>
      </w:pPr>
      <w:r w:rsidRPr="00F22F61">
        <w:rPr>
          <w:sz w:val="18"/>
          <w:szCs w:val="18"/>
        </w:rPr>
        <w:t xml:space="preserve">Following Blake’s (2000) pension risk-allocation framework, pension scheme suitability depends on career stability, as different employment patterns expose individuals to different retirement risks. Building on this premise, the present study defines two representative investor profiles. Profile 1 (High Career Risk) represents individuals with volatile income and frequent job transitions (e.g., informal and gig workers). Guided by Bodie’s (1995) Asset–Liability Matching framework, income uncertainty necessitates a conservative investment approach, assigning the highest weight to downside safety (C₁; </w:t>
      </w:r>
      <w:r w:rsidRPr="00F22F61">
        <w:rPr>
          <w:i/>
          <w:iCs/>
          <w:sz w:val="18"/>
          <w:szCs w:val="18"/>
        </w:rPr>
        <w:t>w₁</w:t>
      </w:r>
      <w:r w:rsidRPr="00F22F61">
        <w:rPr>
          <w:sz w:val="18"/>
          <w:szCs w:val="18"/>
        </w:rPr>
        <w:t xml:space="preserve"> = 0.50). In contrast, Profile 2 (Stable Career) represents salaried professionals with predictable earnings. Drawing on Modigliani’s (1986) Life-Cycle Hypothesis, stable human capital supports greater risk tolerance, placing higher emphasis on lifecycle rebalancing (C₃; </w:t>
      </w:r>
      <w:r w:rsidRPr="00F22F61">
        <w:rPr>
          <w:i/>
          <w:iCs/>
          <w:sz w:val="18"/>
          <w:szCs w:val="18"/>
        </w:rPr>
        <w:t>w₃</w:t>
      </w:r>
      <w:r w:rsidRPr="00F22F61">
        <w:rPr>
          <w:sz w:val="18"/>
          <w:szCs w:val="18"/>
        </w:rPr>
        <w:t xml:space="preserve"> = 0.35) and diversification (C₄; </w:t>
      </w:r>
      <w:r w:rsidRPr="00F22F61">
        <w:rPr>
          <w:i/>
          <w:iCs/>
          <w:sz w:val="18"/>
          <w:szCs w:val="18"/>
        </w:rPr>
        <w:t>w₄</w:t>
      </w:r>
      <w:r w:rsidRPr="00F22F61">
        <w:rPr>
          <w:sz w:val="18"/>
          <w:szCs w:val="18"/>
        </w:rPr>
        <w:t xml:space="preserve"> = 0.30) to enhance long-term retirement wealth.</w:t>
      </w:r>
    </w:p>
    <w:p w14:paraId="7AADA24F" w14:textId="77777777" w:rsidR="00D14BA5" w:rsidRDefault="00D14BA5" w:rsidP="00D14BA5">
      <w:pPr>
        <w:jc w:val="both"/>
        <w:rPr>
          <w:sz w:val="18"/>
          <w:szCs w:val="18"/>
        </w:rPr>
      </w:pPr>
    </w:p>
    <w:p w14:paraId="7238AF1A" w14:textId="77777777" w:rsidR="00D14BA5" w:rsidRDefault="00D14BA5" w:rsidP="00D14BA5">
      <w:pPr>
        <w:pStyle w:val="ListParagraph"/>
        <w:jc w:val="both"/>
        <w:rPr>
          <w:sz w:val="18"/>
          <w:szCs w:val="18"/>
        </w:rPr>
      </w:pPr>
    </w:p>
    <w:p w14:paraId="03A262C6" w14:textId="77777777" w:rsidR="00D14BA5" w:rsidRDefault="00D14BA5" w:rsidP="00D14BA5">
      <w:pPr>
        <w:pStyle w:val="ListParagraph"/>
        <w:jc w:val="both"/>
        <w:rPr>
          <w:sz w:val="18"/>
          <w:szCs w:val="18"/>
        </w:rPr>
      </w:pPr>
    </w:p>
    <w:p w14:paraId="07B3EFD2" w14:textId="77777777" w:rsidR="00D14BA5" w:rsidRPr="00D254B7" w:rsidRDefault="00D14BA5" w:rsidP="00D14BA5">
      <w:pPr>
        <w:pStyle w:val="ListParagraph"/>
        <w:jc w:val="both"/>
        <w:rPr>
          <w:sz w:val="18"/>
          <w:szCs w:val="18"/>
        </w:rPr>
      </w:pPr>
    </w:p>
    <w:p w14:paraId="1D03ED02" w14:textId="77777777" w:rsidR="00D14BA5" w:rsidRPr="00095A73" w:rsidRDefault="00D14BA5" w:rsidP="00D14BA5">
      <w:pPr>
        <w:jc w:val="both"/>
        <w:rPr>
          <w:szCs w:val="22"/>
        </w:rPr>
      </w:pPr>
      <w:r w:rsidRPr="00095A73">
        <w:rPr>
          <w:szCs w:val="22"/>
        </w:rPr>
        <w:t>.</w:t>
      </w:r>
    </w:p>
    <w:p w14:paraId="3AA83587" w14:textId="77777777" w:rsidR="00D14BA5" w:rsidRPr="00D720E3" w:rsidRDefault="00D14BA5" w:rsidP="00D14BA5">
      <w:pPr>
        <w:jc w:val="both"/>
        <w:rPr>
          <w:b/>
          <w:bCs/>
          <w:sz w:val="18"/>
          <w:szCs w:val="18"/>
        </w:rPr>
      </w:pPr>
      <w:r w:rsidRPr="00D720E3">
        <w:rPr>
          <w:b/>
          <w:bCs/>
          <w:sz w:val="18"/>
          <w:szCs w:val="18"/>
        </w:rPr>
        <w:t xml:space="preserve">3.4. Framework Architecture and Mathematical </w:t>
      </w:r>
      <w:proofErr w:type="spellStart"/>
      <w:r w:rsidRPr="00D720E3">
        <w:rPr>
          <w:b/>
          <w:bCs/>
          <w:sz w:val="18"/>
          <w:szCs w:val="18"/>
        </w:rPr>
        <w:t>Modeling</w:t>
      </w:r>
      <w:proofErr w:type="spellEnd"/>
    </w:p>
    <w:p w14:paraId="621A40AD" w14:textId="77777777" w:rsidR="00D14BA5" w:rsidRPr="00F75096" w:rsidRDefault="00D14BA5" w:rsidP="00D14BA5">
      <w:pPr>
        <w:jc w:val="both"/>
        <w:rPr>
          <w:b/>
          <w:bCs/>
          <w:sz w:val="18"/>
          <w:szCs w:val="18"/>
        </w:rPr>
      </w:pPr>
      <w:r w:rsidRPr="00D720E3">
        <w:rPr>
          <w:b/>
          <w:bCs/>
          <w:sz w:val="18"/>
          <w:szCs w:val="18"/>
        </w:rPr>
        <w:t>Table 1: Evaluation Decision Matrix (</w:t>
      </w:r>
      <m:oMath>
        <m:r>
          <m:rPr>
            <m:sty m:val="bi"/>
          </m:rPr>
          <w:rPr>
            <w:rFonts w:ascii="Cambria Math" w:hAnsi="Cambria Math"/>
            <w:sz w:val="18"/>
            <w:szCs w:val="18"/>
          </w:rPr>
          <m:t>D</m:t>
        </m:r>
      </m:oMath>
      <w:r w:rsidRPr="00D720E3">
        <w:rPr>
          <w:b/>
          <w:bCs/>
          <w:sz w:val="18"/>
          <w:szCs w:val="18"/>
        </w:rPr>
        <w:t>) and Criteria Weight Vectors (</w:t>
      </w:r>
      <m:oMath>
        <m:r>
          <m:rPr>
            <m:sty m:val="bi"/>
          </m:rPr>
          <w:rPr>
            <w:rFonts w:ascii="Cambria Math" w:hAnsi="Cambria Math"/>
            <w:sz w:val="18"/>
            <w:szCs w:val="18"/>
          </w:rPr>
          <m:t>W</m:t>
        </m:r>
      </m:oMath>
      <w:r w:rsidRPr="00D720E3">
        <w:rPr>
          <w:b/>
          <w:bCs/>
          <w:sz w:val="18"/>
          <w:szCs w:val="18"/>
        </w:rPr>
        <w:t>)</w:t>
      </w:r>
    </w:p>
    <w:p w14:paraId="24301560" w14:textId="77777777" w:rsidR="00D14BA5" w:rsidRDefault="00D14BA5" w:rsidP="00D14BA5">
      <w:pPr>
        <w:jc w:val="both"/>
      </w:pPr>
      <w:r w:rsidRPr="00095A73">
        <w:rPr>
          <w:noProof/>
        </w:rPr>
        <w:t xml:space="preserve"> </w:t>
      </w:r>
      <w:r w:rsidRPr="00095A73">
        <w:rPr>
          <w:noProof/>
        </w:rPr>
        <w:drawing>
          <wp:inline distT="0" distB="0" distL="0" distR="0" wp14:anchorId="6515308C" wp14:editId="78F46849">
            <wp:extent cx="5800725" cy="3459577"/>
            <wp:effectExtent l="0" t="0" r="0" b="7620"/>
            <wp:docPr id="38023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2078" name=""/>
                    <pic:cNvPicPr/>
                  </pic:nvPicPr>
                  <pic:blipFill>
                    <a:blip r:embed="rId5"/>
                    <a:stretch>
                      <a:fillRect/>
                    </a:stretch>
                  </pic:blipFill>
                  <pic:spPr>
                    <a:xfrm>
                      <a:off x="0" y="0"/>
                      <a:ext cx="5819099" cy="3470535"/>
                    </a:xfrm>
                    <a:prstGeom prst="rect">
                      <a:avLst/>
                    </a:prstGeom>
                  </pic:spPr>
                </pic:pic>
              </a:graphicData>
            </a:graphic>
          </wp:inline>
        </w:drawing>
      </w:r>
    </w:p>
    <w:p w14:paraId="63B0C642" w14:textId="77777777" w:rsidR="00D14BA5" w:rsidRPr="001317CE" w:rsidRDefault="00D14BA5" w:rsidP="00D14BA5">
      <w:pPr>
        <w:jc w:val="both"/>
      </w:pPr>
    </w:p>
    <w:p w14:paraId="0FB2CFA2" w14:textId="77777777" w:rsidR="00D14BA5" w:rsidRDefault="00D14BA5" w:rsidP="00D14BA5">
      <w:pPr>
        <w:jc w:val="both"/>
      </w:pPr>
      <w:r>
        <w:t xml:space="preserve">                   </w:t>
      </w:r>
      <w:r w:rsidRPr="00F06446">
        <w:t xml:space="preserve">This study adopts a </w:t>
      </w:r>
      <w:r w:rsidRPr="00F06446">
        <w:rPr>
          <w:b/>
          <w:bCs/>
        </w:rPr>
        <w:t>prescriptive decision-</w:t>
      </w:r>
      <w:proofErr w:type="spellStart"/>
      <w:r w:rsidRPr="00F06446">
        <w:rPr>
          <w:b/>
          <w:bCs/>
        </w:rPr>
        <w:t>modeling</w:t>
      </w:r>
      <w:proofErr w:type="spellEnd"/>
      <w:r w:rsidRPr="00F06446">
        <w:rPr>
          <w:b/>
          <w:bCs/>
        </w:rPr>
        <w:t xml:space="preserve"> approach</w:t>
      </w:r>
      <w:r w:rsidRPr="00F06446">
        <w:t xml:space="preserve"> (Bell et al., 1988), </w:t>
      </w:r>
      <w:r>
        <w:t xml:space="preserve">when a decision </w:t>
      </w:r>
      <w:proofErr w:type="spellStart"/>
      <w:r>
        <w:t>invovels</w:t>
      </w:r>
      <w:proofErr w:type="spellEnd"/>
      <w:r>
        <w:t xml:space="preserve"> too many variables </w:t>
      </w:r>
      <w:r w:rsidRPr="00F06446">
        <w:t xml:space="preserve">constructing a practical </w:t>
      </w:r>
      <w:proofErr w:type="gramStart"/>
      <w:r w:rsidRPr="00D720E3">
        <w:rPr>
          <w:sz w:val="18"/>
          <w:szCs w:val="18"/>
        </w:rPr>
        <w:t>deterministic</w:t>
      </w:r>
      <w:r w:rsidRPr="00F06446">
        <w:t xml:space="preserve"> </w:t>
      </w:r>
      <w:r>
        <w:t xml:space="preserve"> </w:t>
      </w:r>
      <w:r w:rsidRPr="00F06446">
        <w:t>MCDA</w:t>
      </w:r>
      <w:proofErr w:type="gramEnd"/>
      <w:r w:rsidRPr="00F06446">
        <w:t xml:space="preserve"> framework to guide decision-making across distinct career risk profiles. The structural logic and criterion hierarchies of the model are grounded in </w:t>
      </w:r>
      <w:r w:rsidRPr="00F06446">
        <w:rPr>
          <w:b/>
          <w:bCs/>
        </w:rPr>
        <w:t>normative economic theory</w:t>
      </w:r>
      <w:r w:rsidRPr="00F06446">
        <w:t xml:space="preserve"> (e.g., Bodie, 1995; Modigliani, 1986), which defines rational priorities under varying conditions of income uncertainty. By translating these normative principles into an operational Simple Additive Weighting (SAW) framework, the model provides an actionable tool for evaluating strategic choices without attempting to describe empirical </w:t>
      </w:r>
      <w:proofErr w:type="spellStart"/>
      <w:r w:rsidRPr="00F06446">
        <w:t>behavioral</w:t>
      </w:r>
      <w:proofErr w:type="spellEnd"/>
      <w:r w:rsidRPr="00F06446">
        <w:t xml:space="preserve"> biases (descriptive approach) or claim universal empirical precision for the baseline numerical weights."</w:t>
      </w:r>
    </w:p>
    <w:p w14:paraId="59D444C7" w14:textId="77777777" w:rsidR="00D14BA5" w:rsidRDefault="00D14BA5" w:rsidP="00D14BA5">
      <w:pPr>
        <w:jc w:val="both"/>
      </w:pPr>
      <w:r w:rsidRPr="001317CE">
        <w:t xml:space="preserve">Within the MCDA framework, the Simple Additive Weighting (SAW) method is adopted as the aggregation technique. SAW is selected because of its transparency, computational simplicity, intuitive additive structure, and ease of interpretation (Fishburn, 1967; Hwang &amp; Yoon, 1995). Its additive value function provides a clear and logically consistent mechanism for combining weighted criterion scores into an overall suitability score, making it well suited to theory-driven decision-support applications. Comparative studies have also shown that SAW frequently produces rankings comparable to those generated by more complex MCDA methods while remaining easier to interpret and communicate </w:t>
      </w:r>
      <w:r w:rsidRPr="001317CE">
        <w:lastRenderedPageBreak/>
        <w:t xml:space="preserve">(MacCrimmon, 1968; Zardari et al., 2015). Within the proposed framework, theory-informed normative weights are assigned to reflect the relative priority of the evaluation criteria across distinct career risk profiles, while SAW aggregates these weighted criterion scores into an overall suitability score. As these baseline weight vectors are normative modelling assumptions rather than empirically estimated parameters, their influence on the decision outcomes must be evaluated. Accordingly, a One-At-A-Time (OAT) sensitivity analysis is employed by varying each criterion weight individually, while maintaining the normalization constraint ((\sum </w:t>
      </w:r>
      <w:proofErr w:type="spellStart"/>
      <w:r w:rsidRPr="001317CE">
        <w:t>w_j</w:t>
      </w:r>
      <w:proofErr w:type="spellEnd"/>
      <w:r w:rsidRPr="001317CE">
        <w:t xml:space="preserve"> = 1)), to examine whether the resulting pension scheme rankings remain stable under plausible alternative weight configurations. This robustness assessment ensures that the study's conclusions are not unduly dependent on the baseline weight assumptions.</w:t>
      </w:r>
    </w:p>
    <w:p w14:paraId="3F5F78B5" w14:textId="77777777" w:rsidR="00D14BA5" w:rsidRDefault="00D14BA5" w:rsidP="00D14BA5">
      <w:pPr>
        <w:jc w:val="both"/>
        <w:rPr>
          <w:b/>
          <w:bCs/>
          <w:sz w:val="18"/>
          <w:szCs w:val="18"/>
        </w:rPr>
      </w:pPr>
    </w:p>
    <w:p w14:paraId="4CA69F9B" w14:textId="77777777" w:rsidR="00D14BA5" w:rsidRPr="00D720E3" w:rsidRDefault="00D14BA5" w:rsidP="00D14BA5">
      <w:pPr>
        <w:jc w:val="both"/>
        <w:rPr>
          <w:sz w:val="18"/>
          <w:szCs w:val="18"/>
        </w:rPr>
      </w:pPr>
      <w:r w:rsidRPr="00D720E3">
        <w:rPr>
          <w:b/>
          <w:bCs/>
          <w:sz w:val="18"/>
          <w:szCs w:val="18"/>
        </w:rPr>
        <w:t xml:space="preserve">3.4.1. </w:t>
      </w:r>
      <w:r w:rsidRPr="00D720E3">
        <w:rPr>
          <w:sz w:val="18"/>
          <w:szCs w:val="18"/>
        </w:rPr>
        <w:t>Model Formulation</w:t>
      </w:r>
    </w:p>
    <w:p w14:paraId="2F45CDB5" w14:textId="77777777" w:rsidR="00D14BA5" w:rsidRPr="00D720E3" w:rsidRDefault="00D14BA5" w:rsidP="00D14BA5">
      <w:pPr>
        <w:jc w:val="both"/>
        <w:rPr>
          <w:sz w:val="18"/>
          <w:szCs w:val="18"/>
        </w:rPr>
      </w:pPr>
      <w:r w:rsidRPr="00D720E3">
        <w:rPr>
          <w:sz w:val="18"/>
          <w:szCs w:val="18"/>
        </w:rPr>
        <w:t xml:space="preserve">Let </w:t>
      </w:r>
      <m:oMath>
        <m:r>
          <w:rPr>
            <w:rFonts w:ascii="Cambria Math" w:hAnsi="Cambria Math"/>
            <w:sz w:val="18"/>
            <w:szCs w:val="18"/>
          </w:rPr>
          <m:t>A=</m:t>
        </m:r>
        <m:d>
          <m:dPr>
            <m:begChr m:val="{"/>
            <m:endChr m:val="}"/>
            <m:ctrlPr>
              <w:rPr>
                <w:rFonts w:ascii="Cambria Math" w:hAnsi="Cambria Math"/>
                <w:sz w:val="18"/>
                <w:szCs w:val="18"/>
              </w:rPr>
            </m:ctrlPr>
          </m:dPr>
          <m:e>
            <m:r>
              <m:rPr>
                <m:nor/>
              </m:rPr>
              <w:rPr>
                <w:sz w:val="18"/>
                <w:szCs w:val="18"/>
              </w:rPr>
              <m:t>EPF</m:t>
            </m:r>
            <m:r>
              <w:rPr>
                <w:rFonts w:ascii="Cambria Math" w:hAnsi="Cambria Math"/>
                <w:sz w:val="18"/>
                <w:szCs w:val="18"/>
              </w:rPr>
              <m:t>,</m:t>
            </m:r>
            <m:r>
              <m:rPr>
                <m:nor/>
              </m:rPr>
              <w:rPr>
                <w:sz w:val="18"/>
                <w:szCs w:val="18"/>
              </w:rPr>
              <m:t>PPF</m:t>
            </m:r>
            <m:r>
              <w:rPr>
                <w:rFonts w:ascii="Cambria Math" w:hAnsi="Cambria Math"/>
                <w:sz w:val="18"/>
                <w:szCs w:val="18"/>
              </w:rPr>
              <m:t>,</m:t>
            </m:r>
            <m:r>
              <m:rPr>
                <m:nor/>
              </m:rPr>
              <w:rPr>
                <w:sz w:val="18"/>
                <w:szCs w:val="18"/>
              </w:rPr>
              <m:t>NPS</m:t>
            </m:r>
            <m:r>
              <w:rPr>
                <w:rFonts w:ascii="Cambria Math" w:hAnsi="Cambria Math"/>
                <w:sz w:val="18"/>
                <w:szCs w:val="18"/>
              </w:rPr>
              <m:t>,</m:t>
            </m:r>
            <m:r>
              <m:rPr>
                <m:nor/>
              </m:rPr>
              <w:rPr>
                <w:sz w:val="18"/>
                <w:szCs w:val="18"/>
              </w:rPr>
              <m:t>APY</m:t>
            </m:r>
          </m:e>
        </m:d>
      </m:oMath>
      <w:r w:rsidRPr="00D720E3">
        <w:rPr>
          <w:sz w:val="18"/>
          <w:szCs w:val="18"/>
        </w:rPr>
        <w:t xml:space="preserve"> denote the set of pension alternatives and </w:t>
      </w:r>
      <m:oMath>
        <m:r>
          <w:rPr>
            <w:rFonts w:ascii="Cambria Math" w:hAnsi="Cambria Math"/>
            <w:sz w:val="18"/>
            <w:szCs w:val="18"/>
          </w:rPr>
          <m:t>C=</m:t>
        </m:r>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3</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4</m:t>
                </m:r>
              </m:sub>
            </m:sSub>
          </m:e>
        </m:d>
      </m:oMath>
      <w:r w:rsidRPr="00D720E3">
        <w:rPr>
          <w:sz w:val="18"/>
          <w:szCs w:val="18"/>
        </w:rPr>
        <w:t xml:space="preserve"> represent the evaluation criteria:</w:t>
      </w:r>
    </w:p>
    <w:p w14:paraId="23F16EC6" w14:textId="77777777" w:rsidR="00D14BA5" w:rsidRPr="00D720E3" w:rsidRDefault="00D14BA5" w:rsidP="00D14BA5">
      <w:pPr>
        <w:jc w:val="both"/>
        <w:rPr>
          <w:sz w:val="18"/>
          <w:szCs w:val="18"/>
        </w:rPr>
      </w:pPr>
      <w:r w:rsidRPr="00D720E3">
        <w:rPr>
          <w:sz w:val="18"/>
          <w:szCs w:val="18"/>
        </w:rPr>
        <w:t>The overall Suitability Score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oMath>
      <w:r w:rsidRPr="00D720E3">
        <w:rPr>
          <w:sz w:val="18"/>
          <w:szCs w:val="18"/>
        </w:rPr>
        <w:t xml:space="preserve">) for scheme </w:t>
      </w:r>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i</m:t>
            </m:r>
          </m:sub>
        </m:sSub>
      </m:oMath>
      <w:r w:rsidRPr="00D720E3">
        <w:rPr>
          <w:sz w:val="18"/>
          <w:szCs w:val="18"/>
        </w:rPr>
        <w:t xml:space="preserve"> is computed using the Weighted Sum Model (WSM):</w:t>
      </w:r>
    </w:p>
    <w:p w14:paraId="0033697E" w14:textId="77777777" w:rsidR="00D14BA5" w:rsidRPr="00D720E3" w:rsidRDefault="00A77686" w:rsidP="00D14BA5">
      <w:pPr>
        <w:jc w:val="both"/>
        <w:rPr>
          <w:sz w:val="18"/>
          <w:szCs w:val="18"/>
        </w:rPr>
      </w:pPr>
      <m:oMathPara>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nary>
            <m:naryPr>
              <m:chr m:val="∑"/>
              <m:limLoc m:val="undOvr"/>
              <m:ctrlPr>
                <w:rPr>
                  <w:rFonts w:ascii="Cambria Math" w:hAnsi="Cambria Math"/>
                  <w:sz w:val="18"/>
                  <w:szCs w:val="18"/>
                </w:rPr>
              </m:ctrlPr>
            </m:naryPr>
            <m:sub>
              <m:r>
                <w:rPr>
                  <w:rFonts w:ascii="Cambria Math" w:hAnsi="Cambria Math"/>
                  <w:sz w:val="18"/>
                  <w:szCs w:val="18"/>
                </w:rPr>
                <m:t>j=1</m:t>
              </m:r>
            </m:sub>
            <m:sup>
              <m:r>
                <w:rPr>
                  <w:rFonts w:ascii="Cambria Math" w:hAnsi="Cambria Math"/>
                  <w:sz w:val="18"/>
                  <w:szCs w:val="18"/>
                </w:rPr>
                <m:t>4</m:t>
              </m:r>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ij</m:t>
              </m:r>
            </m:sub>
          </m:sSub>
          <m:r>
            <w:rPr>
              <w:rFonts w:ascii="Cambria Math" w:hAnsi="Cambria Math"/>
              <w:sz w:val="18"/>
              <w:szCs w:val="18"/>
            </w:rPr>
            <m:t xml:space="preserve">     </m:t>
          </m:r>
          <m:r>
            <m:rPr>
              <m:nor/>
            </m:rPr>
            <w:rPr>
              <w:sz w:val="18"/>
              <w:szCs w:val="18"/>
            </w:rPr>
            <m:t>subject to</m:t>
          </m:r>
          <m:r>
            <w:rPr>
              <w:rFonts w:ascii="Cambria Math" w:hAnsi="Cambria Math"/>
              <w:i/>
              <w:sz w:val="18"/>
              <w:szCs w:val="18"/>
            </w:rPr>
            <m:t> </m:t>
          </m:r>
          <m:nary>
            <m:naryPr>
              <m:chr m:val="∑"/>
              <m:limLoc m:val="undOvr"/>
              <m:ctrlPr>
                <w:rPr>
                  <w:rFonts w:ascii="Cambria Math" w:hAnsi="Cambria Math"/>
                  <w:sz w:val="18"/>
                  <w:szCs w:val="18"/>
                </w:rPr>
              </m:ctrlPr>
            </m:naryPr>
            <m:sub>
              <m:r>
                <w:rPr>
                  <w:rFonts w:ascii="Cambria Math" w:hAnsi="Cambria Math"/>
                  <w:sz w:val="18"/>
                  <w:szCs w:val="18"/>
                </w:rPr>
                <m:t>j=1</m:t>
              </m:r>
            </m:sub>
            <m:sup>
              <m:r>
                <w:rPr>
                  <w:rFonts w:ascii="Cambria Math" w:hAnsi="Cambria Math"/>
                  <w:sz w:val="18"/>
                  <w:szCs w:val="18"/>
                </w:rPr>
                <m:t>4</m:t>
              </m:r>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r>
            <w:rPr>
              <w:rFonts w:ascii="Cambria Math" w:hAnsi="Cambria Math"/>
              <w:sz w:val="18"/>
              <w:szCs w:val="18"/>
            </w:rPr>
            <m:t>=1, </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r>
            <w:rPr>
              <w:rFonts w:ascii="Cambria Math" w:hAnsi="Cambria Math"/>
              <w:sz w:val="18"/>
              <w:szCs w:val="18"/>
            </w:rPr>
            <m:t>≥0</m:t>
          </m:r>
        </m:oMath>
      </m:oMathPara>
    </w:p>
    <w:p w14:paraId="4F62A5CB" w14:textId="77777777" w:rsidR="00D14BA5" w:rsidRPr="00D720E3" w:rsidRDefault="00D14BA5" w:rsidP="00D14BA5">
      <w:pPr>
        <w:jc w:val="both"/>
        <w:rPr>
          <w:b/>
          <w:bCs/>
          <w:sz w:val="18"/>
          <w:szCs w:val="18"/>
        </w:rPr>
      </w:pPr>
      <w:r w:rsidRPr="00D720E3">
        <w:rPr>
          <w:b/>
          <w:bCs/>
          <w:sz w:val="18"/>
          <w:szCs w:val="18"/>
        </w:rPr>
        <w:t xml:space="preserve">where </w:t>
      </w:r>
      <m:oMath>
        <m:sSub>
          <m:sSubPr>
            <m:ctrlPr>
              <w:rPr>
                <w:rFonts w:ascii="Cambria Math" w:hAnsi="Cambria Math"/>
                <w:b/>
                <w:bCs/>
                <w:sz w:val="18"/>
                <w:szCs w:val="18"/>
              </w:rPr>
            </m:ctrlPr>
          </m:sSubPr>
          <m:e>
            <m:r>
              <m:rPr>
                <m:sty m:val="bi"/>
              </m:rPr>
              <w:rPr>
                <w:rFonts w:ascii="Cambria Math" w:hAnsi="Cambria Math"/>
                <w:sz w:val="18"/>
                <w:szCs w:val="18"/>
              </w:rPr>
              <m:t>x</m:t>
            </m:r>
          </m:e>
          <m:sub>
            <m:r>
              <m:rPr>
                <m:sty m:val="bi"/>
              </m:rPr>
              <w:rPr>
                <w:rFonts w:ascii="Cambria Math" w:hAnsi="Cambria Math"/>
                <w:sz w:val="18"/>
                <w:szCs w:val="18"/>
              </w:rPr>
              <m:t>ij</m:t>
            </m:r>
          </m:sub>
        </m:sSub>
        <m:r>
          <m:rPr>
            <m:sty m:val="bi"/>
          </m:rPr>
          <w:rPr>
            <w:rFonts w:ascii="Cambria Math" w:hAnsi="Cambria Math"/>
            <w:sz w:val="18"/>
            <w:szCs w:val="18"/>
          </w:rPr>
          <m:t>∈</m:t>
        </m:r>
        <m:d>
          <m:dPr>
            <m:begChr m:val="["/>
            <m:endChr m:val="]"/>
            <m:ctrlPr>
              <w:rPr>
                <w:rFonts w:ascii="Cambria Math" w:hAnsi="Cambria Math"/>
                <w:b/>
                <w:bCs/>
                <w:sz w:val="18"/>
                <w:szCs w:val="18"/>
              </w:rPr>
            </m:ctrlPr>
          </m:dPr>
          <m:e>
            <m:r>
              <m:rPr>
                <m:sty m:val="bi"/>
              </m:rPr>
              <w:rPr>
                <w:rFonts w:ascii="Cambria Math" w:hAnsi="Cambria Math"/>
                <w:sz w:val="18"/>
                <w:szCs w:val="18"/>
              </w:rPr>
              <m:t>0,1</m:t>
            </m:r>
          </m:e>
        </m:d>
      </m:oMath>
      <w:r w:rsidRPr="00D720E3">
        <w:rPr>
          <w:b/>
          <w:bCs/>
          <w:sz w:val="18"/>
          <w:szCs w:val="18"/>
        </w:rPr>
        <w:t xml:space="preserve"> is the performance score of </w:t>
      </w:r>
      <w:proofErr w:type="gramStart"/>
      <w:r w:rsidRPr="00D720E3">
        <w:rPr>
          <w:b/>
          <w:bCs/>
          <w:sz w:val="18"/>
          <w:szCs w:val="18"/>
        </w:rPr>
        <w:t>scheme</w:t>
      </w:r>
      <w:proofErr w:type="gramEnd"/>
      <w:r w:rsidRPr="00D720E3">
        <w:rPr>
          <w:b/>
          <w:bCs/>
          <w:sz w:val="18"/>
          <w:szCs w:val="18"/>
        </w:rPr>
        <w:t xml:space="preserve"> </w:t>
      </w:r>
      <m:oMath>
        <m:sSub>
          <m:sSubPr>
            <m:ctrlPr>
              <w:rPr>
                <w:rFonts w:ascii="Cambria Math" w:hAnsi="Cambria Math"/>
                <w:b/>
                <w:bCs/>
                <w:sz w:val="18"/>
                <w:szCs w:val="18"/>
              </w:rPr>
            </m:ctrlPr>
          </m:sSubPr>
          <m:e>
            <m:r>
              <m:rPr>
                <m:sty m:val="bi"/>
              </m:rPr>
              <w:rPr>
                <w:rFonts w:ascii="Cambria Math" w:hAnsi="Cambria Math"/>
                <w:sz w:val="18"/>
                <w:szCs w:val="18"/>
              </w:rPr>
              <m:t>A</m:t>
            </m:r>
          </m:e>
          <m:sub>
            <m:r>
              <m:rPr>
                <m:sty m:val="bi"/>
              </m:rPr>
              <w:rPr>
                <w:rFonts w:ascii="Cambria Math" w:hAnsi="Cambria Math"/>
                <w:sz w:val="18"/>
                <w:szCs w:val="18"/>
              </w:rPr>
              <m:t>i</m:t>
            </m:r>
          </m:sub>
        </m:sSub>
      </m:oMath>
      <w:r w:rsidRPr="00D720E3">
        <w:rPr>
          <w:b/>
          <w:bCs/>
          <w:sz w:val="18"/>
          <w:szCs w:val="18"/>
        </w:rPr>
        <w:t xml:space="preserve"> under criterion </w:t>
      </w:r>
      <m:oMath>
        <m:sSub>
          <m:sSubPr>
            <m:ctrlPr>
              <w:rPr>
                <w:rFonts w:ascii="Cambria Math" w:hAnsi="Cambria Math"/>
                <w:b/>
                <w:bCs/>
                <w:sz w:val="18"/>
                <w:szCs w:val="18"/>
              </w:rPr>
            </m:ctrlPr>
          </m:sSubPr>
          <m:e>
            <m:r>
              <m:rPr>
                <m:sty m:val="bi"/>
              </m:rPr>
              <w:rPr>
                <w:rFonts w:ascii="Cambria Math" w:hAnsi="Cambria Math"/>
                <w:sz w:val="18"/>
                <w:szCs w:val="18"/>
              </w:rPr>
              <m:t>C</m:t>
            </m:r>
          </m:e>
          <m:sub>
            <m:r>
              <m:rPr>
                <m:sty m:val="bi"/>
              </m:rPr>
              <w:rPr>
                <w:rFonts w:ascii="Cambria Math" w:hAnsi="Cambria Math"/>
                <w:sz w:val="18"/>
                <w:szCs w:val="18"/>
              </w:rPr>
              <m:t>j</m:t>
            </m:r>
          </m:sub>
        </m:sSub>
      </m:oMath>
      <w:r w:rsidRPr="00D720E3">
        <w:rPr>
          <w:b/>
          <w:bCs/>
          <w:sz w:val="18"/>
          <w:szCs w:val="18"/>
        </w:rPr>
        <w:t xml:space="preserve">, and </w:t>
      </w:r>
      <m:oMath>
        <m:sSub>
          <m:sSubPr>
            <m:ctrlPr>
              <w:rPr>
                <w:rFonts w:ascii="Cambria Math" w:hAnsi="Cambria Math"/>
                <w:b/>
                <w:bCs/>
                <w:sz w:val="18"/>
                <w:szCs w:val="18"/>
              </w:rPr>
            </m:ctrlPr>
          </m:sSubPr>
          <m:e>
            <m:r>
              <m:rPr>
                <m:sty m:val="bi"/>
              </m:rPr>
              <w:rPr>
                <w:rFonts w:ascii="Cambria Math" w:hAnsi="Cambria Math"/>
                <w:sz w:val="18"/>
                <w:szCs w:val="18"/>
              </w:rPr>
              <m:t>w</m:t>
            </m:r>
          </m:e>
          <m:sub>
            <m:r>
              <m:rPr>
                <m:sty m:val="bi"/>
              </m:rPr>
              <w:rPr>
                <w:rFonts w:ascii="Cambria Math" w:hAnsi="Cambria Math"/>
                <w:sz w:val="18"/>
                <w:szCs w:val="18"/>
              </w:rPr>
              <m:t>j</m:t>
            </m:r>
          </m:sub>
        </m:sSub>
      </m:oMath>
      <w:r w:rsidRPr="00D720E3">
        <w:rPr>
          <w:b/>
          <w:bCs/>
          <w:sz w:val="18"/>
          <w:szCs w:val="18"/>
        </w:rPr>
        <w:t xml:space="preserve"> is the criteria weight assigned according to the worker profile </w:t>
      </w:r>
      <m:oMath>
        <m:r>
          <m:rPr>
            <m:sty m:val="bi"/>
          </m:rPr>
          <w:rPr>
            <w:rFonts w:ascii="Cambria Math" w:hAnsi="Cambria Math"/>
            <w:sz w:val="18"/>
            <w:szCs w:val="18"/>
          </w:rPr>
          <m:t>W=</m:t>
        </m:r>
        <m:sSup>
          <m:sSupPr>
            <m:ctrlPr>
              <w:rPr>
                <w:rFonts w:ascii="Cambria Math" w:hAnsi="Cambria Math"/>
                <w:b/>
                <w:bCs/>
                <w:sz w:val="18"/>
                <w:szCs w:val="18"/>
              </w:rPr>
            </m:ctrlPr>
          </m:sSupPr>
          <m:e>
            <m:d>
              <m:dPr>
                <m:begChr m:val="["/>
                <m:endChr m:val="]"/>
                <m:ctrlPr>
                  <w:rPr>
                    <w:rFonts w:ascii="Cambria Math" w:hAnsi="Cambria Math"/>
                    <w:b/>
                    <w:bCs/>
                    <w:sz w:val="18"/>
                    <w:szCs w:val="18"/>
                  </w:rPr>
                </m:ctrlPr>
              </m:dPr>
              <m:e>
                <m:sSub>
                  <m:sSubPr>
                    <m:ctrlPr>
                      <w:rPr>
                        <w:rFonts w:ascii="Cambria Math" w:hAnsi="Cambria Math"/>
                        <w:b/>
                        <w:bCs/>
                        <w:sz w:val="18"/>
                        <w:szCs w:val="18"/>
                      </w:rPr>
                    </m:ctrlPr>
                  </m:sSubPr>
                  <m:e>
                    <m:r>
                      <m:rPr>
                        <m:sty m:val="bi"/>
                      </m:rPr>
                      <w:rPr>
                        <w:rFonts w:ascii="Cambria Math" w:hAnsi="Cambria Math"/>
                        <w:sz w:val="18"/>
                        <w:szCs w:val="18"/>
                      </w:rPr>
                      <m:t>w</m:t>
                    </m:r>
                  </m:e>
                  <m:sub>
                    <m:r>
                      <m:rPr>
                        <m:sty m:val="bi"/>
                      </m:rPr>
                      <w:rPr>
                        <w:rFonts w:ascii="Cambria Math" w:hAnsi="Cambria Math"/>
                        <w:sz w:val="18"/>
                        <w:szCs w:val="18"/>
                      </w:rPr>
                      <m:t>1</m:t>
                    </m:r>
                  </m:sub>
                </m:sSub>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w</m:t>
                    </m:r>
                  </m:e>
                  <m:sub>
                    <m:r>
                      <m:rPr>
                        <m:sty m:val="bi"/>
                      </m:rPr>
                      <w:rPr>
                        <w:rFonts w:ascii="Cambria Math" w:hAnsi="Cambria Math"/>
                        <w:sz w:val="18"/>
                        <w:szCs w:val="18"/>
                      </w:rPr>
                      <m:t>2</m:t>
                    </m:r>
                  </m:sub>
                </m:sSub>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w</m:t>
                    </m:r>
                  </m:e>
                  <m:sub>
                    <m:r>
                      <m:rPr>
                        <m:sty m:val="bi"/>
                      </m:rPr>
                      <w:rPr>
                        <w:rFonts w:ascii="Cambria Math" w:hAnsi="Cambria Math"/>
                        <w:sz w:val="18"/>
                        <w:szCs w:val="18"/>
                      </w:rPr>
                      <m:t>3</m:t>
                    </m:r>
                  </m:sub>
                </m:sSub>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w</m:t>
                    </m:r>
                  </m:e>
                  <m:sub>
                    <m:r>
                      <m:rPr>
                        <m:sty m:val="bi"/>
                      </m:rPr>
                      <w:rPr>
                        <w:rFonts w:ascii="Cambria Math" w:hAnsi="Cambria Math"/>
                        <w:sz w:val="18"/>
                        <w:szCs w:val="18"/>
                      </w:rPr>
                      <m:t>4</m:t>
                    </m:r>
                  </m:sub>
                </m:sSub>
              </m:e>
            </m:d>
          </m:e>
          <m:sup>
            <m:r>
              <m:rPr>
                <m:sty m:val="bi"/>
              </m:rPr>
              <w:rPr>
                <w:rFonts w:ascii="Cambria Math" w:hAnsi="Cambria Math"/>
                <w:sz w:val="18"/>
                <w:szCs w:val="18"/>
              </w:rPr>
              <m:t>T</m:t>
            </m:r>
          </m:sup>
        </m:sSup>
      </m:oMath>
      <w:r w:rsidRPr="00D720E3">
        <w:rPr>
          <w:b/>
          <w:bCs/>
          <w:sz w:val="18"/>
          <w:szCs w:val="18"/>
        </w:rPr>
        <w:t>.</w:t>
      </w:r>
    </w:p>
    <w:p w14:paraId="167F3E3B" w14:textId="77777777" w:rsidR="00D14BA5" w:rsidRPr="00D720E3" w:rsidRDefault="00D14BA5" w:rsidP="00D14BA5">
      <w:pPr>
        <w:jc w:val="both"/>
        <w:rPr>
          <w:sz w:val="18"/>
          <w:szCs w:val="18"/>
        </w:rPr>
      </w:pPr>
    </w:p>
    <w:p w14:paraId="2A832B5C" w14:textId="77777777" w:rsidR="00D14BA5" w:rsidRPr="00D720E3" w:rsidRDefault="00D14BA5" w:rsidP="00D14BA5">
      <w:pPr>
        <w:jc w:val="both"/>
        <w:rPr>
          <w:sz w:val="18"/>
          <w:szCs w:val="18"/>
        </w:rPr>
      </w:pPr>
      <w:r w:rsidRPr="00D720E3">
        <w:rPr>
          <w:sz w:val="18"/>
          <w:szCs w:val="18"/>
        </w:rPr>
        <w:t xml:space="preserve"> </w:t>
      </w:r>
      <w:r w:rsidRPr="00D720E3">
        <w:rPr>
          <w:b/>
          <w:bCs/>
          <w:sz w:val="18"/>
          <w:szCs w:val="18"/>
        </w:rPr>
        <w:t>Profile 1 (High Career Risk):</w:t>
      </w:r>
      <w:r w:rsidRPr="00D720E3">
        <w:rPr>
          <w:sz w:val="18"/>
          <w:szCs w:val="18"/>
        </w:rPr>
        <w:t xml:space="preserve"> Targets workers with volatile income (e.g., informal workers, gig professionals). Grounded in Bodie’s (1995) Asset–Liability Matching framework, income uncertainty mandates a conservative posture, giving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1</m:t>
            </m:r>
          </m:sub>
        </m:sSub>
      </m:oMath>
      <w:r w:rsidRPr="00D720E3">
        <w:rPr>
          <w:sz w:val="18"/>
          <w:szCs w:val="18"/>
        </w:rPr>
        <w:t xml:space="preserve"> primary weight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=0.50</m:t>
        </m:r>
      </m:oMath>
      <w:r w:rsidRPr="00D720E3">
        <w:rPr>
          <w:sz w:val="18"/>
          <w:szCs w:val="18"/>
        </w:rPr>
        <w:t>).</w:t>
      </w:r>
    </w:p>
    <w:p w14:paraId="05233EAB" w14:textId="77777777" w:rsidR="00D14BA5" w:rsidRPr="00D720E3" w:rsidRDefault="00D14BA5" w:rsidP="00D14BA5">
      <w:pPr>
        <w:jc w:val="both"/>
        <w:rPr>
          <w:sz w:val="18"/>
          <w:szCs w:val="18"/>
        </w:rPr>
      </w:pPr>
      <w:r w:rsidRPr="00D720E3">
        <w:rPr>
          <w:b/>
          <w:bCs/>
          <w:sz w:val="18"/>
          <w:szCs w:val="18"/>
        </w:rPr>
        <w:t>Profile 2 (Stable Career):</w:t>
      </w:r>
      <w:r w:rsidRPr="00D720E3">
        <w:rPr>
          <w:sz w:val="18"/>
          <w:szCs w:val="18"/>
        </w:rPr>
        <w:t xml:space="preserve"> Targets salaried professionals. Grounded in Modigliani’s (1986) Life-Cycle Hypothesis, stable human capital allows higher risk tolerance for long-term growth via dynamic rebalancing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3</m:t>
            </m:r>
          </m:sub>
        </m:sSub>
        <m:r>
          <w:rPr>
            <w:rFonts w:ascii="Cambria Math" w:hAnsi="Cambria Math"/>
            <w:sz w:val="18"/>
            <w:szCs w:val="18"/>
          </w:rPr>
          <m:t>=0.35</m:t>
        </m:r>
      </m:oMath>
      <w:r w:rsidRPr="00D720E3">
        <w:rPr>
          <w:sz w:val="18"/>
          <w:szCs w:val="18"/>
        </w:rPr>
        <w:t>) and diversification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4</m:t>
            </m:r>
          </m:sub>
        </m:sSub>
        <m:r>
          <w:rPr>
            <w:rFonts w:ascii="Cambria Math" w:hAnsi="Cambria Math"/>
            <w:sz w:val="18"/>
            <w:szCs w:val="18"/>
          </w:rPr>
          <m:t>=0.30</m:t>
        </m:r>
      </m:oMath>
      <w:r w:rsidRPr="00D720E3">
        <w:rPr>
          <w:sz w:val="18"/>
          <w:szCs w:val="18"/>
        </w:rPr>
        <w:t>).</w:t>
      </w:r>
    </w:p>
    <w:p w14:paraId="3427DC38" w14:textId="77777777" w:rsidR="00D14BA5" w:rsidRPr="00D720E3" w:rsidRDefault="00D14BA5" w:rsidP="00D14BA5">
      <w:pPr>
        <w:jc w:val="both"/>
        <w:rPr>
          <w:sz w:val="18"/>
          <w:szCs w:val="18"/>
        </w:rPr>
      </w:pPr>
    </w:p>
    <w:p w14:paraId="78382FB9" w14:textId="77777777" w:rsidR="00D14BA5" w:rsidRPr="00D720E3" w:rsidRDefault="00D14BA5" w:rsidP="00D14BA5">
      <w:pPr>
        <w:jc w:val="both"/>
        <w:rPr>
          <w:b/>
          <w:bCs/>
          <w:sz w:val="18"/>
          <w:szCs w:val="18"/>
        </w:rPr>
      </w:pPr>
      <w:r w:rsidRPr="00D720E3">
        <w:rPr>
          <w:b/>
          <w:bCs/>
          <w:sz w:val="18"/>
          <w:szCs w:val="18"/>
        </w:rPr>
        <w:t>3.5. SAW Aggregation and Empirical Results</w:t>
      </w:r>
    </w:p>
    <w:p w14:paraId="1E8BD52E" w14:textId="77777777" w:rsidR="00D14BA5" w:rsidRPr="00D720E3" w:rsidRDefault="00D14BA5" w:rsidP="00D14BA5">
      <w:pPr>
        <w:jc w:val="both"/>
        <w:rPr>
          <w:sz w:val="18"/>
          <w:szCs w:val="18"/>
        </w:rPr>
      </w:pPr>
      <w:r w:rsidRPr="00D720E3">
        <w:rPr>
          <w:sz w:val="18"/>
          <w:szCs w:val="18"/>
        </w:rPr>
        <w:t xml:space="preserve">Using the linear additive model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nary>
          <m:naryPr>
            <m:chr m:val="∑"/>
            <m:limLoc m:val="undOvr"/>
            <m:ctrlPr>
              <w:rPr>
                <w:rFonts w:ascii="Cambria Math" w:hAnsi="Cambria Math"/>
                <w:sz w:val="18"/>
                <w:szCs w:val="18"/>
              </w:rPr>
            </m:ctrlPr>
          </m:naryPr>
          <m:sub>
            <m:r>
              <w:rPr>
                <w:rFonts w:ascii="Cambria Math" w:hAnsi="Cambria Math"/>
                <w:sz w:val="18"/>
                <w:szCs w:val="18"/>
              </w:rPr>
              <m:t>j=1</m:t>
            </m:r>
          </m:sub>
          <m:sup>
            <m:r>
              <w:rPr>
                <w:rFonts w:ascii="Cambria Math" w:hAnsi="Cambria Math"/>
                <w:sz w:val="18"/>
                <w:szCs w:val="18"/>
              </w:rPr>
              <m:t>4</m:t>
            </m:r>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ij</m:t>
            </m:r>
          </m:sub>
        </m:sSub>
      </m:oMath>
      <w:r w:rsidRPr="00D720E3">
        <w:rPr>
          <w:sz w:val="18"/>
          <w:szCs w:val="18"/>
        </w:rPr>
        <w:t>, final suitability scores and scheme rankings are calculated for both worker archetypes.</w:t>
      </w:r>
    </w:p>
    <w:p w14:paraId="757DFAAF" w14:textId="77777777" w:rsidR="00D14BA5" w:rsidRPr="00D720E3" w:rsidRDefault="00D14BA5" w:rsidP="00D14BA5">
      <w:pPr>
        <w:jc w:val="both"/>
        <w:rPr>
          <w:b/>
          <w:bCs/>
          <w:sz w:val="18"/>
          <w:szCs w:val="18"/>
        </w:rPr>
      </w:pPr>
      <w:r w:rsidRPr="00D720E3">
        <w:rPr>
          <w:b/>
          <w:bCs/>
          <w:sz w:val="18"/>
          <w:szCs w:val="18"/>
        </w:rPr>
        <w:t>3.5.1. Profile 1 Evaluation (High Career Risk)</w:t>
      </w:r>
    </w:p>
    <w:p w14:paraId="7D06F585" w14:textId="77777777" w:rsidR="00D14BA5" w:rsidRPr="00D720E3" w:rsidRDefault="00A77686" w:rsidP="00D14BA5">
      <w:pPr>
        <w:jc w:val="both"/>
        <w:rPr>
          <w:sz w:val="18"/>
          <w:szCs w:val="18"/>
        </w:rPr>
      </w:pPr>
      <m:oMathPara>
        <m:oMath>
          <m:eqArr>
            <m:eqArrPr>
              <m:maxDist m:val="1"/>
              <m:ctrlPr>
                <w:rPr>
                  <w:rFonts w:ascii="Cambria Math" w:hAnsi="Cambria Math"/>
                  <w:sz w:val="18"/>
                  <w:szCs w:val="18"/>
                </w:rPr>
              </m:ctrlPr>
            </m:eqArr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1</m:t>
                  </m:r>
                </m:sub>
              </m:sSub>
              <m:d>
                <m:dPr>
                  <m:ctrlPr>
                    <w:rPr>
                      <w:rFonts w:ascii="Cambria Math" w:hAnsi="Cambria Math"/>
                      <w:sz w:val="18"/>
                      <w:szCs w:val="18"/>
                    </w:rPr>
                  </m:ctrlPr>
                </m:dPr>
                <m:e>
                  <m:r>
                    <m:rPr>
                      <m:nor/>
                    </m:rPr>
                    <w:rPr>
                      <w:sz w:val="18"/>
                      <w:szCs w:val="18"/>
                    </w:rPr>
                    <m:t>EPF</m:t>
                  </m:r>
                </m:e>
              </m:d>
              <m:r>
                <w:rPr>
                  <w:rFonts w:ascii="Cambria Math" w:hAnsi="Cambria Math"/>
                  <w:sz w:val="18"/>
                  <w:szCs w:val="18"/>
                </w:rPr>
                <m:t>&amp;=</m:t>
              </m:r>
              <m:d>
                <m:dPr>
                  <m:ctrlPr>
                    <w:rPr>
                      <w:rFonts w:ascii="Cambria Math" w:hAnsi="Cambria Math"/>
                      <w:sz w:val="18"/>
                      <w:szCs w:val="18"/>
                    </w:rPr>
                  </m:ctrlPr>
                </m:dPr>
                <m:e>
                  <m:r>
                    <w:rPr>
                      <w:rFonts w:ascii="Cambria Math" w:hAnsi="Cambria Math"/>
                      <w:sz w:val="18"/>
                      <w:szCs w:val="18"/>
                    </w:rPr>
                    <m:t>0.50×0.8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0.20×0.8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0.10×0.2</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0.20×0.5</m:t>
                  </m:r>
                </m:e>
              </m:d>
              <m:r>
                <w:rPr>
                  <w:rFonts w:ascii="Cambria Math" w:hAnsi="Cambria Math"/>
                  <w:sz w:val="18"/>
                  <w:szCs w:val="18"/>
                </w:rPr>
                <m:t>=0.680</m:t>
              </m:r>
            </m:e>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2</m:t>
                  </m:r>
                </m:sub>
              </m:sSub>
              <m:d>
                <m:dPr>
                  <m:ctrlPr>
                    <w:rPr>
                      <w:rFonts w:ascii="Cambria Math" w:hAnsi="Cambria Math"/>
                      <w:sz w:val="18"/>
                      <w:szCs w:val="18"/>
                    </w:rPr>
                  </m:ctrlPr>
                </m:dPr>
                <m:e>
                  <m:r>
                    <m:rPr>
                      <m:nor/>
                    </m:rPr>
                    <w:rPr>
                      <w:sz w:val="18"/>
                      <w:szCs w:val="18"/>
                    </w:rPr>
                    <m:t>PPF</m:t>
                  </m:r>
                </m:e>
              </m:d>
              <m:r>
                <w:rPr>
                  <w:rFonts w:ascii="Cambria Math" w:hAnsi="Cambria Math"/>
                  <w:sz w:val="18"/>
                  <w:szCs w:val="18"/>
                </w:rPr>
                <m:t>&amp;=</m:t>
              </m:r>
              <m:d>
                <m:dPr>
                  <m:ctrlPr>
                    <w:rPr>
                      <w:rFonts w:ascii="Cambria Math" w:hAnsi="Cambria Math"/>
                      <w:sz w:val="18"/>
                      <w:szCs w:val="18"/>
                    </w:rPr>
                  </m:ctrlPr>
                </m:dPr>
                <m:e>
                  <m:r>
                    <w:rPr>
                      <w:rFonts w:ascii="Cambria Math" w:hAnsi="Cambria Math"/>
                      <w:sz w:val="18"/>
                      <w:szCs w:val="18"/>
                    </w:rPr>
                    <m:t>0.50×1.0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0.10×0.0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0.20×0.0</m:t>
                  </m:r>
                </m:e>
              </m:d>
              <m:r>
                <w:rPr>
                  <w:rFonts w:ascii="Cambria Math" w:hAnsi="Cambria Math"/>
                  <w:sz w:val="18"/>
                  <w:szCs w:val="18"/>
                </w:rPr>
                <m:t>=0.700</m:t>
              </m:r>
            </m:e>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3</m:t>
                  </m:r>
                </m:sub>
              </m:sSub>
              <m:d>
                <m:dPr>
                  <m:ctrlPr>
                    <w:rPr>
                      <w:rFonts w:ascii="Cambria Math" w:hAnsi="Cambria Math"/>
                      <w:sz w:val="18"/>
                      <w:szCs w:val="18"/>
                    </w:rPr>
                  </m:ctrlPr>
                </m:dPr>
                <m:e>
                  <m:r>
                    <m:rPr>
                      <m:nor/>
                    </m:rPr>
                    <w:rPr>
                      <w:sz w:val="18"/>
                      <w:szCs w:val="18"/>
                    </w:rPr>
                    <m:t>NPS</m:t>
                  </m:r>
                </m:e>
              </m:d>
              <m:r>
                <w:rPr>
                  <w:rFonts w:ascii="Cambria Math" w:hAnsi="Cambria Math"/>
                  <w:sz w:val="18"/>
                  <w:szCs w:val="18"/>
                </w:rPr>
                <m:t>&amp;=</m:t>
              </m:r>
              <m:d>
                <m:dPr>
                  <m:ctrlPr>
                    <w:rPr>
                      <w:rFonts w:ascii="Cambria Math" w:hAnsi="Cambria Math"/>
                      <w:sz w:val="18"/>
                      <w:szCs w:val="18"/>
                    </w:rPr>
                  </m:ctrlPr>
                </m:dPr>
                <m:e>
                  <m:r>
                    <w:rPr>
                      <w:rFonts w:ascii="Cambria Math" w:hAnsi="Cambria Math"/>
                      <w:sz w:val="18"/>
                      <w:szCs w:val="18"/>
                    </w:rPr>
                    <m:t>0.50×0.5</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0.20×0.8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0.10×1.0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0.20×1.0</m:t>
                  </m:r>
                </m:e>
              </m:d>
              <m:r>
                <w:rPr>
                  <w:rFonts w:ascii="Cambria Math" w:hAnsi="Cambria Math"/>
                  <w:sz w:val="18"/>
                  <w:szCs w:val="18"/>
                </w:rPr>
                <m:t>=</m:t>
              </m:r>
              <m:r>
                <m:rPr>
                  <m:sty m:val="b"/>
                </m:rPr>
                <w:rPr>
                  <w:rFonts w:ascii="Cambria Math" w:hAnsi="Cambria Math"/>
                  <w:sz w:val="18"/>
                  <w:szCs w:val="18"/>
                </w:rPr>
                <m:t>0.710</m:t>
              </m:r>
            </m:e>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4</m:t>
                  </m:r>
                </m:sub>
              </m:sSub>
              <m:d>
                <m:dPr>
                  <m:ctrlPr>
                    <w:rPr>
                      <w:rFonts w:ascii="Cambria Math" w:hAnsi="Cambria Math"/>
                      <w:sz w:val="18"/>
                      <w:szCs w:val="18"/>
                    </w:rPr>
                  </m:ctrlPr>
                </m:dPr>
                <m:e>
                  <m:r>
                    <m:rPr>
                      <m:nor/>
                    </m:rPr>
                    <w:rPr>
                      <w:sz w:val="18"/>
                      <w:szCs w:val="18"/>
                    </w:rPr>
                    <m:t>APY</m:t>
                  </m:r>
                </m:e>
              </m:d>
              <m:r>
                <w:rPr>
                  <w:rFonts w:ascii="Cambria Math" w:hAnsi="Cambria Math"/>
                  <w:sz w:val="18"/>
                  <w:szCs w:val="18"/>
                </w:rPr>
                <m:t>&amp;=</m:t>
              </m:r>
              <m:d>
                <m:dPr>
                  <m:ctrlPr>
                    <w:rPr>
                      <w:rFonts w:ascii="Cambria Math" w:hAnsi="Cambria Math"/>
                      <w:sz w:val="18"/>
                      <w:szCs w:val="18"/>
                    </w:rPr>
                  </m:ctrlPr>
                </m:dPr>
                <m:e>
                  <m:r>
                    <w:rPr>
                      <w:rFonts w:ascii="Cambria Math" w:hAnsi="Cambria Math"/>
                      <w:sz w:val="18"/>
                      <w:szCs w:val="18"/>
                    </w:rPr>
                    <m:t>0.50×1.0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0.10×0.0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0.20×0.0</m:t>
                  </m:r>
                </m:e>
              </m:d>
              <m:r>
                <w:rPr>
                  <w:rFonts w:ascii="Cambria Math" w:hAnsi="Cambria Math"/>
                  <w:sz w:val="18"/>
                  <w:szCs w:val="18"/>
                </w:rPr>
                <m:t>=0.700</m:t>
              </m:r>
            </m:e>
          </m:eqArr>
        </m:oMath>
      </m:oMathPara>
    </w:p>
    <w:p w14:paraId="0F05E987" w14:textId="77777777" w:rsidR="00D14BA5" w:rsidRPr="00D720E3" w:rsidRDefault="00D14BA5" w:rsidP="00D14BA5">
      <w:pPr>
        <w:numPr>
          <w:ilvl w:val="0"/>
          <w:numId w:val="2"/>
        </w:numPr>
        <w:jc w:val="both"/>
        <w:rPr>
          <w:sz w:val="18"/>
          <w:szCs w:val="18"/>
        </w:rPr>
      </w:pPr>
      <w:r w:rsidRPr="00D720E3">
        <w:rPr>
          <w:b/>
          <w:bCs/>
          <w:sz w:val="18"/>
          <w:szCs w:val="18"/>
        </w:rPr>
        <w:t>Ranking (Profile 1):</w:t>
      </w:r>
      <w:r w:rsidRPr="00D720E3">
        <w:rPr>
          <w:sz w:val="18"/>
          <w:szCs w:val="18"/>
        </w:rPr>
        <w:t xml:space="preserve"> </w:t>
      </w:r>
      <m:oMath>
        <m:r>
          <m:rPr>
            <m:nor/>
          </m:rPr>
          <w:rPr>
            <w:sz w:val="18"/>
            <w:szCs w:val="18"/>
          </w:rPr>
          <m:t>NPS </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3</m:t>
                </m:r>
              </m:sub>
            </m:sSub>
          </m:e>
        </m:d>
        <m:r>
          <w:rPr>
            <w:rFonts w:ascii="Cambria Math" w:hAnsi="Cambria Math"/>
            <w:sz w:val="18"/>
            <w:szCs w:val="18"/>
          </w:rPr>
          <m:t>≻</m:t>
        </m:r>
        <m:d>
          <m:dPr>
            <m:begChr m:val="["/>
            <m:endChr m:val="]"/>
            <m:ctrlPr>
              <w:rPr>
                <w:rFonts w:ascii="Cambria Math" w:hAnsi="Cambria Math"/>
                <w:sz w:val="18"/>
                <w:szCs w:val="18"/>
              </w:rPr>
            </m:ctrlPr>
          </m:dPr>
          <m:e>
            <m:r>
              <m:rPr>
                <m:nor/>
              </m:rPr>
              <w:rPr>
                <w:sz w:val="18"/>
                <w:szCs w:val="18"/>
              </w:rPr>
              <m:t>PPF </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2</m:t>
                    </m:r>
                  </m:sub>
                </m:sSub>
              </m:e>
            </m:d>
            <m:r>
              <w:rPr>
                <w:rFonts w:ascii="Cambria Math" w:hAnsi="Cambria Math"/>
                <w:sz w:val="18"/>
                <w:szCs w:val="18"/>
              </w:rPr>
              <m:t>=</m:t>
            </m:r>
            <m:r>
              <m:rPr>
                <m:nor/>
              </m:rPr>
              <w:rPr>
                <w:sz w:val="18"/>
                <w:szCs w:val="18"/>
              </w:rPr>
              <m:t>APY </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4</m:t>
                    </m:r>
                  </m:sub>
                </m:sSub>
              </m:e>
            </m:d>
          </m:e>
        </m:d>
        <m:r>
          <w:rPr>
            <w:rFonts w:ascii="Cambria Math" w:hAnsi="Cambria Math"/>
            <w:sz w:val="18"/>
            <w:szCs w:val="18"/>
          </w:rPr>
          <m:t>≻</m:t>
        </m:r>
        <m:r>
          <m:rPr>
            <m:nor/>
          </m:rPr>
          <w:rPr>
            <w:sz w:val="18"/>
            <w:szCs w:val="18"/>
          </w:rPr>
          <m:t>EPF </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1</m:t>
                </m:r>
              </m:sub>
            </m:sSub>
          </m:e>
        </m:d>
      </m:oMath>
    </w:p>
    <w:p w14:paraId="70DC9D68" w14:textId="77777777" w:rsidR="00D14BA5" w:rsidRPr="00D720E3" w:rsidRDefault="00D14BA5" w:rsidP="00D14BA5">
      <w:pPr>
        <w:jc w:val="both"/>
        <w:rPr>
          <w:b/>
          <w:bCs/>
          <w:sz w:val="18"/>
          <w:szCs w:val="18"/>
        </w:rPr>
      </w:pPr>
      <w:r w:rsidRPr="00D720E3">
        <w:rPr>
          <w:b/>
          <w:bCs/>
          <w:sz w:val="18"/>
          <w:szCs w:val="18"/>
        </w:rPr>
        <w:t>3.5.2. Profile 2 Evaluation (Stable Career)</w:t>
      </w:r>
    </w:p>
    <w:p w14:paraId="5A8F95EA" w14:textId="77777777" w:rsidR="00D14BA5" w:rsidRPr="00D720E3" w:rsidRDefault="00A77686" w:rsidP="00D14BA5">
      <w:pPr>
        <w:jc w:val="both"/>
        <w:rPr>
          <w:rFonts w:eastAsiaTheme="minorEastAsia"/>
          <w:sz w:val="18"/>
          <w:szCs w:val="18"/>
        </w:rPr>
      </w:pPr>
      <m:oMathPara>
        <m:oMath>
          <m:eqArr>
            <m:eqArrPr>
              <m:maxDist m:val="1"/>
              <m:ctrlPr>
                <w:rPr>
                  <w:rFonts w:ascii="Cambria Math" w:hAnsi="Cambria Math"/>
                  <w:sz w:val="18"/>
                  <w:szCs w:val="18"/>
                </w:rPr>
              </m:ctrlPr>
            </m:eqArr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1</m:t>
                  </m:r>
                </m:sub>
              </m:sSub>
              <m:d>
                <m:dPr>
                  <m:ctrlPr>
                    <w:rPr>
                      <w:rFonts w:ascii="Cambria Math" w:hAnsi="Cambria Math"/>
                      <w:sz w:val="18"/>
                      <w:szCs w:val="18"/>
                    </w:rPr>
                  </m:ctrlPr>
                </m:dPr>
                <m:e>
                  <m:r>
                    <m:rPr>
                      <m:nor/>
                    </m:rPr>
                    <w:rPr>
                      <w:sz w:val="18"/>
                      <w:szCs w:val="18"/>
                    </w:rPr>
                    <m:t>EPF</m:t>
                  </m:r>
                </m:e>
              </m:d>
              <m:r>
                <w:rPr>
                  <w:rFonts w:ascii="Cambria Math" w:hAnsi="Cambria Math"/>
                  <w:sz w:val="18"/>
                  <w:szCs w:val="18"/>
                </w:rPr>
                <m:t>&amp;=</m:t>
              </m:r>
              <m:d>
                <m:dPr>
                  <m:ctrlPr>
                    <w:rPr>
                      <w:rFonts w:ascii="Cambria Math" w:hAnsi="Cambria Math"/>
                      <w:sz w:val="18"/>
                      <w:szCs w:val="18"/>
                    </w:rPr>
                  </m:ctrlPr>
                </m:dPr>
                <m:e>
                  <m:r>
                    <w:rPr>
                      <w:rFonts w:ascii="Cambria Math" w:hAnsi="Cambria Math"/>
                      <w:sz w:val="18"/>
                      <w:szCs w:val="18"/>
                    </w:rPr>
                    <m:t>0.15×0.8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0.20×0.8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0.35×0.2</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0.30×0.5</m:t>
                  </m:r>
                </m:e>
              </m:d>
              <m:r>
                <w:rPr>
                  <w:rFonts w:ascii="Cambria Math" w:hAnsi="Cambria Math"/>
                  <w:sz w:val="18"/>
                  <w:szCs w:val="18"/>
                </w:rPr>
                <m:t>=0.500</m:t>
              </m:r>
            </m:e>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2</m:t>
                  </m:r>
                </m:sub>
              </m:sSub>
              <m:d>
                <m:dPr>
                  <m:ctrlPr>
                    <w:rPr>
                      <w:rFonts w:ascii="Cambria Math" w:hAnsi="Cambria Math"/>
                      <w:sz w:val="18"/>
                      <w:szCs w:val="18"/>
                    </w:rPr>
                  </m:ctrlPr>
                </m:dPr>
                <m:e>
                  <m:r>
                    <m:rPr>
                      <m:nor/>
                    </m:rPr>
                    <w:rPr>
                      <w:sz w:val="18"/>
                      <w:szCs w:val="18"/>
                    </w:rPr>
                    <m:t>PPF</m:t>
                  </m:r>
                </m:e>
              </m:d>
              <m:r>
                <w:rPr>
                  <w:rFonts w:ascii="Cambria Math" w:hAnsi="Cambria Math"/>
                  <w:sz w:val="18"/>
                  <w:szCs w:val="18"/>
                </w:rPr>
                <m:t>&amp;=</m:t>
              </m:r>
              <m:d>
                <m:dPr>
                  <m:ctrlPr>
                    <w:rPr>
                      <w:rFonts w:ascii="Cambria Math" w:hAnsi="Cambria Math"/>
                      <w:sz w:val="18"/>
                      <w:szCs w:val="18"/>
                    </w:rPr>
                  </m:ctrlPr>
                </m:dPr>
                <m:e>
                  <m:r>
                    <w:rPr>
                      <w:rFonts w:ascii="Cambria Math" w:hAnsi="Cambria Math"/>
                      <w:sz w:val="18"/>
                      <w:szCs w:val="18"/>
                    </w:rPr>
                    <m:t>0.15×1.0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0.35×0.0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0.30×0.0</m:t>
                  </m:r>
                </m:e>
              </m:d>
              <m:r>
                <w:rPr>
                  <w:rFonts w:ascii="Cambria Math" w:hAnsi="Cambria Math"/>
                  <w:sz w:val="18"/>
                  <w:szCs w:val="18"/>
                </w:rPr>
                <m:t>=0.350</m:t>
              </m:r>
            </m:e>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3</m:t>
                  </m:r>
                </m:sub>
              </m:sSub>
              <m:d>
                <m:dPr>
                  <m:ctrlPr>
                    <w:rPr>
                      <w:rFonts w:ascii="Cambria Math" w:hAnsi="Cambria Math"/>
                      <w:sz w:val="18"/>
                      <w:szCs w:val="18"/>
                    </w:rPr>
                  </m:ctrlPr>
                </m:dPr>
                <m:e>
                  <m:r>
                    <m:rPr>
                      <m:nor/>
                    </m:rPr>
                    <w:rPr>
                      <w:sz w:val="18"/>
                      <w:szCs w:val="18"/>
                    </w:rPr>
                    <m:t>NPS</m:t>
                  </m:r>
                </m:e>
              </m:d>
              <m:r>
                <w:rPr>
                  <w:rFonts w:ascii="Cambria Math" w:hAnsi="Cambria Math"/>
                  <w:sz w:val="18"/>
                  <w:szCs w:val="18"/>
                </w:rPr>
                <m:t>&amp;=</m:t>
              </m:r>
              <m:d>
                <m:dPr>
                  <m:ctrlPr>
                    <w:rPr>
                      <w:rFonts w:ascii="Cambria Math" w:hAnsi="Cambria Math"/>
                      <w:sz w:val="18"/>
                      <w:szCs w:val="18"/>
                    </w:rPr>
                  </m:ctrlPr>
                </m:dPr>
                <m:e>
                  <m:r>
                    <w:rPr>
                      <w:rFonts w:ascii="Cambria Math" w:hAnsi="Cambria Math"/>
                      <w:sz w:val="18"/>
                      <w:szCs w:val="18"/>
                    </w:rPr>
                    <m:t>0.15×0.5</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0.20×0.8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0.35×1.0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0.30×1.0</m:t>
                  </m:r>
                </m:e>
              </m:d>
              <m:r>
                <w:rPr>
                  <w:rFonts w:ascii="Cambria Math" w:hAnsi="Cambria Math"/>
                  <w:sz w:val="18"/>
                  <w:szCs w:val="18"/>
                </w:rPr>
                <m:t>=</m:t>
              </m:r>
              <m:r>
                <m:rPr>
                  <m:sty m:val="b"/>
                </m:rPr>
                <w:rPr>
                  <w:rFonts w:ascii="Cambria Math" w:hAnsi="Cambria Math"/>
                  <w:sz w:val="18"/>
                  <w:szCs w:val="18"/>
                </w:rPr>
                <m:t>0.885</m:t>
              </m:r>
            </m:e>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4</m:t>
                  </m:r>
                </m:sub>
              </m:sSub>
              <m:d>
                <m:dPr>
                  <m:ctrlPr>
                    <w:rPr>
                      <w:rFonts w:ascii="Cambria Math" w:hAnsi="Cambria Math"/>
                      <w:sz w:val="18"/>
                      <w:szCs w:val="18"/>
                    </w:rPr>
                  </m:ctrlPr>
                </m:dPr>
                <m:e>
                  <m:r>
                    <m:rPr>
                      <m:nor/>
                    </m:rPr>
                    <w:rPr>
                      <w:sz w:val="18"/>
                      <w:szCs w:val="18"/>
                    </w:rPr>
                    <m:t>APY</m:t>
                  </m:r>
                </m:e>
              </m:d>
              <m:r>
                <w:rPr>
                  <w:rFonts w:ascii="Cambria Math" w:hAnsi="Cambria Math"/>
                  <w:sz w:val="18"/>
                  <w:szCs w:val="18"/>
                </w:rPr>
                <m:t>&amp;=</m:t>
              </m:r>
              <m:d>
                <m:dPr>
                  <m:ctrlPr>
                    <w:rPr>
                      <w:rFonts w:ascii="Cambria Math" w:hAnsi="Cambria Math"/>
                      <w:sz w:val="18"/>
                      <w:szCs w:val="18"/>
                    </w:rPr>
                  </m:ctrlPr>
                </m:dPr>
                <m:e>
                  <m:r>
                    <w:rPr>
                      <w:rFonts w:ascii="Cambria Math" w:hAnsi="Cambria Math"/>
                      <w:sz w:val="18"/>
                      <w:szCs w:val="18"/>
                    </w:rPr>
                    <m:t>0.15×1.0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0.20×1.0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0.35×0.0</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0.30×0.0</m:t>
                  </m:r>
                </m:e>
              </m:d>
              <m:r>
                <w:rPr>
                  <w:rFonts w:ascii="Cambria Math" w:hAnsi="Cambria Math"/>
                  <w:sz w:val="18"/>
                  <w:szCs w:val="18"/>
                </w:rPr>
                <m:t>=0.350</m:t>
              </m:r>
            </m:e>
          </m:eqArr>
        </m:oMath>
      </m:oMathPara>
    </w:p>
    <w:p w14:paraId="51772B04" w14:textId="77777777" w:rsidR="00D14BA5" w:rsidRPr="00D720E3" w:rsidRDefault="00D14BA5" w:rsidP="00D14BA5">
      <w:pPr>
        <w:jc w:val="both"/>
        <w:rPr>
          <w:b/>
          <w:bCs/>
          <w:sz w:val="18"/>
          <w:szCs w:val="18"/>
        </w:rPr>
      </w:pPr>
      <w:r w:rsidRPr="00D720E3">
        <w:rPr>
          <w:b/>
          <w:bCs/>
          <w:sz w:val="18"/>
          <w:szCs w:val="18"/>
        </w:rPr>
        <w:t>Results</w:t>
      </w:r>
    </w:p>
    <w:p w14:paraId="63BA1FB4" w14:textId="77777777" w:rsidR="00D14BA5" w:rsidRPr="00D720E3" w:rsidRDefault="00D14BA5" w:rsidP="00D14BA5">
      <w:pPr>
        <w:jc w:val="both"/>
        <w:rPr>
          <w:sz w:val="18"/>
          <w:szCs w:val="18"/>
        </w:rPr>
      </w:pPr>
      <w:r w:rsidRPr="00D720E3">
        <w:rPr>
          <w:sz w:val="18"/>
          <w:szCs w:val="18"/>
        </w:rPr>
        <w:t>Applying the WSM yields the following scores and scheme rankings:</w:t>
      </w:r>
    </w:p>
    <w:p w14:paraId="765F21C4" w14:textId="77777777" w:rsidR="00D14BA5" w:rsidRPr="00D720E3" w:rsidRDefault="00D14BA5" w:rsidP="00D14BA5">
      <w:pPr>
        <w:numPr>
          <w:ilvl w:val="0"/>
          <w:numId w:val="3"/>
        </w:numPr>
        <w:jc w:val="both"/>
        <w:rPr>
          <w:sz w:val="18"/>
          <w:szCs w:val="18"/>
        </w:rPr>
      </w:pPr>
      <w:r w:rsidRPr="00D720E3">
        <w:rPr>
          <w:b/>
          <w:bCs/>
          <w:sz w:val="18"/>
          <w:szCs w:val="18"/>
        </w:rPr>
        <w:lastRenderedPageBreak/>
        <w:t>Profile 1 (High Career Risk):</w:t>
      </w:r>
    </w:p>
    <w:p w14:paraId="3A9F5331" w14:textId="77777777" w:rsidR="00D14BA5" w:rsidRPr="00D720E3" w:rsidRDefault="00D14BA5" w:rsidP="00D14BA5">
      <w:pPr>
        <w:jc w:val="both"/>
        <w:rPr>
          <w:sz w:val="18"/>
          <w:szCs w:val="18"/>
        </w:rPr>
      </w:pPr>
      <m:oMathPara>
        <m:oMath>
          <m:r>
            <m:rPr>
              <m:nor/>
            </m:rPr>
            <w:rPr>
              <w:sz w:val="18"/>
              <w:szCs w:val="18"/>
            </w:rPr>
            <m:t>NPS </m:t>
          </m:r>
          <m:d>
            <m:dPr>
              <m:ctrlPr>
                <w:rPr>
                  <w:rFonts w:ascii="Cambria Math" w:hAnsi="Cambria Math"/>
                  <w:sz w:val="18"/>
                  <w:szCs w:val="18"/>
                </w:rPr>
              </m:ctrlPr>
            </m:dPr>
            <m:e>
              <m:r>
                <w:rPr>
                  <w:rFonts w:ascii="Cambria Math" w:hAnsi="Cambria Math"/>
                  <w:sz w:val="18"/>
                  <w:szCs w:val="18"/>
                </w:rPr>
                <m:t>0.710</m:t>
              </m:r>
            </m:e>
          </m:d>
          <m:r>
            <w:rPr>
              <w:rFonts w:ascii="Cambria Math" w:hAnsi="Cambria Math"/>
              <w:sz w:val="18"/>
              <w:szCs w:val="18"/>
            </w:rPr>
            <m:t>≻</m:t>
          </m:r>
          <m:d>
            <m:dPr>
              <m:begChr m:val="["/>
              <m:endChr m:val="]"/>
              <m:ctrlPr>
                <w:rPr>
                  <w:rFonts w:ascii="Cambria Math" w:hAnsi="Cambria Math"/>
                  <w:sz w:val="18"/>
                  <w:szCs w:val="18"/>
                </w:rPr>
              </m:ctrlPr>
            </m:dPr>
            <m:e>
              <m:r>
                <m:rPr>
                  <m:nor/>
                </m:rPr>
                <w:rPr>
                  <w:sz w:val="18"/>
                  <w:szCs w:val="18"/>
                </w:rPr>
                <m:t>PPF </m:t>
              </m:r>
              <m:d>
                <m:dPr>
                  <m:ctrlPr>
                    <w:rPr>
                      <w:rFonts w:ascii="Cambria Math" w:hAnsi="Cambria Math"/>
                      <w:sz w:val="18"/>
                      <w:szCs w:val="18"/>
                    </w:rPr>
                  </m:ctrlPr>
                </m:dPr>
                <m:e>
                  <m:r>
                    <w:rPr>
                      <w:rFonts w:ascii="Cambria Math" w:hAnsi="Cambria Math"/>
                      <w:sz w:val="18"/>
                      <w:szCs w:val="18"/>
                    </w:rPr>
                    <m:t>0.700</m:t>
                  </m:r>
                </m:e>
              </m:d>
              <m:r>
                <w:rPr>
                  <w:rFonts w:ascii="Cambria Math" w:hAnsi="Cambria Math"/>
                  <w:sz w:val="18"/>
                  <w:szCs w:val="18"/>
                </w:rPr>
                <m:t>=</m:t>
              </m:r>
              <m:r>
                <m:rPr>
                  <m:nor/>
                </m:rPr>
                <w:rPr>
                  <w:sz w:val="18"/>
                  <w:szCs w:val="18"/>
                </w:rPr>
                <m:t>APY </m:t>
              </m:r>
              <m:d>
                <m:dPr>
                  <m:ctrlPr>
                    <w:rPr>
                      <w:rFonts w:ascii="Cambria Math" w:hAnsi="Cambria Math"/>
                      <w:sz w:val="18"/>
                      <w:szCs w:val="18"/>
                    </w:rPr>
                  </m:ctrlPr>
                </m:dPr>
                <m:e>
                  <m:r>
                    <w:rPr>
                      <w:rFonts w:ascii="Cambria Math" w:hAnsi="Cambria Math"/>
                      <w:sz w:val="18"/>
                      <w:szCs w:val="18"/>
                    </w:rPr>
                    <m:t>0.700</m:t>
                  </m:r>
                </m:e>
              </m:d>
            </m:e>
          </m:d>
          <m:r>
            <w:rPr>
              <w:rFonts w:ascii="Cambria Math" w:hAnsi="Cambria Math"/>
              <w:sz w:val="18"/>
              <w:szCs w:val="18"/>
            </w:rPr>
            <m:t>≻</m:t>
          </m:r>
          <m:r>
            <m:rPr>
              <m:nor/>
            </m:rPr>
            <w:rPr>
              <w:sz w:val="18"/>
              <w:szCs w:val="18"/>
            </w:rPr>
            <m:t>EPF </m:t>
          </m:r>
          <m:d>
            <m:dPr>
              <m:ctrlPr>
                <w:rPr>
                  <w:rFonts w:ascii="Cambria Math" w:hAnsi="Cambria Math"/>
                  <w:sz w:val="18"/>
                  <w:szCs w:val="18"/>
                </w:rPr>
              </m:ctrlPr>
            </m:dPr>
            <m:e>
              <m:r>
                <w:rPr>
                  <w:rFonts w:ascii="Cambria Math" w:hAnsi="Cambria Math"/>
                  <w:sz w:val="18"/>
                  <w:szCs w:val="18"/>
                </w:rPr>
                <m:t>0.680</m:t>
              </m:r>
            </m:e>
          </m:d>
        </m:oMath>
      </m:oMathPara>
    </w:p>
    <w:p w14:paraId="0D47435D" w14:textId="77777777" w:rsidR="00D14BA5" w:rsidRPr="00D720E3" w:rsidRDefault="00D14BA5" w:rsidP="00D14BA5">
      <w:pPr>
        <w:numPr>
          <w:ilvl w:val="0"/>
          <w:numId w:val="3"/>
        </w:numPr>
        <w:jc w:val="both"/>
        <w:rPr>
          <w:sz w:val="18"/>
          <w:szCs w:val="18"/>
        </w:rPr>
      </w:pPr>
      <w:r w:rsidRPr="00D720E3">
        <w:rPr>
          <w:b/>
          <w:bCs/>
          <w:sz w:val="18"/>
          <w:szCs w:val="18"/>
        </w:rPr>
        <w:t>Profile 2 (Stable Career):</w:t>
      </w:r>
    </w:p>
    <w:p w14:paraId="01F001FC" w14:textId="77777777" w:rsidR="00D14BA5" w:rsidRPr="00D720E3" w:rsidRDefault="00D14BA5" w:rsidP="00D14BA5">
      <w:pPr>
        <w:jc w:val="both"/>
        <w:rPr>
          <w:sz w:val="18"/>
          <w:szCs w:val="18"/>
        </w:rPr>
      </w:pPr>
      <m:oMathPara>
        <m:oMath>
          <m:r>
            <m:rPr>
              <m:nor/>
            </m:rPr>
            <w:rPr>
              <w:sz w:val="18"/>
              <w:szCs w:val="18"/>
            </w:rPr>
            <m:t>NPS </m:t>
          </m:r>
          <m:d>
            <m:dPr>
              <m:ctrlPr>
                <w:rPr>
                  <w:rFonts w:ascii="Cambria Math" w:hAnsi="Cambria Math"/>
                  <w:sz w:val="18"/>
                  <w:szCs w:val="18"/>
                </w:rPr>
              </m:ctrlPr>
            </m:dPr>
            <m:e>
              <m:r>
                <w:rPr>
                  <w:rFonts w:ascii="Cambria Math" w:hAnsi="Cambria Math"/>
                  <w:sz w:val="18"/>
                  <w:szCs w:val="18"/>
                </w:rPr>
                <m:t>0.885</m:t>
              </m:r>
            </m:e>
          </m:d>
          <m:r>
            <w:rPr>
              <w:rFonts w:ascii="Cambria Math" w:hAnsi="Cambria Math"/>
              <w:sz w:val="18"/>
              <w:szCs w:val="18"/>
            </w:rPr>
            <m:t>≻</m:t>
          </m:r>
          <m:r>
            <m:rPr>
              <m:nor/>
            </m:rPr>
            <w:rPr>
              <w:sz w:val="18"/>
              <w:szCs w:val="18"/>
            </w:rPr>
            <m:t>EPF </m:t>
          </m:r>
          <m:d>
            <m:dPr>
              <m:ctrlPr>
                <w:rPr>
                  <w:rFonts w:ascii="Cambria Math" w:hAnsi="Cambria Math"/>
                  <w:sz w:val="18"/>
                  <w:szCs w:val="18"/>
                </w:rPr>
              </m:ctrlPr>
            </m:dPr>
            <m:e>
              <m:r>
                <w:rPr>
                  <w:rFonts w:ascii="Cambria Math" w:hAnsi="Cambria Math"/>
                  <w:sz w:val="18"/>
                  <w:szCs w:val="18"/>
                </w:rPr>
                <m:t>0.500</m:t>
              </m:r>
            </m:e>
          </m:d>
          <m:r>
            <w:rPr>
              <w:rFonts w:ascii="Cambria Math" w:hAnsi="Cambria Math"/>
              <w:sz w:val="18"/>
              <w:szCs w:val="18"/>
            </w:rPr>
            <m:t>≻</m:t>
          </m:r>
          <m:d>
            <m:dPr>
              <m:begChr m:val="["/>
              <m:endChr m:val="]"/>
              <m:ctrlPr>
                <w:rPr>
                  <w:rFonts w:ascii="Cambria Math" w:hAnsi="Cambria Math"/>
                  <w:sz w:val="18"/>
                  <w:szCs w:val="18"/>
                </w:rPr>
              </m:ctrlPr>
            </m:dPr>
            <m:e>
              <m:r>
                <m:rPr>
                  <m:nor/>
                </m:rPr>
                <w:rPr>
                  <w:sz w:val="18"/>
                  <w:szCs w:val="18"/>
                </w:rPr>
                <m:t>PPF </m:t>
              </m:r>
              <m:d>
                <m:dPr>
                  <m:ctrlPr>
                    <w:rPr>
                      <w:rFonts w:ascii="Cambria Math" w:hAnsi="Cambria Math"/>
                      <w:sz w:val="18"/>
                      <w:szCs w:val="18"/>
                    </w:rPr>
                  </m:ctrlPr>
                </m:dPr>
                <m:e>
                  <m:r>
                    <w:rPr>
                      <w:rFonts w:ascii="Cambria Math" w:hAnsi="Cambria Math"/>
                      <w:sz w:val="18"/>
                      <w:szCs w:val="18"/>
                    </w:rPr>
                    <m:t>0.350</m:t>
                  </m:r>
                </m:e>
              </m:d>
              <m:r>
                <w:rPr>
                  <w:rFonts w:ascii="Cambria Math" w:hAnsi="Cambria Math"/>
                  <w:sz w:val="18"/>
                  <w:szCs w:val="18"/>
                </w:rPr>
                <m:t>=</m:t>
              </m:r>
              <m:r>
                <m:rPr>
                  <m:nor/>
                </m:rPr>
                <w:rPr>
                  <w:sz w:val="18"/>
                  <w:szCs w:val="18"/>
                </w:rPr>
                <m:t>APY </m:t>
              </m:r>
              <m:d>
                <m:dPr>
                  <m:ctrlPr>
                    <w:rPr>
                      <w:rFonts w:ascii="Cambria Math" w:hAnsi="Cambria Math"/>
                      <w:sz w:val="18"/>
                      <w:szCs w:val="18"/>
                    </w:rPr>
                  </m:ctrlPr>
                </m:dPr>
                <m:e>
                  <m:r>
                    <w:rPr>
                      <w:rFonts w:ascii="Cambria Math" w:hAnsi="Cambria Math"/>
                      <w:sz w:val="18"/>
                      <w:szCs w:val="18"/>
                    </w:rPr>
                    <m:t>0.350</m:t>
                  </m:r>
                </m:e>
              </m:d>
            </m:e>
          </m:d>
        </m:oMath>
      </m:oMathPara>
    </w:p>
    <w:p w14:paraId="6F88C0B0" w14:textId="77777777" w:rsidR="00D14BA5" w:rsidRPr="00D720E3" w:rsidRDefault="00D14BA5" w:rsidP="00D14BA5">
      <w:pPr>
        <w:jc w:val="both"/>
        <w:rPr>
          <w:sz w:val="18"/>
          <w:szCs w:val="18"/>
        </w:rPr>
      </w:pPr>
      <w:r w:rsidRPr="00D720E3">
        <w:rPr>
          <w:sz w:val="18"/>
          <w:szCs w:val="18"/>
        </w:rPr>
        <w:t>NPS remains the dominant alternative under both profiles, while secondary scheme rankings adapt to individual risk profiles.</w:t>
      </w:r>
    </w:p>
    <w:p w14:paraId="6C551D38" w14:textId="77777777" w:rsidR="00D14BA5" w:rsidRPr="00507893" w:rsidRDefault="00D14BA5" w:rsidP="00D14BA5">
      <w:pPr>
        <w:ind w:left="720"/>
        <w:jc w:val="both"/>
        <w:rPr>
          <w:sz w:val="18"/>
          <w:szCs w:val="18"/>
        </w:rPr>
      </w:pPr>
      <w:r w:rsidRPr="00507893">
        <w:rPr>
          <w:sz w:val="18"/>
          <w:szCs w:val="18"/>
        </w:rPr>
        <w:t>.</w:t>
      </w:r>
    </w:p>
    <w:p w14:paraId="184ED2E0" w14:textId="77777777" w:rsidR="00D14BA5" w:rsidRPr="00642470" w:rsidRDefault="00D14BA5" w:rsidP="00D14BA5">
      <w:pPr>
        <w:ind w:left="720"/>
        <w:jc w:val="both"/>
        <w:rPr>
          <w:rFonts w:cstheme="minorHAnsi"/>
          <w:b/>
          <w:bCs/>
          <w:sz w:val="18"/>
          <w:szCs w:val="18"/>
        </w:rPr>
      </w:pPr>
      <w:r w:rsidRPr="00642470">
        <w:rPr>
          <w:rFonts w:cstheme="minorHAnsi"/>
          <w:b/>
          <w:bCs/>
          <w:sz w:val="18"/>
          <w:szCs w:val="18"/>
        </w:rPr>
        <w:t>Sensitivity Analysis</w:t>
      </w:r>
    </w:p>
    <w:p w14:paraId="22FC93A6" w14:textId="77777777" w:rsidR="00D14BA5" w:rsidRPr="00642470" w:rsidRDefault="00D14BA5" w:rsidP="00D14BA5">
      <w:pPr>
        <w:ind w:left="720"/>
        <w:jc w:val="both"/>
        <w:rPr>
          <w:rFonts w:cstheme="minorHAnsi"/>
          <w:b/>
          <w:bCs/>
          <w:sz w:val="18"/>
          <w:szCs w:val="18"/>
        </w:rPr>
      </w:pPr>
      <w:r>
        <w:rPr>
          <w:rFonts w:cstheme="minorHAnsi"/>
          <w:b/>
          <w:bCs/>
          <w:sz w:val="18"/>
          <w:szCs w:val="18"/>
        </w:rPr>
        <w:t xml:space="preserve">                          </w:t>
      </w:r>
      <w:r w:rsidRPr="00642470">
        <w:rPr>
          <w:rFonts w:cstheme="minorHAnsi"/>
          <w:b/>
          <w:bCs/>
          <w:sz w:val="18"/>
          <w:szCs w:val="18"/>
        </w:rPr>
        <w:t>To test the robustness of these rankings, a One-at-a-Time (OAT) sensitivity analysis was executed by varying the weight of Downside Protection (</w:t>
      </w:r>
      <m:oMath>
        <m:sSub>
          <m:sSubPr>
            <m:ctrlPr>
              <w:rPr>
                <w:rFonts w:ascii="Cambria Math" w:hAnsi="Cambria Math" w:cstheme="minorHAnsi"/>
                <w:b/>
                <w:bCs/>
                <w:sz w:val="18"/>
                <w:szCs w:val="18"/>
              </w:rPr>
            </m:ctrlPr>
          </m:sSubPr>
          <m:e>
            <m:r>
              <m:rPr>
                <m:sty m:val="bi"/>
              </m:rPr>
              <w:rPr>
                <w:rFonts w:ascii="Cambria Math" w:hAnsi="Cambria Math" w:cstheme="minorHAnsi"/>
                <w:sz w:val="18"/>
                <w:szCs w:val="18"/>
              </w:rPr>
              <m:t>w</m:t>
            </m:r>
          </m:e>
          <m:sub>
            <m:r>
              <m:rPr>
                <m:sty m:val="bi"/>
              </m:rPr>
              <w:rPr>
                <w:rFonts w:ascii="Cambria Math" w:hAnsi="Cambria Math" w:cstheme="minorHAnsi"/>
                <w:sz w:val="18"/>
                <w:szCs w:val="18"/>
              </w:rPr>
              <m:t>1</m:t>
            </m:r>
          </m:sub>
        </m:sSub>
      </m:oMath>
      <w:r w:rsidRPr="00642470">
        <w:rPr>
          <w:rFonts w:cstheme="minorHAnsi"/>
          <w:b/>
          <w:bCs/>
          <w:sz w:val="18"/>
          <w:szCs w:val="18"/>
        </w:rPr>
        <w:t xml:space="preserve">) across the continuous range </w:t>
      </w:r>
      <m:oMath>
        <m:d>
          <m:dPr>
            <m:begChr m:val="["/>
            <m:endChr m:val="]"/>
            <m:ctrlPr>
              <w:rPr>
                <w:rFonts w:ascii="Cambria Math" w:hAnsi="Cambria Math" w:cstheme="minorHAnsi"/>
                <w:b/>
                <w:bCs/>
                <w:sz w:val="18"/>
                <w:szCs w:val="18"/>
              </w:rPr>
            </m:ctrlPr>
          </m:dPr>
          <m:e>
            <m:r>
              <m:rPr>
                <m:sty m:val="bi"/>
              </m:rPr>
              <w:rPr>
                <w:rFonts w:ascii="Cambria Math" w:hAnsi="Cambria Math" w:cstheme="minorHAnsi"/>
                <w:sz w:val="18"/>
                <w:szCs w:val="18"/>
              </w:rPr>
              <m:t>0,1</m:t>
            </m:r>
          </m:e>
        </m:d>
      </m:oMath>
      <w:r w:rsidRPr="00642470">
        <w:rPr>
          <w:rFonts w:cstheme="minorHAnsi"/>
          <w:b/>
          <w:bCs/>
          <w:sz w:val="18"/>
          <w:szCs w:val="18"/>
        </w:rPr>
        <w:t>. OAT sensitivity is specifically suited here because downside protection represents the pivotal criterion driving the close evaluation between NPS and guaranteed schemes in high-risk career conditions.</w:t>
      </w:r>
    </w:p>
    <w:p w14:paraId="4EB90A97" w14:textId="77777777" w:rsidR="00D14BA5" w:rsidRPr="00642470" w:rsidRDefault="00D14BA5" w:rsidP="00D14BA5">
      <w:pPr>
        <w:ind w:left="720"/>
        <w:jc w:val="both"/>
        <w:rPr>
          <w:rFonts w:cstheme="minorHAnsi"/>
          <w:b/>
          <w:bCs/>
          <w:sz w:val="18"/>
          <w:szCs w:val="18"/>
        </w:rPr>
      </w:pPr>
      <w:r w:rsidRPr="00642470">
        <w:rPr>
          <w:rFonts w:cstheme="minorHAnsi"/>
          <w:b/>
          <w:bCs/>
          <w:sz w:val="18"/>
          <w:szCs w:val="18"/>
        </w:rPr>
        <w:t xml:space="preserve">To maintain a total weight sum of </w:t>
      </w:r>
      <m:oMath>
        <m:r>
          <m:rPr>
            <m:sty m:val="bi"/>
          </m:rPr>
          <w:rPr>
            <w:rFonts w:ascii="Cambria Math" w:hAnsi="Cambria Math" w:cstheme="minorHAnsi"/>
            <w:sz w:val="18"/>
            <w:szCs w:val="18"/>
          </w:rPr>
          <m:t>1.0</m:t>
        </m:r>
      </m:oMath>
      <w:r w:rsidRPr="00642470">
        <w:rPr>
          <w:rFonts w:cstheme="minorHAnsi"/>
          <w:b/>
          <w:bCs/>
          <w:sz w:val="18"/>
          <w:szCs w:val="18"/>
        </w:rPr>
        <w:t xml:space="preserve"> (</w:t>
      </w:r>
      <m:oMath>
        <m:r>
          <m:rPr>
            <m:sty m:val="bi"/>
          </m:rPr>
          <w:rPr>
            <w:rFonts w:ascii="Cambria Math" w:hAnsi="Cambria Math" w:cstheme="minorHAnsi"/>
            <w:sz w:val="18"/>
            <w:szCs w:val="18"/>
          </w:rPr>
          <m:t>100%</m:t>
        </m:r>
      </m:oMath>
      <w:r w:rsidRPr="00642470">
        <w:rPr>
          <w:rFonts w:cstheme="minorHAnsi"/>
          <w:b/>
          <w:bCs/>
          <w:sz w:val="18"/>
          <w:szCs w:val="18"/>
        </w:rPr>
        <w:t xml:space="preserve">), as </w:t>
      </w:r>
      <m:oMath>
        <m:sSub>
          <m:sSubPr>
            <m:ctrlPr>
              <w:rPr>
                <w:rFonts w:ascii="Cambria Math" w:hAnsi="Cambria Math" w:cstheme="minorHAnsi"/>
                <w:b/>
                <w:bCs/>
                <w:sz w:val="18"/>
                <w:szCs w:val="18"/>
              </w:rPr>
            </m:ctrlPr>
          </m:sSubPr>
          <m:e>
            <m:r>
              <m:rPr>
                <m:sty m:val="bi"/>
              </m:rPr>
              <w:rPr>
                <w:rFonts w:ascii="Cambria Math" w:hAnsi="Cambria Math" w:cstheme="minorHAnsi"/>
                <w:sz w:val="18"/>
                <w:szCs w:val="18"/>
              </w:rPr>
              <m:t>w</m:t>
            </m:r>
          </m:e>
          <m:sub>
            <m:r>
              <m:rPr>
                <m:sty m:val="bi"/>
              </m:rPr>
              <w:rPr>
                <w:rFonts w:ascii="Cambria Math" w:hAnsi="Cambria Math" w:cstheme="minorHAnsi"/>
                <w:sz w:val="18"/>
                <w:szCs w:val="18"/>
              </w:rPr>
              <m:t>1</m:t>
            </m:r>
          </m:sub>
        </m:sSub>
        <m:d>
          <m:dPr>
            <m:ctrlPr>
              <w:rPr>
                <w:rFonts w:ascii="Cambria Math" w:hAnsi="Cambria Math" w:cstheme="minorHAnsi"/>
                <w:b/>
                <w:bCs/>
                <w:sz w:val="18"/>
                <w:szCs w:val="18"/>
              </w:rPr>
            </m:ctrlPr>
          </m:dPr>
          <m:e>
            <m:r>
              <m:rPr>
                <m:sty m:val="bi"/>
              </m:rPr>
              <w:rPr>
                <w:rFonts w:ascii="Cambria Math" w:hAnsi="Cambria Math" w:cstheme="minorHAnsi"/>
                <w:sz w:val="18"/>
                <w:szCs w:val="18"/>
              </w:rPr>
              <m:t>t</m:t>
            </m:r>
          </m:e>
        </m:d>
      </m:oMath>
      <w:r w:rsidRPr="00642470">
        <w:rPr>
          <w:rFonts w:cstheme="minorHAnsi"/>
          <w:b/>
          <w:bCs/>
          <w:sz w:val="18"/>
          <w:szCs w:val="18"/>
        </w:rPr>
        <w:t xml:space="preserve"> is adjusted, the remaining three criteria weights—Cost Efficiency (</w:t>
      </w:r>
      <m:oMath>
        <m:sSub>
          <m:sSubPr>
            <m:ctrlPr>
              <w:rPr>
                <w:rFonts w:ascii="Cambria Math" w:hAnsi="Cambria Math" w:cstheme="minorHAnsi"/>
                <w:b/>
                <w:bCs/>
                <w:sz w:val="18"/>
                <w:szCs w:val="18"/>
              </w:rPr>
            </m:ctrlPr>
          </m:sSubPr>
          <m:e>
            <m:r>
              <m:rPr>
                <m:sty m:val="bi"/>
              </m:rPr>
              <w:rPr>
                <w:rFonts w:ascii="Cambria Math" w:hAnsi="Cambria Math" w:cstheme="minorHAnsi"/>
                <w:sz w:val="18"/>
                <w:szCs w:val="18"/>
              </w:rPr>
              <m:t>w</m:t>
            </m:r>
          </m:e>
          <m:sub>
            <m:r>
              <m:rPr>
                <m:sty m:val="bi"/>
              </m:rPr>
              <w:rPr>
                <w:rFonts w:ascii="Cambria Math" w:hAnsi="Cambria Math" w:cstheme="minorHAnsi"/>
                <w:sz w:val="18"/>
                <w:szCs w:val="18"/>
              </w:rPr>
              <m:t>2</m:t>
            </m:r>
          </m:sub>
        </m:sSub>
      </m:oMath>
      <w:r w:rsidRPr="00642470">
        <w:rPr>
          <w:rFonts w:cstheme="minorHAnsi"/>
          <w:b/>
          <w:bCs/>
          <w:sz w:val="18"/>
          <w:szCs w:val="18"/>
        </w:rPr>
        <w:t>), Lifecycle Management (</w:t>
      </w:r>
      <m:oMath>
        <m:sSub>
          <m:sSubPr>
            <m:ctrlPr>
              <w:rPr>
                <w:rFonts w:ascii="Cambria Math" w:hAnsi="Cambria Math" w:cstheme="minorHAnsi"/>
                <w:b/>
                <w:bCs/>
                <w:sz w:val="18"/>
                <w:szCs w:val="18"/>
              </w:rPr>
            </m:ctrlPr>
          </m:sSubPr>
          <m:e>
            <m:r>
              <m:rPr>
                <m:sty m:val="bi"/>
              </m:rPr>
              <w:rPr>
                <w:rFonts w:ascii="Cambria Math" w:hAnsi="Cambria Math" w:cstheme="minorHAnsi"/>
                <w:sz w:val="18"/>
                <w:szCs w:val="18"/>
              </w:rPr>
              <m:t>w</m:t>
            </m:r>
          </m:e>
          <m:sub>
            <m:r>
              <m:rPr>
                <m:sty m:val="bi"/>
              </m:rPr>
              <w:rPr>
                <w:rFonts w:ascii="Cambria Math" w:hAnsi="Cambria Math" w:cstheme="minorHAnsi"/>
                <w:sz w:val="18"/>
                <w:szCs w:val="18"/>
              </w:rPr>
              <m:t>3</m:t>
            </m:r>
          </m:sub>
        </m:sSub>
      </m:oMath>
      <w:r w:rsidRPr="00642470">
        <w:rPr>
          <w:rFonts w:cstheme="minorHAnsi"/>
          <w:b/>
          <w:bCs/>
          <w:sz w:val="18"/>
          <w:szCs w:val="18"/>
        </w:rPr>
        <w:t>), and Asset Diversification (</w:t>
      </w:r>
      <m:oMath>
        <m:sSub>
          <m:sSubPr>
            <m:ctrlPr>
              <w:rPr>
                <w:rFonts w:ascii="Cambria Math" w:hAnsi="Cambria Math" w:cstheme="minorHAnsi"/>
                <w:b/>
                <w:bCs/>
                <w:sz w:val="18"/>
                <w:szCs w:val="18"/>
              </w:rPr>
            </m:ctrlPr>
          </m:sSubPr>
          <m:e>
            <m:r>
              <m:rPr>
                <m:sty m:val="bi"/>
              </m:rPr>
              <w:rPr>
                <w:rFonts w:ascii="Cambria Math" w:hAnsi="Cambria Math" w:cstheme="minorHAnsi"/>
                <w:sz w:val="18"/>
                <w:szCs w:val="18"/>
              </w:rPr>
              <m:t>w</m:t>
            </m:r>
          </m:e>
          <m:sub>
            <m:r>
              <m:rPr>
                <m:sty m:val="bi"/>
              </m:rPr>
              <w:rPr>
                <w:rFonts w:ascii="Cambria Math" w:hAnsi="Cambria Math" w:cstheme="minorHAnsi"/>
                <w:sz w:val="18"/>
                <w:szCs w:val="18"/>
              </w:rPr>
              <m:t>4</m:t>
            </m:r>
          </m:sub>
        </m:sSub>
      </m:oMath>
      <w:r w:rsidRPr="00642470">
        <w:rPr>
          <w:rFonts w:cstheme="minorHAnsi"/>
          <w:b/>
          <w:bCs/>
          <w:sz w:val="18"/>
          <w:szCs w:val="18"/>
        </w:rPr>
        <w:t>)—are re-scaled proportionally, preserving their relative importance to one another (</w:t>
      </w:r>
      <m:oMath>
        <m:r>
          <m:rPr>
            <m:sty m:val="bi"/>
          </m:rPr>
          <w:rPr>
            <w:rFonts w:ascii="Cambria Math" w:hAnsi="Cambria Math" w:cstheme="minorHAnsi"/>
            <w:sz w:val="18"/>
            <w:szCs w:val="18"/>
          </w:rPr>
          <m:t>k∈</m:t>
        </m:r>
        <m:d>
          <m:dPr>
            <m:begChr m:val="{"/>
            <m:endChr m:val="}"/>
            <m:ctrlPr>
              <w:rPr>
                <w:rFonts w:ascii="Cambria Math" w:hAnsi="Cambria Math" w:cstheme="minorHAnsi"/>
                <w:b/>
                <w:bCs/>
                <w:sz w:val="18"/>
                <w:szCs w:val="18"/>
              </w:rPr>
            </m:ctrlPr>
          </m:dPr>
          <m:e>
            <m:r>
              <m:rPr>
                <m:sty m:val="bi"/>
              </m:rPr>
              <w:rPr>
                <w:rFonts w:ascii="Cambria Math" w:hAnsi="Cambria Math" w:cstheme="minorHAnsi"/>
                <w:sz w:val="18"/>
                <w:szCs w:val="18"/>
              </w:rPr>
              <m:t>2,3,4</m:t>
            </m:r>
          </m:e>
        </m:d>
      </m:oMath>
      <w:r w:rsidRPr="00642470">
        <w:rPr>
          <w:rFonts w:cstheme="minorHAnsi"/>
          <w:b/>
          <w:bCs/>
          <w:sz w:val="18"/>
          <w:szCs w:val="18"/>
        </w:rPr>
        <w:t>):</w:t>
      </w:r>
    </w:p>
    <w:p w14:paraId="2BD8210B" w14:textId="77777777" w:rsidR="00D14BA5" w:rsidRPr="00642470" w:rsidRDefault="00D14BA5" w:rsidP="00D14BA5">
      <w:pPr>
        <w:ind w:left="720"/>
        <w:jc w:val="both"/>
        <w:rPr>
          <w:rFonts w:cstheme="minorHAnsi"/>
          <w:b/>
          <w:bCs/>
          <w:sz w:val="18"/>
          <w:szCs w:val="18"/>
        </w:rPr>
      </w:pPr>
    </w:p>
    <w:p w14:paraId="1D7862D6" w14:textId="77777777" w:rsidR="00D14BA5" w:rsidRDefault="00D14BA5" w:rsidP="00D14BA5">
      <w:pPr>
        <w:ind w:left="720"/>
        <w:jc w:val="both"/>
        <w:rPr>
          <w:sz w:val="18"/>
          <w:szCs w:val="18"/>
        </w:rPr>
      </w:pPr>
    </w:p>
    <w:p w14:paraId="2E747C4B" w14:textId="77777777" w:rsidR="00D14BA5" w:rsidRPr="00507893" w:rsidRDefault="00D14BA5" w:rsidP="00D14BA5">
      <w:pPr>
        <w:ind w:left="720"/>
        <w:jc w:val="both"/>
        <w:rPr>
          <w:sz w:val="18"/>
          <w:szCs w:val="18"/>
        </w:rPr>
      </w:pPr>
      <w:r w:rsidRPr="00507893">
        <w:rPr>
          <w:sz w:val="18"/>
          <w:szCs w:val="18"/>
        </w:rPr>
        <w:t xml:space="preserve">When adjusting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d>
          <m:dPr>
            <m:ctrlPr>
              <w:rPr>
                <w:rFonts w:ascii="Cambria Math" w:hAnsi="Cambria Math"/>
                <w:sz w:val="18"/>
                <w:szCs w:val="18"/>
              </w:rPr>
            </m:ctrlPr>
          </m:dPr>
          <m:e>
            <m:r>
              <w:rPr>
                <w:rFonts w:ascii="Cambria Math" w:hAnsi="Cambria Math"/>
                <w:sz w:val="18"/>
                <w:szCs w:val="18"/>
              </w:rPr>
              <m:t>t</m:t>
            </m:r>
          </m:e>
        </m:d>
      </m:oMath>
      <w:r w:rsidRPr="00507893">
        <w:rPr>
          <w:sz w:val="18"/>
          <w:szCs w:val="18"/>
        </w:rPr>
        <w:t>, the remaining three criteria weights (</w:t>
      </w:r>
      <m:oMath>
        <m:r>
          <w:rPr>
            <w:rFonts w:ascii="Cambria Math" w:hAnsi="Cambria Math"/>
            <w:sz w:val="18"/>
            <w:szCs w:val="18"/>
          </w:rPr>
          <m:t>k∈</m:t>
        </m:r>
        <m:d>
          <m:dPr>
            <m:begChr m:val="{"/>
            <m:endChr m:val="}"/>
            <m:ctrlPr>
              <w:rPr>
                <w:rFonts w:ascii="Cambria Math" w:hAnsi="Cambria Math"/>
                <w:sz w:val="18"/>
                <w:szCs w:val="18"/>
              </w:rPr>
            </m:ctrlPr>
          </m:dPr>
          <m:e>
            <m:r>
              <w:rPr>
                <w:rFonts w:ascii="Cambria Math" w:hAnsi="Cambria Math"/>
                <w:sz w:val="18"/>
                <w:szCs w:val="18"/>
              </w:rPr>
              <m:t>2,3,4</m:t>
            </m:r>
          </m:e>
        </m:d>
      </m:oMath>
      <w:r w:rsidRPr="00507893">
        <w:rPr>
          <w:sz w:val="18"/>
          <w:szCs w:val="18"/>
        </w:rPr>
        <w:t>) are scaled proportionally to preserve normalization (</w:t>
      </w:r>
      <m:oMath>
        <m:nary>
          <m:naryPr>
            <m:chr m:val="∑"/>
            <m:limLoc m:val="undOvr"/>
            <m:subHide m:val="1"/>
            <m:supHide m:val="1"/>
            <m:ctrlPr>
              <w:rPr>
                <w:rFonts w:ascii="Cambria Math" w:hAnsi="Cambria Math"/>
                <w:sz w:val="18"/>
                <w:szCs w:val="18"/>
              </w:rPr>
            </m:ctrlPr>
          </m:naryP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e>
        </m:nary>
        <m:r>
          <w:rPr>
            <w:rFonts w:ascii="Cambria Math" w:hAnsi="Cambria Math"/>
            <w:sz w:val="18"/>
            <w:szCs w:val="18"/>
          </w:rPr>
          <m:t>=1</m:t>
        </m:r>
      </m:oMath>
      <w:r w:rsidRPr="00507893">
        <w:rPr>
          <w:sz w:val="18"/>
          <w:szCs w:val="18"/>
        </w:rPr>
        <w:t>):</w:t>
      </w:r>
    </w:p>
    <w:p w14:paraId="45D106D6" w14:textId="77777777" w:rsidR="00D14BA5" w:rsidRPr="00642470" w:rsidRDefault="00A77686" w:rsidP="00D14BA5">
      <w:pPr>
        <w:ind w:left="720"/>
        <w:jc w:val="both"/>
        <w:rPr>
          <w:sz w:val="18"/>
          <w:szCs w:val="18"/>
        </w:rPr>
      </w:pP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d>
            <m:dPr>
              <m:ctrlPr>
                <w:rPr>
                  <w:rFonts w:ascii="Cambria Math" w:hAnsi="Cambria Math"/>
                  <w:sz w:val="18"/>
                  <w:szCs w:val="18"/>
                </w:rPr>
              </m:ctrlPr>
            </m:dPr>
            <m:e>
              <m:r>
                <w:rPr>
                  <w:rFonts w:ascii="Cambria Math" w:hAnsi="Cambria Math"/>
                  <w:sz w:val="18"/>
                  <w:szCs w:val="18"/>
                </w:rPr>
                <m:t>t</m:t>
              </m:r>
            </m:e>
          </m:d>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d>
            <m:dPr>
              <m:ctrlPr>
                <w:rPr>
                  <w:rFonts w:ascii="Cambria Math" w:hAnsi="Cambria Math"/>
                  <w:sz w:val="18"/>
                  <w:szCs w:val="18"/>
                </w:rPr>
              </m:ctrlPr>
            </m:dPr>
            <m:e>
              <m:r>
                <w:rPr>
                  <w:rFonts w:ascii="Cambria Math" w:hAnsi="Cambria Math"/>
                  <w:sz w:val="18"/>
                  <w:szCs w:val="18"/>
                </w:rPr>
                <m:t>0</m:t>
              </m:r>
            </m:e>
          </m:d>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d>
                <m:dPr>
                  <m:ctrlPr>
                    <w:rPr>
                      <w:rFonts w:ascii="Cambria Math" w:hAnsi="Cambria Math"/>
                      <w:sz w:val="18"/>
                      <w:szCs w:val="18"/>
                    </w:rPr>
                  </m:ctrlPr>
                </m:dPr>
                <m:e>
                  <m:r>
                    <w:rPr>
                      <w:rFonts w:ascii="Cambria Math" w:hAnsi="Cambria Math"/>
                      <w:sz w:val="18"/>
                      <w:szCs w:val="18"/>
                    </w:rPr>
                    <m:t>t</m:t>
                  </m:r>
                </m:e>
              </m:d>
            </m:num>
            <m:den>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d>
                <m:dPr>
                  <m:ctrlPr>
                    <w:rPr>
                      <w:rFonts w:ascii="Cambria Math" w:hAnsi="Cambria Math"/>
                      <w:sz w:val="18"/>
                      <w:szCs w:val="18"/>
                    </w:rPr>
                  </m:ctrlPr>
                </m:dPr>
                <m:e>
                  <m:r>
                    <w:rPr>
                      <w:rFonts w:ascii="Cambria Math" w:hAnsi="Cambria Math"/>
                      <w:sz w:val="18"/>
                      <w:szCs w:val="18"/>
                    </w:rPr>
                    <m:t>0</m:t>
                  </m:r>
                </m:e>
              </m:d>
            </m:den>
          </m:f>
          <m:r>
            <w:rPr>
              <w:rFonts w:ascii="Cambria Math" w:hAnsi="Cambria Math"/>
              <w:sz w:val="18"/>
              <w:szCs w:val="18"/>
            </w:rPr>
            <m:t>,  k∈</m:t>
          </m:r>
          <m:d>
            <m:dPr>
              <m:begChr m:val="{"/>
              <m:endChr m:val="}"/>
              <m:ctrlPr>
                <w:rPr>
                  <w:rFonts w:ascii="Cambria Math" w:hAnsi="Cambria Math"/>
                  <w:sz w:val="18"/>
                  <w:szCs w:val="18"/>
                </w:rPr>
              </m:ctrlPr>
            </m:dPr>
            <m:e>
              <m:r>
                <w:rPr>
                  <w:rFonts w:ascii="Cambria Math" w:hAnsi="Cambria Math"/>
                  <w:sz w:val="18"/>
                  <w:szCs w:val="18"/>
                </w:rPr>
                <m:t>2,3,4</m:t>
              </m:r>
            </m:e>
          </m:d>
        </m:oMath>
      </m:oMathPara>
    </w:p>
    <w:p w14:paraId="7F00256B" w14:textId="77777777" w:rsidR="00D14BA5" w:rsidRPr="00642470" w:rsidRDefault="00D14BA5" w:rsidP="00D14BA5">
      <w:pPr>
        <w:ind w:left="720"/>
        <w:jc w:val="both"/>
        <w:rPr>
          <w:sz w:val="18"/>
          <w:szCs w:val="18"/>
        </w:rPr>
      </w:pPr>
      <w:r w:rsidRPr="00642470">
        <w:rPr>
          <w:sz w:val="18"/>
          <w:szCs w:val="18"/>
        </w:rPr>
        <w:t xml:space="preserve">The score crossover threshold </w:t>
      </w:r>
      <m:oMath>
        <m:sSubSup>
          <m:sSubSupPr>
            <m:ctrlPr>
              <w:rPr>
                <w:rFonts w:ascii="Cambria Math" w:hAnsi="Cambria Math"/>
                <w:sz w:val="18"/>
                <w:szCs w:val="18"/>
              </w:rPr>
            </m:ctrlPr>
          </m:sSubSupPr>
          <m:e>
            <m:r>
              <w:rPr>
                <w:rFonts w:ascii="Cambria Math" w:hAnsi="Cambria Math"/>
                <w:sz w:val="18"/>
                <w:szCs w:val="18"/>
              </w:rPr>
              <m:t>w</m:t>
            </m:r>
          </m:e>
          <m:sub>
            <m:r>
              <w:rPr>
                <w:rFonts w:ascii="Cambria Math" w:hAnsi="Cambria Math"/>
                <w:sz w:val="18"/>
                <w:szCs w:val="18"/>
              </w:rPr>
              <m:t>1</m:t>
            </m:r>
          </m:sub>
          <m:sup>
            <m:r>
              <w:rPr>
                <w:rFonts w:ascii="Cambria Math" w:hAnsi="Cambria Math"/>
                <w:sz w:val="18"/>
                <w:szCs w:val="18"/>
              </w:rPr>
              <m:t>*</m:t>
            </m:r>
          </m:sup>
        </m:sSubSup>
      </m:oMath>
      <w:r w:rsidRPr="00642470">
        <w:rPr>
          <w:sz w:val="18"/>
          <w:szCs w:val="18"/>
        </w:rPr>
        <w:t>—where the optimal scheme selection toggles—is derived by setting the utility function of NPS equal to that of PPF/APY:</w:t>
      </w:r>
    </w:p>
    <w:p w14:paraId="43A8665E" w14:textId="77777777" w:rsidR="00D14BA5" w:rsidRPr="00642470" w:rsidRDefault="00D14BA5" w:rsidP="00D14BA5">
      <w:pPr>
        <w:ind w:left="720"/>
        <w:jc w:val="both"/>
        <w:rPr>
          <w:sz w:val="18"/>
          <w:szCs w:val="18"/>
        </w:rPr>
      </w:pPr>
      <m:oMathPara>
        <m:oMath>
          <m:r>
            <w:rPr>
              <w:rFonts w:ascii="Cambria Math" w:hAnsi="Cambria Math"/>
              <w:sz w:val="18"/>
              <w:szCs w:val="18"/>
            </w:rPr>
            <m:t>0.92-0.42</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=0.40+0.60</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oMath>
      </m:oMathPara>
    </w:p>
    <w:p w14:paraId="2E6BFE97" w14:textId="77777777" w:rsidR="00D14BA5" w:rsidRPr="00642470" w:rsidRDefault="00D14BA5" w:rsidP="00D14BA5">
      <w:pPr>
        <w:ind w:left="720"/>
        <w:jc w:val="both"/>
        <w:rPr>
          <w:sz w:val="18"/>
          <w:szCs w:val="18"/>
        </w:rPr>
      </w:pPr>
      <m:oMathPara>
        <m:oMath>
          <m:r>
            <w:rPr>
              <w:rFonts w:ascii="Cambria Math" w:hAnsi="Cambria Math"/>
              <w:sz w:val="18"/>
              <w:szCs w:val="18"/>
            </w:rPr>
            <m:t>1.02</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=0.52⟹</m:t>
          </m:r>
          <m:sSubSup>
            <m:sSubSupPr>
              <m:ctrlPr>
                <w:rPr>
                  <w:rFonts w:ascii="Cambria Math" w:hAnsi="Cambria Math"/>
                  <w:sz w:val="18"/>
                  <w:szCs w:val="18"/>
                </w:rPr>
              </m:ctrlPr>
            </m:sSubSupPr>
            <m:e>
              <m:r>
                <w:rPr>
                  <w:rFonts w:ascii="Cambria Math" w:hAnsi="Cambria Math"/>
                  <w:sz w:val="18"/>
                  <w:szCs w:val="18"/>
                </w:rPr>
                <m:t>w</m:t>
              </m:r>
            </m:e>
            <m:sub>
              <m:r>
                <w:rPr>
                  <w:rFonts w:ascii="Cambria Math" w:hAnsi="Cambria Math"/>
                  <w:sz w:val="18"/>
                  <w:szCs w:val="18"/>
                </w:rPr>
                <m:t>1</m:t>
              </m:r>
            </m:sub>
            <m:sup>
              <m:r>
                <w:rPr>
                  <w:rFonts w:ascii="Cambria Math" w:hAnsi="Cambria Math"/>
                  <w:sz w:val="18"/>
                  <w:szCs w:val="18"/>
                </w:rPr>
                <m:t>*</m:t>
              </m:r>
            </m:sup>
          </m:sSubSup>
          <m:r>
            <w:rPr>
              <w:rFonts w:ascii="Cambria Math" w:hAnsi="Cambria Math"/>
              <w:sz w:val="18"/>
              <w:szCs w:val="18"/>
            </w:rPr>
            <m:t>≈0.51</m:t>
          </m:r>
        </m:oMath>
      </m:oMathPara>
    </w:p>
    <w:p w14:paraId="0012A38D" w14:textId="77777777" w:rsidR="00D14BA5" w:rsidRPr="00642470" w:rsidRDefault="00D14BA5" w:rsidP="00D14BA5">
      <w:pPr>
        <w:ind w:left="720"/>
        <w:jc w:val="both"/>
        <w:rPr>
          <w:b/>
          <w:bCs/>
          <w:sz w:val="18"/>
          <w:szCs w:val="18"/>
        </w:rPr>
      </w:pPr>
      <w:r w:rsidRPr="00642470">
        <w:rPr>
          <w:b/>
          <w:bCs/>
          <w:sz w:val="18"/>
          <w:szCs w:val="18"/>
        </w:rPr>
        <w:t>Decision Threshold Implications</w:t>
      </w:r>
    </w:p>
    <w:p w14:paraId="661910A4" w14:textId="77777777" w:rsidR="00D14BA5" w:rsidRPr="00642470" w:rsidRDefault="00A77686" w:rsidP="00D14BA5">
      <w:pPr>
        <w:numPr>
          <w:ilvl w:val="0"/>
          <w:numId w:val="4"/>
        </w:numPr>
        <w:jc w:val="both"/>
        <w:rPr>
          <w:sz w:val="18"/>
          <w:szCs w:val="18"/>
        </w:rPr>
      </w:pP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&lt;0.51</m:t>
        </m:r>
      </m:oMath>
      <w:r w:rsidR="00D14BA5" w:rsidRPr="00642470">
        <w:rPr>
          <w:b/>
          <w:bCs/>
          <w:sz w:val="18"/>
          <w:szCs w:val="18"/>
        </w:rPr>
        <w:t xml:space="preserve"> (Market-Linked Preference):</w:t>
      </w:r>
      <w:r w:rsidR="00D14BA5" w:rsidRPr="00642470">
        <w:rPr>
          <w:sz w:val="18"/>
          <w:szCs w:val="18"/>
        </w:rPr>
        <w:t xml:space="preserve"> NPS maintains its rank as the optimal scheme whenever downside protection constitutes less than </w:t>
      </w:r>
      <m:oMath>
        <m:r>
          <w:rPr>
            <w:rFonts w:ascii="Cambria Math" w:hAnsi="Cambria Math"/>
            <w:sz w:val="18"/>
            <w:szCs w:val="18"/>
          </w:rPr>
          <m:t>51%</m:t>
        </m:r>
      </m:oMath>
      <w:r w:rsidR="00D14BA5" w:rsidRPr="00642470">
        <w:rPr>
          <w:sz w:val="18"/>
          <w:szCs w:val="18"/>
        </w:rPr>
        <w:t xml:space="preserve"> of the cumulative decision weight.</w:t>
      </w:r>
    </w:p>
    <w:p w14:paraId="6AA05B2A" w14:textId="77777777" w:rsidR="00D14BA5" w:rsidRPr="00642470" w:rsidRDefault="00A77686" w:rsidP="00D14BA5">
      <w:pPr>
        <w:numPr>
          <w:ilvl w:val="0"/>
          <w:numId w:val="4"/>
        </w:numPr>
        <w:jc w:val="both"/>
        <w:rPr>
          <w:sz w:val="18"/>
          <w:szCs w:val="18"/>
        </w:rPr>
      </w:pP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&gt;0.51</m:t>
        </m:r>
      </m:oMath>
      <w:r w:rsidR="00D14BA5" w:rsidRPr="00642470">
        <w:rPr>
          <w:b/>
          <w:bCs/>
          <w:sz w:val="18"/>
          <w:szCs w:val="18"/>
        </w:rPr>
        <w:t xml:space="preserve"> (Capital Preservation Preference):</w:t>
      </w:r>
      <w:r w:rsidR="00D14BA5" w:rsidRPr="00642470">
        <w:rPr>
          <w:sz w:val="18"/>
          <w:szCs w:val="18"/>
        </w:rPr>
        <w:t xml:space="preserve"> Once the weight allocated to downside risk exceeds </w:t>
      </w:r>
      <m:oMath>
        <m:r>
          <w:rPr>
            <w:rFonts w:ascii="Cambria Math" w:hAnsi="Cambria Math"/>
            <w:sz w:val="18"/>
            <w:szCs w:val="18"/>
          </w:rPr>
          <m:t>51%</m:t>
        </m:r>
      </m:oMath>
      <w:r w:rsidR="00D14BA5" w:rsidRPr="00642470">
        <w:rPr>
          <w:sz w:val="18"/>
          <w:szCs w:val="18"/>
        </w:rPr>
        <w:t>, guaranteed yield instruments (PPF/APY) overtake NPS as the preferred alternative.</w:t>
      </w:r>
    </w:p>
    <w:p w14:paraId="24D63DD7" w14:textId="77777777" w:rsidR="00D14BA5" w:rsidRDefault="00D14BA5" w:rsidP="00D14BA5">
      <w:pPr>
        <w:ind w:left="720"/>
        <w:jc w:val="both"/>
        <w:rPr>
          <w:sz w:val="18"/>
          <w:szCs w:val="18"/>
        </w:rPr>
      </w:pPr>
      <w:r w:rsidRPr="00642470">
        <w:rPr>
          <w:sz w:val="18"/>
          <w:szCs w:val="18"/>
        </w:rPr>
        <w:t xml:space="preserve">While NPS serves as a universally superior option for stable </w:t>
      </w:r>
      <w:proofErr w:type="gramStart"/>
      <w:r w:rsidRPr="00642470">
        <w:rPr>
          <w:sz w:val="18"/>
          <w:szCs w:val="18"/>
        </w:rPr>
        <w:t>career</w:t>
      </w:r>
      <w:r>
        <w:rPr>
          <w:sz w:val="18"/>
          <w:szCs w:val="18"/>
        </w:rPr>
        <w:t>s</w:t>
      </w:r>
      <w:r w:rsidRPr="00642470">
        <w:rPr>
          <w:sz w:val="18"/>
          <w:szCs w:val="18"/>
        </w:rPr>
        <w:t xml:space="preserve">, </w:t>
      </w:r>
      <w:r>
        <w:rPr>
          <w:sz w:val="18"/>
          <w:szCs w:val="18"/>
        </w:rPr>
        <w:t xml:space="preserve"> but</w:t>
      </w:r>
      <w:proofErr w:type="gramEnd"/>
      <w:r>
        <w:rPr>
          <w:sz w:val="18"/>
          <w:szCs w:val="18"/>
        </w:rPr>
        <w:t xml:space="preserve"> </w:t>
      </w:r>
      <w:r w:rsidRPr="00642470">
        <w:rPr>
          <w:sz w:val="18"/>
          <w:szCs w:val="18"/>
        </w:rPr>
        <w:t>its advantage for high-career-risk workers remains conditional. The sensitivity analysis confirms a precise decision-switching boundary, proving that optimal pension selection is not absolute—it transitions predictably from growth-oriented market assets to capital-guaranteed instruments as risk aversion grows dominant.</w:t>
      </w:r>
    </w:p>
    <w:p w14:paraId="4A0F23F1" w14:textId="77777777" w:rsidR="00D14BA5" w:rsidRPr="003860C0" w:rsidRDefault="00D14BA5" w:rsidP="00D14BA5">
      <w:pPr>
        <w:jc w:val="both"/>
        <w:rPr>
          <w:b/>
          <w:bCs/>
        </w:rPr>
      </w:pPr>
      <w:r w:rsidRPr="003860C0">
        <w:rPr>
          <w:b/>
          <w:bCs/>
        </w:rPr>
        <w:t>1. Career Risk Changes Relative Pension-Scheme Suitability</w:t>
      </w:r>
    </w:p>
    <w:p w14:paraId="41E2AF4A" w14:textId="77777777" w:rsidR="00D14BA5" w:rsidRDefault="00D14BA5" w:rsidP="00D14BA5">
      <w:pPr>
        <w:jc w:val="both"/>
      </w:pPr>
      <w:r w:rsidRPr="003860C0">
        <w:t xml:space="preserve">The results show that pension-scheme suitability varies across career-risk profiles. Although NPS ranks first in both scenarios, the relative position of the other schemes changes. EPF performs better under the stable-career profile, whereas PPF/APY become more competitive when greater weight is assigned to downside protection. This indicates that pension schemes cannot be evaluated through a single universal ranking; their relative suitability depends on the priorities associated with different worker profiles. This is consistent with pension literature emphasizing heterogeneity in income uncertainty, career stability, and individual circumstances when evaluating retirement choices (van </w:t>
      </w:r>
      <w:proofErr w:type="spellStart"/>
      <w:r w:rsidRPr="003860C0">
        <w:t>Rooij</w:t>
      </w:r>
      <w:proofErr w:type="spellEnd"/>
      <w:r w:rsidRPr="003860C0">
        <w:t xml:space="preserve"> et al., 2007; Ayuso et al., 2016).</w:t>
      </w:r>
    </w:p>
    <w:p w14:paraId="306B8273" w14:textId="77777777" w:rsidR="00D14BA5" w:rsidRPr="003860C0" w:rsidRDefault="00D14BA5" w:rsidP="00D14BA5">
      <w:pPr>
        <w:jc w:val="both"/>
      </w:pPr>
    </w:p>
    <w:p w14:paraId="27784414" w14:textId="77777777" w:rsidR="00D14BA5" w:rsidRPr="003860C0" w:rsidRDefault="00D14BA5" w:rsidP="00D14BA5">
      <w:pPr>
        <w:jc w:val="both"/>
        <w:rPr>
          <w:b/>
          <w:bCs/>
        </w:rPr>
      </w:pPr>
      <w:r w:rsidRPr="003860C0">
        <w:rPr>
          <w:b/>
          <w:bCs/>
        </w:rPr>
        <w:t>2. NPS Dominance Is Conditional on the Importance of Downside Protection</w:t>
      </w:r>
    </w:p>
    <w:p w14:paraId="4BD885FC" w14:textId="77777777" w:rsidR="00D14BA5" w:rsidRPr="003860C0" w:rsidRDefault="00D14BA5" w:rsidP="00D14BA5">
      <w:pPr>
        <w:jc w:val="both"/>
      </w:pPr>
      <w:r w:rsidRPr="003860C0">
        <w:t>NPS achieves the highest baseline score because it performs across several dimensions simultaneously. Its relatively low costs support long-term accumulation (</w:t>
      </w:r>
      <w:r w:rsidRPr="003860C0">
        <w:rPr>
          <w:i/>
          <w:iCs/>
        </w:rPr>
        <w:t>Bogle, 2014; OECD, 2020</w:t>
      </w:r>
      <w:r w:rsidRPr="003860C0">
        <w:t>), lifecycle rebalancing allows investment risk to decline as retirement approaches (</w:t>
      </w:r>
      <w:r w:rsidRPr="003860C0">
        <w:rPr>
          <w:i/>
          <w:iCs/>
        </w:rPr>
        <w:t>Merton, 1971; Vicente &amp; Toledo, 2018</w:t>
      </w:r>
      <w:r w:rsidRPr="003860C0">
        <w:t>), and multi-asset allocation provides diversification benefits (</w:t>
      </w:r>
      <w:r w:rsidRPr="003860C0">
        <w:rPr>
          <w:i/>
          <w:iCs/>
        </w:rPr>
        <w:t>Markowitz, 1952; Sengupta et al., 2019</w:t>
      </w:r>
      <w:r w:rsidRPr="003860C0">
        <w:t>). At the same time, regulatory limits on equity exposure and allocation to government securities provide some degree of downside protection (</w:t>
      </w:r>
      <w:r w:rsidRPr="003860C0">
        <w:rPr>
          <w:i/>
          <w:iCs/>
        </w:rPr>
        <w:t>Bodie, 1990; Sane &amp; Thomas, 2014</w:t>
      </w:r>
      <w:r w:rsidRPr="003860C0">
        <w:t>). This combination enables NPS to perform strongly across the four criteria used in the framework rather than depending on a single attribute.</w:t>
      </w:r>
    </w:p>
    <w:p w14:paraId="4C9902C4" w14:textId="77777777" w:rsidR="00D14BA5" w:rsidRPr="003860C0" w:rsidRDefault="00D14BA5" w:rsidP="00D14BA5">
      <w:pPr>
        <w:jc w:val="both"/>
      </w:pPr>
      <w:r w:rsidRPr="003860C0">
        <w:t>However, its advantage is much narrower for high-career-risk workers: NPS scores 0.710 compared with 0.700 for PPF/APY. This small margin indicates the need to examine whether the ranking remains stable when the importance of downside protection changes. The OAT sensitivity analysis confirms that NPS remains the preferred alternative only while the weight assigned to downside protection is below approximately 0.51. Once this weight exceeds 0.51, PPF/APY become the preferred alternatives.</w:t>
      </w:r>
    </w:p>
    <w:p w14:paraId="250BFA76" w14:textId="77777777" w:rsidR="00D14BA5" w:rsidRDefault="00D14BA5" w:rsidP="00D14BA5">
      <w:pPr>
        <w:jc w:val="both"/>
      </w:pPr>
      <w:r w:rsidRPr="003860C0">
        <w:t xml:space="preserve">Importantly, the </w:t>
      </w:r>
      <w:r w:rsidRPr="003860C0">
        <w:rPr>
          <w:b/>
          <w:bCs/>
        </w:rPr>
        <w:t>51% switching threshold is a result generated by the proposed MCDA framework</w:t>
      </w:r>
      <w:r w:rsidRPr="003860C0">
        <w:t>, not a threshold established by previous theory. Expected utility and portfolio-choice theories instead provide a theoretical explanation for the direction of this change: as the importance of capital preservation increases, greater risk aversion can increase the relative attractiveness of guaranteed assets over market-linked alternatives (</w:t>
      </w:r>
      <w:r w:rsidRPr="003860C0">
        <w:rPr>
          <w:i/>
          <w:iCs/>
        </w:rPr>
        <w:t>Pratt, 1964; Arrow, 1965; Markowitz, 1952; Bodie et al., 1992</w:t>
      </w:r>
      <w:r w:rsidRPr="003860C0">
        <w:t>). Therefore, the sensitivity analysis extends the baseline ranking by identifying the specific preference condition under which the optimal recommendation changes.</w:t>
      </w:r>
    </w:p>
    <w:p w14:paraId="579451DD" w14:textId="77777777" w:rsidR="00D14BA5" w:rsidRDefault="00D14BA5" w:rsidP="00D14BA5">
      <w:pPr>
        <w:jc w:val="both"/>
      </w:pPr>
      <w:r>
        <w:t>Suggestions</w:t>
      </w:r>
    </w:p>
    <w:p w14:paraId="701572AF" w14:textId="77777777" w:rsidR="00D14BA5" w:rsidRDefault="00D14BA5" w:rsidP="00D14BA5">
      <w:pPr>
        <w:jc w:val="both"/>
      </w:pPr>
      <w:r w:rsidRPr="00FE664F">
        <w:t xml:space="preserve">To bridge the preference shift observed when downside protection weight exceeds 0.51, policy frameworks should promote guaranteed options like PFRDA’s proposed Minimum Assured Return Scheme (MARS). By combining sponsor-backed floor returns with market participation, MARS offers high career-risk and risk-averse profiles necessary capital safety without sacrificing the cost efficiencies and institutional governance of the NPS framework. </w:t>
      </w:r>
      <w:proofErr w:type="gramStart"/>
      <w:r w:rsidRPr="00FE664F">
        <w:t>..</w:t>
      </w:r>
      <w:proofErr w:type="gramEnd"/>
      <w:r w:rsidRPr="00FE664F">
        <w:t xml:space="preserve">make this more </w:t>
      </w:r>
      <w:proofErr w:type="spellStart"/>
      <w:r w:rsidRPr="00FE664F">
        <w:t>intresting</w:t>
      </w:r>
      <w:proofErr w:type="spellEnd"/>
    </w:p>
    <w:p w14:paraId="01DD96E5" w14:textId="77777777" w:rsidR="00D14BA5" w:rsidRDefault="00D14BA5" w:rsidP="00D14BA5">
      <w:pPr>
        <w:jc w:val="both"/>
      </w:pPr>
      <w:r w:rsidRPr="00611653">
        <w:t>Simplified "Rules of Thumb" for Financial Literacy Campaigns</w:t>
      </w:r>
    </w:p>
    <w:p w14:paraId="2CF27149" w14:textId="77777777" w:rsidR="00D14BA5" w:rsidRPr="0005142C" w:rsidRDefault="00D14BA5" w:rsidP="00D14BA5">
      <w:pPr>
        <w:jc w:val="both"/>
        <w:rPr>
          <w:b/>
          <w:bCs/>
        </w:rPr>
      </w:pPr>
      <w:r w:rsidRPr="0005142C">
        <w:rPr>
          <w:b/>
          <w:bCs/>
        </w:rPr>
        <w:t>2. Guided Default Architecture via "Smart Nudging"</w:t>
      </w:r>
    </w:p>
    <w:p w14:paraId="6BF0C9CC" w14:textId="77777777" w:rsidR="00D14BA5" w:rsidRPr="0005142C" w:rsidRDefault="00D14BA5" w:rsidP="00D14BA5">
      <w:pPr>
        <w:numPr>
          <w:ilvl w:val="0"/>
          <w:numId w:val="5"/>
        </w:numPr>
        <w:jc w:val="both"/>
      </w:pPr>
      <w:r w:rsidRPr="0005142C">
        <w:rPr>
          <w:b/>
          <w:bCs/>
        </w:rPr>
        <w:t>The Problem:</w:t>
      </w:r>
      <w:r w:rsidRPr="0005142C">
        <w:t xml:space="preserve"> When faced with complex financial choices, individuals often default to arbitrary choices or procrastinate (bounded rationality).</w:t>
      </w:r>
    </w:p>
    <w:p w14:paraId="0F7A8482" w14:textId="77777777" w:rsidR="00D14BA5" w:rsidRPr="0005142C" w:rsidRDefault="00D14BA5" w:rsidP="00D14BA5">
      <w:pPr>
        <w:numPr>
          <w:ilvl w:val="0"/>
          <w:numId w:val="5"/>
        </w:numPr>
        <w:jc w:val="both"/>
      </w:pPr>
      <w:r w:rsidRPr="0005142C">
        <w:rPr>
          <w:b/>
          <w:bCs/>
        </w:rPr>
        <w:t>The Solution:</w:t>
      </w:r>
      <w:r w:rsidRPr="0005142C">
        <w:t xml:space="preserve"> Establish </w:t>
      </w:r>
      <w:r w:rsidRPr="0005142C">
        <w:rPr>
          <w:b/>
          <w:bCs/>
        </w:rPr>
        <w:t>Career-Risk-Adjusted Defaults</w:t>
      </w:r>
      <w:r w:rsidRPr="0005142C">
        <w:t xml:space="preserve"> rather than universal defaults.</w:t>
      </w:r>
    </w:p>
    <w:p w14:paraId="6A3A2A31" w14:textId="77777777" w:rsidR="00D14BA5" w:rsidRPr="0005142C" w:rsidRDefault="00D14BA5" w:rsidP="00D14BA5">
      <w:pPr>
        <w:jc w:val="both"/>
        <w:rPr>
          <w:b/>
          <w:bCs/>
        </w:rPr>
      </w:pPr>
      <w:r w:rsidRPr="0005142C">
        <w:rPr>
          <w:b/>
          <w:bCs/>
        </w:rPr>
        <w:t>1. Interactive Decision Support Systems (DSS) on Pension Portals</w:t>
      </w:r>
    </w:p>
    <w:p w14:paraId="54719821" w14:textId="77777777" w:rsidR="00D14BA5" w:rsidRPr="0005142C" w:rsidRDefault="00D14BA5" w:rsidP="00D14BA5">
      <w:pPr>
        <w:numPr>
          <w:ilvl w:val="0"/>
          <w:numId w:val="6"/>
        </w:numPr>
        <w:jc w:val="both"/>
      </w:pPr>
      <w:r w:rsidRPr="0005142C">
        <w:rPr>
          <w:b/>
          <w:bCs/>
        </w:rPr>
        <w:t>The Problem:</w:t>
      </w:r>
      <w:r w:rsidRPr="0005142C">
        <w:t xml:space="preserve"> Non-expert individuals struggle with complex trade-offs (e.g., weighing low fund management fees vs. capital guarantees).</w:t>
      </w:r>
    </w:p>
    <w:p w14:paraId="24E60D45" w14:textId="77777777" w:rsidR="00D14BA5" w:rsidRPr="0005142C" w:rsidRDefault="00D14BA5" w:rsidP="00D14BA5">
      <w:pPr>
        <w:numPr>
          <w:ilvl w:val="0"/>
          <w:numId w:val="6"/>
        </w:numPr>
        <w:jc w:val="both"/>
      </w:pPr>
      <w:r w:rsidRPr="0005142C">
        <w:rPr>
          <w:b/>
          <w:bCs/>
        </w:rPr>
        <w:t>The Solution:</w:t>
      </w:r>
      <w:r w:rsidRPr="0005142C">
        <w:t xml:space="preserve"> Policy regulators (like PFRDA) should integrate a simplified </w:t>
      </w:r>
      <w:r w:rsidRPr="0005142C">
        <w:rPr>
          <w:b/>
          <w:bCs/>
        </w:rPr>
        <w:t>MCDA-backed Decision Support System (DSS)</w:t>
      </w:r>
      <w:r w:rsidRPr="0005142C">
        <w:t xml:space="preserve"> into subscriber onboarding portals (e.g., CRA portals).</w:t>
      </w:r>
    </w:p>
    <w:p w14:paraId="2897DD65" w14:textId="77777777" w:rsidR="00D14BA5" w:rsidRPr="0005142C" w:rsidRDefault="00D14BA5" w:rsidP="00D14BA5">
      <w:pPr>
        <w:numPr>
          <w:ilvl w:val="0"/>
          <w:numId w:val="6"/>
        </w:numPr>
        <w:jc w:val="both"/>
      </w:pPr>
      <w:r w:rsidRPr="0005142C">
        <w:rPr>
          <w:b/>
          <w:bCs/>
        </w:rPr>
        <w:lastRenderedPageBreak/>
        <w:t>Implementation:</w:t>
      </w:r>
      <w:r w:rsidRPr="0005142C">
        <w:t xml:space="preserve"> Instead of asking users technical financial questions, the system asks 3–4 intuitive preference questions (e.g., </w:t>
      </w:r>
      <w:r w:rsidRPr="0005142C">
        <w:rPr>
          <w:i/>
          <w:iCs/>
        </w:rPr>
        <w:t>"How concerned are you about short-term capital loss vs. long-term inflation growth?"</w:t>
      </w:r>
    </w:p>
    <w:p w14:paraId="5FB97DFA" w14:textId="77777777" w:rsidR="00066649" w:rsidRDefault="00066649"/>
    <w:sectPr w:rsidR="00066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D365D"/>
    <w:multiLevelType w:val="multilevel"/>
    <w:tmpl w:val="B09C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4617B"/>
    <w:multiLevelType w:val="multilevel"/>
    <w:tmpl w:val="017E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D2D8F"/>
    <w:multiLevelType w:val="multilevel"/>
    <w:tmpl w:val="E74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E4684"/>
    <w:multiLevelType w:val="multilevel"/>
    <w:tmpl w:val="CF46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5D0DBC"/>
    <w:multiLevelType w:val="multilevel"/>
    <w:tmpl w:val="3BF6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E1809"/>
    <w:multiLevelType w:val="multilevel"/>
    <w:tmpl w:val="8D4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859120">
    <w:abstractNumId w:val="3"/>
  </w:num>
  <w:num w:numId="2" w16cid:durableId="714043687">
    <w:abstractNumId w:val="2"/>
  </w:num>
  <w:num w:numId="3" w16cid:durableId="1030448150">
    <w:abstractNumId w:val="4"/>
  </w:num>
  <w:num w:numId="4" w16cid:durableId="47607469">
    <w:abstractNumId w:val="0"/>
  </w:num>
  <w:num w:numId="5" w16cid:durableId="397940711">
    <w:abstractNumId w:val="5"/>
  </w:num>
  <w:num w:numId="6" w16cid:durableId="738526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A5"/>
    <w:rsid w:val="00066649"/>
    <w:rsid w:val="002443BB"/>
    <w:rsid w:val="003162F2"/>
    <w:rsid w:val="0035355C"/>
    <w:rsid w:val="00501B7A"/>
    <w:rsid w:val="00757166"/>
    <w:rsid w:val="0091708F"/>
    <w:rsid w:val="0091779B"/>
    <w:rsid w:val="00D14BA5"/>
    <w:rsid w:val="00EB077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4D4E"/>
  <w15:chartTrackingRefBased/>
  <w15:docId w15:val="{7E3D306B-F2B8-4127-86F5-CC5D8F46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BA5"/>
  </w:style>
  <w:style w:type="paragraph" w:styleId="Heading1">
    <w:name w:val="heading 1"/>
    <w:basedOn w:val="Normal"/>
    <w:next w:val="Normal"/>
    <w:link w:val="Heading1Char"/>
    <w:uiPriority w:val="9"/>
    <w:qFormat/>
    <w:rsid w:val="00D14BA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14BA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14BA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14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A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14BA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14BA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14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A5"/>
    <w:rPr>
      <w:rFonts w:eastAsiaTheme="majorEastAsia" w:cstheme="majorBidi"/>
      <w:color w:val="272727" w:themeColor="text1" w:themeTint="D8"/>
    </w:rPr>
  </w:style>
  <w:style w:type="paragraph" w:styleId="Title">
    <w:name w:val="Title"/>
    <w:basedOn w:val="Normal"/>
    <w:next w:val="Normal"/>
    <w:link w:val="TitleChar"/>
    <w:uiPriority w:val="10"/>
    <w:qFormat/>
    <w:rsid w:val="00D14BA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4BA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4BA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4BA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4BA5"/>
    <w:pPr>
      <w:spacing w:before="160"/>
      <w:jc w:val="center"/>
    </w:pPr>
    <w:rPr>
      <w:i/>
      <w:iCs/>
      <w:color w:val="404040" w:themeColor="text1" w:themeTint="BF"/>
    </w:rPr>
  </w:style>
  <w:style w:type="character" w:customStyle="1" w:styleId="QuoteChar">
    <w:name w:val="Quote Char"/>
    <w:basedOn w:val="DefaultParagraphFont"/>
    <w:link w:val="Quote"/>
    <w:uiPriority w:val="29"/>
    <w:rsid w:val="00D14BA5"/>
    <w:rPr>
      <w:i/>
      <w:iCs/>
      <w:color w:val="404040" w:themeColor="text1" w:themeTint="BF"/>
    </w:rPr>
  </w:style>
  <w:style w:type="paragraph" w:styleId="ListParagraph">
    <w:name w:val="List Paragraph"/>
    <w:basedOn w:val="Normal"/>
    <w:uiPriority w:val="34"/>
    <w:qFormat/>
    <w:rsid w:val="00D14BA5"/>
    <w:pPr>
      <w:ind w:left="720"/>
      <w:contextualSpacing/>
    </w:pPr>
  </w:style>
  <w:style w:type="character" w:styleId="IntenseEmphasis">
    <w:name w:val="Intense Emphasis"/>
    <w:basedOn w:val="DefaultParagraphFont"/>
    <w:uiPriority w:val="21"/>
    <w:qFormat/>
    <w:rsid w:val="00D14BA5"/>
    <w:rPr>
      <w:i/>
      <w:iCs/>
      <w:color w:val="2F5496" w:themeColor="accent1" w:themeShade="BF"/>
    </w:rPr>
  </w:style>
  <w:style w:type="paragraph" w:styleId="IntenseQuote">
    <w:name w:val="Intense Quote"/>
    <w:basedOn w:val="Normal"/>
    <w:next w:val="Normal"/>
    <w:link w:val="IntenseQuoteChar"/>
    <w:uiPriority w:val="30"/>
    <w:qFormat/>
    <w:rsid w:val="00D14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BA5"/>
    <w:rPr>
      <w:i/>
      <w:iCs/>
      <w:color w:val="2F5496" w:themeColor="accent1" w:themeShade="BF"/>
    </w:rPr>
  </w:style>
  <w:style w:type="character" w:styleId="IntenseReference">
    <w:name w:val="Intense Reference"/>
    <w:basedOn w:val="DefaultParagraphFont"/>
    <w:uiPriority w:val="32"/>
    <w:qFormat/>
    <w:rsid w:val="00D14B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2932</Words>
  <Characters>16715</Characters>
  <Application>Microsoft Office Word</Application>
  <DocSecurity>0</DocSecurity>
  <Lines>139</Lines>
  <Paragraphs>39</Paragraphs>
  <ScaleCrop>false</ScaleCrop>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PAUL</dc:creator>
  <cp:keywords/>
  <dc:description/>
  <cp:lastModifiedBy>RANJAN PAUL</cp:lastModifiedBy>
  <cp:revision>2</cp:revision>
  <dcterms:created xsi:type="dcterms:W3CDTF">2026-08-19T11:20:00Z</dcterms:created>
  <dcterms:modified xsi:type="dcterms:W3CDTF">2026-08-19T11:20:00Z</dcterms:modified>
</cp:coreProperties>
</file>