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CTI-ENGINE</w:t>
      </w:r>
    </w:p>
    <w:p>
      <w:pPr>
        <w:spacing w:after="400"/>
      </w:pPr>
      <w:r>
        <w:rPr>
          <w:i/>
          <w:iCs/>
        </w:rPr>
        <w:t xml:space="preserve">An Open-Source Explainable Cyber Threat Intelligence Engine Using Hybrid Deep Learning, Quantum-Inspired Neural Networks, and Metaheuristic Feature Optimization for OSINT Analysis</w:t>
      </w:r>
    </w:p>
    <w:p>
      <w:pPr>
        <w:pStyle w:val="Heading1"/>
      </w:pPr>
      <w:r>
        <w:t xml:space="preserve">Suitability assessment</w:t>
      </w:r>
    </w:p>
    <w:p>
      <w:pPr>
        <w:spacing w:after="200"/>
      </w:pPr>
      <w:r>
        <w:t xml:space="preserve">Yes, this is a suitable and defensible PhD topic — with two caveats worth addressing directly with your supervisor before registration.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It combines four distinct technical contributions — open-source deliverable, explainability, hybrid deep learning, quantum-inspired architecture, and metaheuristic optimization — applied to a real, active problem domain (OSINT-based cyber threat intelligence). This gives multiple potential publication angles from one thesis: a feature-selection paper, a model-architecture paper, an explainability paper, and a systems/tool paper.</w:t>
      </w:r>
    </w:p>
    <w:p>
      <w:pPr>
        <w:pStyle w:val="ListParagraph"/>
        <w:numPr>
          <w:ilvl w:val="0"/>
          <w:numId w:val="2"/>
        </w:numPr>
      </w:pPr>
      <w:r>
        <w:t xml:space="preserve">Individual pieces exist separately in the literature (quantum-inspired explainable AI, quantum-inspired threat detection, metaheuristic feature selection in security), but the specific combination of all four pillars together, applied specifically to OSINT-sourced cyber threat intelligence data, is not already claimed. That combination is the novelty.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open-source engine framing provides a concrete, demonstrable artifact (a working released tool, not just a theoretical model), which strengthens the thesis defense alongside the theoretical contribution.</w:t>
      </w:r>
    </w:p>
    <w:p>
      <w:pPr>
        <w:pStyle w:val="Heading2"/>
      </w:pPr>
      <w:r>
        <w:t xml:space="preserve">Risks to manage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Scope. </w:t>
      </w:r>
      <w:r>
        <w:t xml:space="preserve">This is a substantial amount of work for one PhD: a full collection pipeline, two non-trivial machine learning components (metaheuristic optimization and a quantum-inspired network), an explainability layer, and a labeled dataset built from scratch. Many committees will ask the candidate to either narrow the core contribution — treating metaheuristic optimization or the quantum-inspired architecture as the primary novelty, with the other as supporting work — or to extend the timeline expectations accordingly.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“Quantum-inspired” skepticism. </w:t>
      </w:r>
      <w:r>
        <w:t xml:space="preserve">Some reviewers push back on this term unless it is precisely justified as more than classical techniques rebranded. A clear technical definition should be ready from the start of the proposal.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CTI-ENGINE is an open-source cyber threat intelligence system that takes raw OSINT data and turns it into transparent, explainable threat classifications. It addresses three persistent problems in current CTI pipelines: OSINT data is too noisy and high-dimensional for efficient model training, which is addressed through metaheuristic feature selection; classical deep learning models are often weaker or less efficient than hybrid quantum-classical designs on these tasks, which is addressed through a quantum-inspired neural network; and most machine-learning-based CTI tools are black boxes that analysts cannot trust or audit, which is addressed through a SHAP/LIME-based explainability layer. The result is released as an open-source tool rather than only a research prototype, making the contribution both theoretical — a novel model architecture — and practical — a usable system.</w:t>
      </w:r>
    </w:p>
    <w:p>
      <w:pPr>
        <w:pStyle w:val="Heading1"/>
      </w:pPr>
      <w:r>
        <w:t xml:space="preserve">Pipeline of the framework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OSINT data collection. </w:t>
      </w:r>
      <w:r>
        <w:t xml:space="preserve">Pulls raw data from forums, threat feeds, pastes, RSS, and code repositories.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Preprocessing and feature extraction. </w:t>
      </w:r>
      <w:r>
        <w:t xml:space="preserve">Named entity recognition and regex-based indicator-of-compromise extraction, turning raw text into a numeric feature matrix.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Metaheuristic feature optimization. </w:t>
      </w:r>
      <w:r>
        <w:t xml:space="preserve">A Particle Swarm Optimization or Genetic Algorithm-based search selects the most discriminative subset of features, reducing dimensionality and noise before the heavier model stage.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Quantum-inspired neural network. </w:t>
      </w:r>
      <w:r>
        <w:t xml:space="preserve">A hybrid, simulated quantum circuit feeding a classical neural network classifier head, trained on the optimized features.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Explainability layer. </w:t>
      </w:r>
      <w:r>
        <w:t xml:space="preserve">SHAP or LIME wraps the model's predictions, showing which features pushed a given OSINT item toward “threat” or “benign.”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Explainable CTI output. </w:t>
      </w:r>
      <w:r>
        <w:t xml:space="preserve">The final deliverable: a structured, human-readable threat report with a reasoning trace attached, not just a bare classification.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2026-10-02T20:07:58.492Z</dcterms:created>
  <dcterms:modified xsi:type="dcterms:W3CDTF">2026-10-02T20:07:58.492Z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