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3f45127f3fa7ade337bc13543808b61ab32bf57e.png"/>
            <a:graphic>
              <a:graphicData uri="http://schemas.openxmlformats.org/drawingml/2006/picture">
                <pic:pic>
                  <pic:nvPicPr>
                    <pic:cNvPr id="1" name="image-3f45127f3fa7ade337bc13543808b61ab32bf57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The Evolution of India's Maritime Legal Architecture: Navigating Between Global Integration and National Sovereignty</w:t>
      </w:r>
    </w:p>
    <w:p>
      <w:pPr>
        <w:spacing w:line="360" w:before="315" w:after="105" w:lineRule="auto"/>
        <w:ind w:left="-30"/>
        <w:jc w:val="left"/>
      </w:pPr>
      <w:r>
        <w:rPr>
          <w:rFonts w:eastAsia="inter" w:cs="inter" w:ascii="inter" w:hAnsi="inter"/>
          <w:b/>
          <w:color w:val="000000"/>
          <w:sz w:val="24"/>
        </w:rPr>
        <w:t xml:space="preserve">Abstract</w:t>
      </w:r>
    </w:p>
    <w:p>
      <w:pPr>
        <w:spacing w:line="360" w:after="210" w:lineRule="auto"/>
      </w:pPr>
      <w:r>
        <w:rPr>
          <w:rFonts w:eastAsia="inter" w:cs="inter" w:ascii="inter" w:hAnsi="inter"/>
          <w:color w:val="000000"/>
        </w:rPr>
        <w:t xml:space="preserve">India's maritime legal framework stands at a fascinating crossroads where centuries of oceanic tradition intersect with the demands of contemporary global governance. This comprehensive analysis examines how India's domestic maritime statutes engage with international legal instruments, revealing a sophisticated approach that transcends simple compliance or rejection of global norms. Through careful scrutiny of recent legislative reforms, landmark judicial pronouncements, and comparative perspectives, this research illuminates India's strategic calibration between international obligations and national prerogatives in maritime governance.</w:t>
      </w:r>
      <w:bookmarkStart w:id="0" w:name="fnref1"/>
      <w:bookmarkEnd w:id="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investigation demonstrates that India's maritime legal evolution reflects a conscious strategy of selective engagement with the international legal order. While embracing foundational conventions such as UNCLOS and core IMO instruments, India simultaneously maintains distinctive positions on critical issues including military activities within the Exclusive Economic Zone and anti-piracy enforcement mechanisms. This nuanced approach, examined through the lens of recent comprehensive legislative modernization including the Merchant Shipping Act 2020 and related maritime statutes, reveals a maturing legal system that serves both global maritime commerce and national strategic interests.</w:t>
      </w:r>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analysis draws upon extensive examination of statutory frameworks, transformative judicial decisions, and institutional reforms that collectively demonstrate India's emergence as a significant player in global maritime governance. Rather than viewing apparent tensions as contradictions, this research explores how seemingly divergent positions may reflect coherent strategies for managing complex international relationships while protecting essential national interests. The findings contribute to broader understanding of how emerging maritime powers navigate the complexities of global governance structures while asserting sovereign prerogatives.</w:t>
      </w:r>
      <w:bookmarkStart w:id="4" w:name="fnref5"/>
      <w:bookmarkEnd w:id="4"/>
      <w:hyperlink w:anchor="fn5">
        <w:r>
          <w:rPr>
            <w:rFonts w:eastAsia="inter" w:cs="inter" w:ascii="inter" w:hAnsi="inter"/>
            <w:color w:val="#000"/>
            <w:u w:val="single"/>
            <w:vertAlign w:val="superscript"/>
          </w:rPr>
          <w:t xml:space="preserve">[5]</w:t>
        </w:r>
      </w:hyperlink>
      <w:bookmarkStart w:id="5" w:name="fnref6"/>
      <w:bookmarkEnd w:id="5"/>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r>
        <w:rPr>
          <w:rFonts w:eastAsia="inter" w:cs="inter" w:ascii="inter" w:hAnsi="inter"/>
          <w:b/>
          <w:color w:val="000000"/>
          <w:sz w:val="24"/>
        </w:rPr>
        <w:t xml:space="preserve">I. Constitutional Foundations and the Architecture of Maritime Authority</w:t>
      </w:r>
    </w:p>
    <w:p>
      <w:pPr>
        <w:spacing w:line="360" w:after="210" w:lineRule="auto"/>
      </w:pPr>
      <w:r>
        <w:rPr>
          <w:rFonts w:eastAsia="inter" w:cs="inter" w:ascii="inter" w:hAnsi="inter"/>
          <w:color w:val="000000"/>
        </w:rPr>
        <w:t xml:space="preserve">The constitutional framework governing India's maritime affairs emerges from a complex interplay of historical precedent, legal innovation, and strategic calculation that extends far beyond conventional regulatory architecture. The Constitution of India vests exclusive legislative authority over major ports and shipping in the Union government, creating the foundational basis for comprehensive maritime governance that encompasses not merely administrative efficiency but fundamental questions of national identity and legal sovereignty.</w:t>
      </w:r>
      <w:bookmarkStart w:id="6" w:name="fnref1:1"/>
      <w:bookmarkEnd w:id="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This constitutional mandate reflects deeper currents in India's post-independence legal evolution, where maritime governance becomes intimately connected with broader narratives of decolonization and national self-determination. The persistent governmental discourse about replacing "outdated," "colonial-era," and "pre-independence" legal frameworks reveals something far more profound than administrative modernization—it represents a conscious effort to construct an indigenous legal identity that can engage with global norms while maintaining distinctive national characteristics.</w:t>
      </w:r>
      <w:bookmarkStart w:id="7" w:name="fnref6:1"/>
      <w:bookmarkEnd w:id="7"/>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recent comprehensive legislative overhaul, exemplified by the Merchant Shipping Bill 2020 and its companion statutes, must be understood within this broader context of legal decolonization. The decision to completely replace rather than merely amend the Merchant Shipping Act 1958—despite its sixty-year service as the primary maritime regulatory instrument—signals a paradigmatic shift toward building legal frameworks that serve contemporary Indian maritime interests rather than perpetuating colonial administrative structures.</w:t>
      </w:r>
      <w:bookmarkStart w:id="8" w:name="fnref7"/>
      <w:bookmarkEnd w:id="8"/>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This transformation extends beyond symbolic politics to encompass fundamental questions about how developing maritime nations construct legal frameworks that can simultaneously serve domestic development needs and international commercial requirements. The challenge lies in crafting legislation that demonstrates sufficient alignment with global standards to ensure Indian vessels can operate effectively in international markets while maintaining sufficient distinctiveness to serve particular national priorities and development strategies.</w:t>
      </w:r>
      <w:bookmarkStart w:id="9" w:name="fnref5:1"/>
      <w:bookmarkEnd w:id="9"/>
      <w:hyperlink w:anchor="fn5">
        <w:r>
          <w:rPr>
            <w:rFonts w:eastAsia="inter" w:cs="inter" w:ascii="inter" w:hAnsi="inter"/>
            <w:color w:val="#000"/>
            <w:u w:val="single"/>
            <w:vertAlign w:val="superscript"/>
          </w:rPr>
          <w:t xml:space="preserve">[5]</w:t>
        </w:r>
      </w:hyperlink>
      <w:bookmarkStart w:id="10" w:name="fnref6:2"/>
      <w:bookmarkEnd w:id="1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constitutional structure creates additional complexity through its federal character, which divides maritime authority between central and state governments in ways that both enable specialized expertise and create potential coordination challenges. Major ports fall under Union jurisdiction while minor ports remain subject to state authority, creating a layered governance structure that must balance efficiency with democratic accountability in maritime administration.</w:t>
      </w:r>
      <w:bookmarkStart w:id="11" w:name="fnref1:2"/>
      <w:bookmarkEnd w:id="11"/>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II. Legislative Modernization and Strategic Legal Identity</w:t>
      </w:r>
    </w:p>
    <w:p>
      <w:pPr>
        <w:spacing w:line="360" w:after="210" w:lineRule="auto"/>
      </w:pPr>
      <w:r>
        <w:rPr>
          <w:rFonts w:eastAsia="inter" w:cs="inter" w:ascii="inter" w:hAnsi="inter"/>
          <w:color w:val="000000"/>
        </w:rPr>
        <w:t xml:space="preserve">The coordinated introduction of multiple interconnected maritime statutes represents perhaps the most ambitious legal modernization effort in India's post-independence maritime history. The simultaneous development of the Merchant Shipping Bill 2020, Carriage of Goods by Sea Act 2025, and Coastal Shipping Act 2025 demonstrates a unified strategic approach that extends beyond administrative convenience to encompass fundamental questions about India's position within global maritime commerce.</w:t>
      </w:r>
      <w:bookmarkStart w:id="12" w:name="fnref3:1"/>
      <w:bookmarkEnd w:id="12"/>
      <w:hyperlink w:anchor="fn3">
        <w:r>
          <w:rPr>
            <w:rFonts w:eastAsia="inter" w:cs="inter" w:ascii="inter" w:hAnsi="inter"/>
            <w:color w:val="#000"/>
            <w:u w:val="single"/>
            <w:vertAlign w:val="superscript"/>
          </w:rPr>
          <w:t xml:space="preserve">[3]</w:t>
        </w:r>
      </w:hyperlink>
      <w:bookmarkStart w:id="13" w:name="fnref2:1"/>
      <w:bookmarkEnd w:id="13"/>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This legislative modernization reveals sophisticated understanding of how legal frameworks must evolve to address contemporary challenges while maintaining sufficient flexibility to adapt to future developments. The Merchant Shipping Bill 2020, for instance, broadens vessel registration criteria to include a wider spectrum of individuals and corporate entities, reflecting strategic calculations about flag state competitiveness and maritime industrial development.</w:t>
      </w:r>
      <w:bookmarkStart w:id="14" w:name="fnref7:1"/>
      <w:bookmarkEnd w:id="14"/>
      <w:hyperlink w:anchor="fn7">
        <w:r>
          <w:rPr>
            <w:rFonts w:eastAsia="inter" w:cs="inter" w:ascii="inter" w:hAnsi="inter"/>
            <w:color w:val="#000"/>
            <w:u w:val="single"/>
            <w:vertAlign w:val="superscript"/>
          </w:rPr>
          <w:t xml:space="preserve">[7]</w:t>
        </w:r>
      </w:hyperlink>
      <w:bookmarkStart w:id="15" w:name="fnref2:2"/>
      <w:bookmarkEnd w:id="15"/>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incorporation of Maritime Labour Convention provisions within domestic legislation exemplifies how India balances international compliance with national development priorities. By adopting MLC standards that enhance seafarer rights and welfare, India demonstrates commitment to international labor standards while simultaneously strengthening its position in global maritime employment markets. This approach illustrates the sophisticated calculation that underlies India's engagement with international maritime law—embracing standards that serve both humanitarian objectives and commercial competitiveness.</w:t>
      </w:r>
      <w:bookmarkStart w:id="16" w:name="fnref3:2"/>
      <w:bookmarkEnd w:id="16"/>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Perhaps most significantly, the legislation incorporates innovative provisions for provisional registration of Indian vessels at foreign ports, reflecting pragmatic recognition of how global maritime commerce operates while maintaining Indian regulatory oversight. This approach enables maximum utilization of assets while preserving national administrative control—a balance that reflects broader themes in India's international economic engagement.</w:t>
      </w:r>
      <w:bookmarkStart w:id="17" w:name="fnref2:3"/>
      <w:bookmarkEnd w:id="17"/>
      <w:hyperlink w:anchor="fn2">
        <w:r>
          <w:rPr>
            <w:rFonts w:eastAsia="inter" w:cs="inter" w:ascii="inter" w:hAnsi="inter"/>
            <w:color w:val="#000"/>
            <w:u w:val="single"/>
            <w:vertAlign w:val="superscript"/>
          </w:rPr>
          <w:t xml:space="preserve">[2]</w:t>
        </w:r>
      </w:hyperlink>
      <w:bookmarkStart w:id="18" w:name="fnref7:2"/>
      <w:bookmarkEnd w:id="18"/>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The Carriage of Goods by Sea Act 2025 provides another illustration of strategic legal positioning, aligning closely with Hague-Visby Rules while incorporating provisions for electronic documentation that position India at the forefront of maritime commercial law modernization. This approach suggests a maturing legal system capable of pioneering innovative solutions while embracing established international best practices.</w:t>
      </w:r>
      <w:bookmarkStart w:id="19" w:name="fnref8"/>
      <w:bookmarkEnd w:id="19"/>
      <w:hyperlink w:anchor="fn8">
        <w:r>
          <w:rPr>
            <w:rFonts w:eastAsia="inter" w:cs="inter" w:ascii="inter" w:hAnsi="inter"/>
            <w:color w:val="#000"/>
            <w:u w:val="single"/>
            <w:vertAlign w:val="superscript"/>
          </w:rPr>
          <w:t xml:space="preserve">[8]</w:t>
        </w:r>
      </w:hyperlink>
      <w:bookmarkStart w:id="20" w:name="fnref2:4"/>
      <w:bookmarkEnd w:id="2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legislative architecture also reveals careful attention to enforcement mechanisms and institutional capabilities. Provisions empowering the Director-General of Shipping to monitor maritime education and training, combined with enhanced authority for vessel detention and safety control measures, create comprehensive regulatory frameworks that extend beyond mere rule-making to encompass effective implementation and enforcement.</w:t>
      </w:r>
      <w:bookmarkStart w:id="21" w:name="fnref9"/>
      <w:bookmarkEnd w:id="21"/>
      <w:hyperlink w:anchor="fn9">
        <w:r>
          <w:rPr>
            <w:rFonts w:eastAsia="inter" w:cs="inter" w:ascii="inter" w:hAnsi="inter"/>
            <w:color w:val="#000"/>
            <w:u w:val="single"/>
            <w:vertAlign w:val="superscript"/>
          </w:rPr>
          <w:t xml:space="preserve">[9]</w:t>
        </w:r>
      </w:hyperlink>
      <w:bookmarkStart w:id="22" w:name="fnref2:5"/>
      <w:bookmarkEnd w:id="22"/>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III. India's Strategic Engagement with UNCLOS: Compliance and Creative Interpretation</w:t>
      </w:r>
    </w:p>
    <w:p>
      <w:pPr>
        <w:spacing w:line="360" w:after="210" w:lineRule="auto"/>
      </w:pPr>
      <w:r>
        <w:rPr>
          <w:rFonts w:eastAsia="inter" w:cs="inter" w:ascii="inter" w:hAnsi="inter"/>
          <w:color w:val="000000"/>
        </w:rPr>
        <w:t xml:space="preserve">India's relationship with the United Nations Convention on the Law of the Sea exemplifies the sophisticated balance between international commitment and national interpretation that characterizes its broader approach to international law. Having ratified UNCLOS in 1995, India appears to embrace the "constitution of the oceans" while maintaining distinctive positions on key provisions that serve particular national interests.</w:t>
      </w:r>
      <w:bookmarkStart w:id="23" w:name="fnref10"/>
      <w:bookmarkEnd w:id="23"/>
      <w:hyperlink w:anchor="fn10">
        <w:r>
          <w:rPr>
            <w:rFonts w:eastAsia="inter" w:cs="inter" w:ascii="inter" w:hAnsi="inter"/>
            <w:color w:val="#000"/>
            <w:u w:val="single"/>
            <w:vertAlign w:val="superscript"/>
          </w:rPr>
          <w:t xml:space="preserve">[10]</w:t>
        </w:r>
      </w:hyperlink>
      <w:bookmarkStart w:id="24" w:name="fnref11"/>
      <w:bookmarkEnd w:id="24"/>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The implementation of UNCLOS within Indian domestic law reveals both comprehensive adoption and subtle modification of international standards. The Territorial Waters, Continental Shelf, Exclusive Economic Zone and Other Maritime Zones Act of 1976 broadly mirrors UNCLOS zone definitions while incorporating specific provisions that reflect Indian strategic priorities and geographic circumstances.</w:t>
      </w:r>
      <w:bookmarkStart w:id="25" w:name="fnref11:1"/>
      <w:bookmarkEnd w:id="25"/>
      <w:hyperlink w:anchor="fn11">
        <w:r>
          <w:rPr>
            <w:rFonts w:eastAsia="inter" w:cs="inter" w:ascii="inter" w:hAnsi="inter"/>
            <w:color w:val="#000"/>
            <w:u w:val="single"/>
            <w:vertAlign w:val="superscript"/>
          </w:rPr>
          <w:t xml:space="preserve">[11]</w:t>
        </w:r>
      </w:hyperlink>
      <w:bookmarkStart w:id="26" w:name="fnref12"/>
      <w:bookmarkEnd w:id="26"/>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Most significantly, India's interpretation of permissible activities within the Exclusive Economic Zone places it among a minority of coastal states asserting expanded control over military activities and marine scientific research. This position, while controversial internationally, represents coherent interpretation of UNCLOS provisions that emphasizes coastal state security concerns over traditional freedom of navigation principles. The stance reflects strategic calculations about security requirements in the Indian Ocean Region, where geopolitical competition increasingly involves maritime surveillance and intelligence gathering activities.</w:t>
      </w:r>
      <w:bookmarkStart w:id="27" w:name="fnref13"/>
      <w:bookmarkEnd w:id="27"/>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India's insistence on prior consent requirements for military activities within its EEZ represents a calculated assessment that expanded coastal state authority serves essential national security interests despite international criticism. This interpretation, shared by only seventeen nations globally, demonstrates India's willingness to advance minority positions when they serve fundamental strategic interests.</w:t>
      </w:r>
      <w:bookmarkStart w:id="28" w:name="fnref13:1"/>
      <w:bookmarkEnd w:id="28"/>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The position becomes more complex when considered alongside India's consistent advocacy for freedom of navigation in other maritime contexts, particularly regarding South China Sea disputes. This apparent inconsistency reveals the instrumental approach to international law that characterizes much of India's maritime legal strategy—embracing principles that serve national interests while challenging those that constrain national authority.</w:t>
      </w:r>
      <w:bookmarkStart w:id="29" w:name="fnref10:1"/>
      <w:bookmarkEnd w:id="29"/>
      <w:hyperlink w:anchor="fn10">
        <w:r>
          <w:rPr>
            <w:rFonts w:eastAsia="inter" w:cs="inter" w:ascii="inter" w:hAnsi="inter"/>
            <w:color w:val="#000"/>
            <w:u w:val="single"/>
            <w:vertAlign w:val="superscript"/>
          </w:rPr>
          <w:t xml:space="preserve">[10]</w:t>
        </w:r>
      </w:hyperlink>
      <w:bookmarkStart w:id="30" w:name="fnref11:2"/>
      <w:bookmarkEnd w:id="30"/>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India's approach to maritime boundary delimitation provides another dimension of its strategic UNCLOS engagement. The successful resolution of boundaries with Bangladesh through international arbitration demonstrates willingness to utilize international legal mechanisms when they serve national interests, while persistent disputes with Pakistan highlight the limits of commitment to international adjudication.</w:t>
      </w:r>
      <w:bookmarkStart w:id="31" w:name="fnref14"/>
      <w:bookmarkEnd w:id="31"/>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The recent petition to the UN Commission on the Limits of the Continental Shelf seeking recognition of extended continental shelf rights represents sophisticated engagement with UNCLOS technical provisions. If successful, this initiative could significantly expand India's jurisdiction over seabed resources while establishing valuable precedent for similar claims by other developing nations.</w:t>
      </w:r>
      <w:bookmarkStart w:id="32" w:name="fnref15"/>
      <w:bookmarkEnd w:id="32"/>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r>
        <w:rPr>
          <w:rFonts w:eastAsia="inter" w:cs="inter" w:ascii="inter" w:hAnsi="inter"/>
          <w:b/>
          <w:color w:val="000000"/>
          <w:sz w:val="24"/>
        </w:rPr>
        <w:t xml:space="preserve">IV. The Admiralty Revolution: Judicial Innovation in Maritime Law</w:t>
      </w:r>
    </w:p>
    <w:p>
      <w:pPr>
        <w:spacing w:line="360" w:after="210" w:lineRule="auto"/>
      </w:pPr>
      <w:r>
        <w:rPr>
          <w:rFonts w:eastAsia="inter" w:cs="inter" w:ascii="inter" w:hAnsi="inter"/>
          <w:color w:val="000000"/>
        </w:rPr>
        <w:t xml:space="preserve">The transformation of Indian admiralty law represents one of the most dramatic examples of judicial leadership in legal development, culminating in comprehensive legislative codification that has fundamentally altered the landscape of maritime dispute resolution. The Supreme Court's landmark decision in MV Elisabeth v. Harwan Investment &amp; Trading Pvt. Ltd. stands as perhaps the most significant judicial intervention in India's maritime legal evolution.</w:t>
      </w:r>
      <w:bookmarkStart w:id="33" w:name="fnref16"/>
      <w:bookmarkEnd w:id="33"/>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The Court's establishment of "inherent and plenary powers" for admiralty jurisdiction represented judicial activism at its most creative, filling legislative voids through interpretive innovation that brought Indian maritime law into alignment with contemporary international practice. By rejecting arguments that Indian admiralty jurisdiction remained constrained by colonial-era limitations, the Court effectively liberated Indian maritime law from historical constraints that no longer served contemporary needs.</w:t>
      </w:r>
      <w:bookmarkStart w:id="34" w:name="fnref16:1"/>
      <w:bookmarkEnd w:id="34"/>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The decision's practical implications extended far beyond abstract legal theory. By affirming jurisdiction over foreign vessels owned by foreign companies with no presence in India, the Court created new commercial possibilities for Indian maritime law practice while establishing India as a credible forum for international maritime dispute resolution. This bold judicial intervention demonstrated how creative legal interpretation could serve both national commercial interests and international legal development.</w:t>
      </w:r>
      <w:bookmarkStart w:id="35" w:name="fnref16:2"/>
      <w:bookmarkEnd w:id="35"/>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The judicial reasoning demonstrated sophisticated understanding of how maritime law operates as a specialized legal domain requiring distinctive approaches to jurisdiction and enforcement. The Court's articulation of plenary power doctrine affirmed comprehensive judicial competence over maritime matters while recognizing the particular characteristics that distinguish maritime commerce from other commercial activities.</w:t>
      </w:r>
      <w:bookmarkStart w:id="36" w:name="fnref16:3"/>
      <w:bookmarkEnd w:id="36"/>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This judicial innovation subsequently received legislative endorsement through the Admiralty (Jurisdiction and Settlement of Maritime Claims) Act 2017, demonstrating productive interaction between judicial creativity and legislative response. The Act codifies the MV Elisabeth doctrine while providing comprehensive statutory framework for admiralty jurisdiction and maritime claims resolution.</w:t>
      </w:r>
      <w:bookmarkStart w:id="37" w:name="fnref17"/>
      <w:bookmarkEnd w:id="37"/>
      <w:hyperlink w:anchor="fn17">
        <w:r>
          <w:rPr>
            <w:rFonts w:eastAsia="inter" w:cs="inter" w:ascii="inter" w:hAnsi="inter"/>
            <w:color w:val="#000"/>
            <w:u w:val="single"/>
            <w:vertAlign w:val="superscript"/>
          </w:rPr>
          <w:t xml:space="preserve">[17]</w:t>
        </w:r>
      </w:hyperlink>
      <w:bookmarkStart w:id="38" w:name="fnref18"/>
      <w:bookmarkEnd w:id="38"/>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color w:val="000000"/>
        </w:rPr>
        <w:t xml:space="preserve">The legislation reveals careful attention to international standards while maintaining distinctively Indian characteristics. The Act's "closed list" of maritime claims broadly aligns with international conventions while incorporating additional claims not found in global instruments, reflecting pragmatic adaptation of international principles to domestic circumstances. This selective approach demonstrates India's sophisticated understanding of how international legal frameworks can be adapted to serve particular national contexts without abandoning their essential character.</w:t>
      </w:r>
      <w:bookmarkStart w:id="39" w:name="fnref17:1"/>
      <w:bookmarkEnd w:id="39"/>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More controversially, the Act deliberately omits provisions for vessel arrest by time or voyage charterers, representing a significant departure from the 1999 Arrest Convention. This exclusion reflects conscious policy choice prioritizing domestic considerations over strict international harmonization—a pattern that characterizes much of India's approach to international maritime law.</w:t>
      </w:r>
      <w:bookmarkStart w:id="40" w:name="fnref17:2"/>
      <w:bookmarkEnd w:id="40"/>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r>
        <w:rPr>
          <w:rFonts w:eastAsia="inter" w:cs="inter" w:ascii="inter" w:hAnsi="inter"/>
          <w:b/>
          <w:color w:val="000000"/>
          <w:sz w:val="24"/>
        </w:rPr>
        <w:t xml:space="preserve">V. Contemporary Challenges: Anti-Piracy and Environmental Governance</w:t>
      </w:r>
    </w:p>
    <w:p>
      <w:pPr>
        <w:spacing w:line="360" w:after="210" w:lineRule="auto"/>
      </w:pPr>
      <w:r>
        <w:rPr>
          <w:rFonts w:eastAsia="inter" w:cs="inter" w:ascii="inter" w:hAnsi="inter"/>
          <w:color w:val="000000"/>
        </w:rPr>
        <w:t xml:space="preserve">The Maritime Anti-Piracy Act 2022 represents India's most controversial contribution to contemporary maritime law, embodying both robust international cooperation and problematic domestic policy choices that highlight tensions between effective enforcement and legal propriety. The Act's provision of universal jurisdiction aligns with UNCLOS obligations and international best practices for piracy suppression, positioning India as a responsible participant in global anti-piracy efforts.</w:t>
      </w:r>
      <w:bookmarkStart w:id="41" w:name="fnref19"/>
      <w:bookmarkEnd w:id="41"/>
      <w:hyperlink w:anchor="fn19">
        <w:r>
          <w:rPr>
            <w:rFonts w:eastAsia="inter" w:cs="inter" w:ascii="inter" w:hAnsi="inter"/>
            <w:color w:val="#000"/>
            <w:u w:val="single"/>
            <w:vertAlign w:val="superscript"/>
          </w:rPr>
          <w:t xml:space="preserve">[19]</w:t>
        </w:r>
      </w:hyperlink>
      <w:bookmarkStart w:id="42" w:name="fnref20"/>
      <w:bookmarkEnd w:id="42"/>
      <w:hyperlink w:anchor="fn20">
        <w:r>
          <w:rPr>
            <w:rFonts w:eastAsia="inter" w:cs="inter" w:ascii="inter" w:hAnsi="inter"/>
            <w:color w:val="#000"/>
            <w:u w:val="single"/>
            <w:vertAlign w:val="superscript"/>
          </w:rPr>
          <w:t xml:space="preserve">[20]</w:t>
        </w:r>
      </w:hyperlink>
      <w:bookmarkStart w:id="43" w:name="fnref5:2"/>
      <w:bookmarkEnd w:id="43"/>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However, controversial provisions including capital punishment and presumption of guilt create potential conflicts with constitutional principles and international human rights standards. These provisions risk undermining the international collaboration they purport to promote by complicating extradition procedures and raising due process concerns among potential cooperating nations. The legislation's aggressive approach to deterrence may paradoxically compromise the very international cooperation essential for effective anti-piracy enforcement.</w:t>
      </w:r>
      <w:bookmarkStart w:id="44" w:name="fnref19:1"/>
      <w:bookmarkEnd w:id="44"/>
      <w:hyperlink w:anchor="fn19">
        <w:r>
          <w:rPr>
            <w:rFonts w:eastAsia="inter" w:cs="inter" w:ascii="inter" w:hAnsi="inter"/>
            <w:color w:val="#000"/>
            <w:u w:val="single"/>
            <w:vertAlign w:val="superscript"/>
          </w:rPr>
          <w:t xml:space="preserve">[19]</w:t>
        </w:r>
      </w:hyperlink>
      <w:bookmarkStart w:id="45" w:name="fnref5:3"/>
      <w:bookmarkEnd w:id="45"/>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The tension reflects broader challenges facing developing nations in implementing international criminal law obligations. While the international community expects robust anti-piracy enforcement, the specific mechanisms chosen by individual states can create complications for international cooperation that may ultimately compromise rather than enhance collective security efforts.</w:t>
      </w:r>
      <w:bookmarkStart w:id="46" w:name="fnref20:1"/>
      <w:bookmarkEnd w:id="46"/>
      <w:hyperlink w:anchor="fn20">
        <w:r>
          <w:rPr>
            <w:rFonts w:eastAsia="inter" w:cs="inter" w:ascii="inter" w:hAnsi="inter"/>
            <w:color w:val="#000"/>
            <w:u w:val="single"/>
            <w:vertAlign w:val="superscript"/>
          </w:rPr>
          <w:t xml:space="preserve">[20]</w:t>
        </w:r>
      </w:hyperlink>
      <w:bookmarkStart w:id="47" w:name="fnref21"/>
      <w:bookmarkEnd w:id="47"/>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color w:val="000000"/>
        </w:rPr>
        <w:t xml:space="preserve">The Act's extraterritorial application raises complex questions about the relationship between universal jurisdiction and territorial sovereignty. While international law clearly permits universal jurisdiction for piracy, practical exercise of such jurisdiction requires careful attention to procedural safeguards and diplomatic sensitivities that aggressive approaches may compromise.</w:t>
      </w:r>
      <w:bookmarkStart w:id="48" w:name="fnref21:1"/>
      <w:bookmarkEnd w:id="48"/>
      <w:hyperlink w:anchor="fn21">
        <w:r>
          <w:rPr>
            <w:rFonts w:eastAsia="inter" w:cs="inter" w:ascii="inter" w:hAnsi="inter"/>
            <w:color w:val="#000"/>
            <w:u w:val="single"/>
            <w:vertAlign w:val="superscript"/>
          </w:rPr>
          <w:t xml:space="preserve">[21]</w:t>
        </w:r>
      </w:hyperlink>
      <w:bookmarkStart w:id="49" w:name="fnref5:4"/>
      <w:bookmarkEnd w:id="49"/>
      <w:hyperlink w:anchor="fn5">
        <w:r>
          <w:rPr>
            <w:rFonts w:eastAsia="inter" w:cs="inter" w:ascii="inter" w:hAnsi="inter"/>
            <w:color w:val="#000"/>
            <w:u w:val="single"/>
            <w:vertAlign w:val="superscript"/>
          </w:rPr>
          <w:t xml:space="preserve">[5]</w:t>
        </w:r>
      </w:hyperlink>
      <w:bookmarkStart w:id="50" w:name="fnref3:3"/>
      <w:bookmarkEnd w:id="50"/>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India's maritime environmental governance demonstrates more successful integration of international standards with domestic implementation capacity. The comprehensive incorporation of MARPOL Convention provisions into domestic law creates legally binding obligations that often exceed minimum international requirements while establishing enforcement mechanisms tailored to Indian administrative capabilities.</w:t>
      </w:r>
      <w:bookmarkStart w:id="51" w:name="fnref22"/>
      <w:bookmarkEnd w:id="51"/>
      <w:hyperlink w:anchor="fn22">
        <w:r>
          <w:rPr>
            <w:rFonts w:eastAsia="inter" w:cs="inter" w:ascii="inter" w:hAnsi="inter"/>
            <w:color w:val="#000"/>
            <w:u w:val="single"/>
            <w:vertAlign w:val="superscript"/>
          </w:rPr>
          <w:t xml:space="preserve">[22]</w:t>
        </w:r>
      </w:hyperlink>
      <w:bookmarkStart w:id="52" w:name="fnref23"/>
      <w:bookmarkEnd w:id="52"/>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National Oil Spill Disaster Contingency Plan represents international best practice in pollution response planning, though its effectiveness depends on coordination between multiple agencies with varying capabilities and priorities. Recent experience with major spill incidents has revealed gaps between planning sophistication and implementation capacity that require sustained attention.</w:t>
      </w:r>
      <w:bookmarkStart w:id="53" w:name="fnref24"/>
      <w:bookmarkEnd w:id="53"/>
      <w:hyperlink w:anchor="fn24">
        <w:r>
          <w:rPr>
            <w:rFonts w:eastAsia="inter" w:cs="inter" w:ascii="inter" w:hAnsi="inter"/>
            <w:color w:val="#000"/>
            <w:u w:val="single"/>
            <w:vertAlign w:val="superscript"/>
          </w:rPr>
          <w:t xml:space="preserve">[24]</w:t>
        </w:r>
      </w:hyperlink>
      <w:bookmarkStart w:id="54" w:name="fnref6:3"/>
      <w:bookmarkEnd w:id="5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legal framework addressing ballast water management demonstrates India's proactive approach to emerging environmental challenges. While India has not yet ratified the Ballast Water Management Convention, the Directorate General of Shipping has issued comprehensive circulars ensuring compliance by Indian-flagged vessels on international voyages. This forward-looking strategy positions India as a responsible maritime nation while preparing domestic industry for eventual treaty obligations.</w:t>
      </w:r>
      <w:bookmarkStart w:id="55" w:name="fnref25"/>
      <w:bookmarkEnd w:id="55"/>
      <w:hyperlink w:anchor="fn25">
        <w:r>
          <w:rPr>
            <w:rFonts w:eastAsia="inter" w:cs="inter" w:ascii="inter" w:hAnsi="inter"/>
            <w:color w:val="#000"/>
            <w:u w:val="single"/>
            <w:vertAlign w:val="superscript"/>
          </w:rPr>
          <w:t xml:space="preserve">[25]</w:t>
        </w:r>
      </w:hyperlink>
      <w:bookmarkStart w:id="56" w:name="fnref2:6"/>
      <w:bookmarkEnd w:id="56"/>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VI. Comparative Perspectives: India Among Global Maritime Powers</w:t>
      </w:r>
    </w:p>
    <w:p>
      <w:pPr>
        <w:spacing w:line="360" w:after="210" w:lineRule="auto"/>
      </w:pPr>
      <w:r>
        <w:rPr>
          <w:rFonts w:eastAsia="inter" w:cs="inter" w:ascii="inter" w:hAnsi="inter"/>
          <w:color w:val="000000"/>
        </w:rPr>
        <w:t xml:space="preserve">India's maritime legal development gains additional perspective when compared with approaches adopted by other major maritime nations facing similar challenges of balancing international integration with national distinctiveness. The United States provides perhaps the most interesting comparison, given its federal structure and complex relationship with international maritime law.</w:t>
      </w:r>
      <w:bookmarkStart w:id="57" w:name="fnref26"/>
      <w:bookmarkEnd w:id="57"/>
      <w:hyperlink w:anchor="fn26">
        <w:r>
          <w:rPr>
            <w:rFonts w:eastAsia="inter" w:cs="inter" w:ascii="inter" w:hAnsi="inter"/>
            <w:color w:val="#000"/>
            <w:u w:val="single"/>
            <w:vertAlign w:val="superscript"/>
          </w:rPr>
          <w:t xml:space="preserve">[26]</w:t>
        </w:r>
      </w:hyperlink>
      <w:bookmarkStart w:id="58" w:name="fnref7:3"/>
      <w:bookmarkEnd w:id="58"/>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American non-ratification of UNCLOS, despite operational application of many convention provisions as customary international law, demonstrates how even dominant maritime powers face domestic political constraints on international legal engagement. India's successful UNCLOS ratification and implementation, despite occasional divergent interpretations, may actually represent more sophisticated international legal engagement than American practice.</w:t>
      </w:r>
      <w:bookmarkStart w:id="59" w:name="fnref11:3"/>
      <w:bookmarkEnd w:id="59"/>
      <w:hyperlink w:anchor="fn11">
        <w:r>
          <w:rPr>
            <w:rFonts w:eastAsia="inter" w:cs="inter" w:ascii="inter" w:hAnsi="inter"/>
            <w:color w:val="#000"/>
            <w:u w:val="single"/>
            <w:vertAlign w:val="superscript"/>
          </w:rPr>
          <w:t xml:space="preserve">[11]</w:t>
        </w:r>
      </w:hyperlink>
      <w:bookmarkStart w:id="60" w:name="fnref10:2"/>
      <w:bookmarkEnd w:id="60"/>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The Jones Act's maritime protectionism exceeds India's cabotage restrictions, suggesting that even the world's dominant maritime economy maintains significant barriers to foreign participation in domestic maritime commerce. India's more flexible approach to foreign vessel licensing, particularly in recent coastal shipping reforms, may represent a more liberal approach than American practice.</w:t>
      </w:r>
      <w:bookmarkStart w:id="61" w:name="fnref27"/>
      <w:bookmarkEnd w:id="61"/>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color w:val="000000"/>
        </w:rPr>
        <w:t xml:space="preserve">China's maritime legal development provides the most relevant comparison for understanding India's strategic choices. Both nations have undergone rapid maritime legal modernization while maintaining distinctive interpretations of international law that serve national strategic interests. The parallel development of comprehensive domestic maritime legislation combined with assertive interpretations of international obligations suggests common patterns among emerging maritime powers.</w:t>
      </w:r>
      <w:bookmarkStart w:id="62" w:name="fnref23:1"/>
      <w:bookmarkEnd w:id="62"/>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Chinese establishment of specialized maritime courts reflects institutional development that India might beneficially emulate. China's Maritime Safety Administration provides integrated enforcement capabilities that contrast with India's more fragmented institutional approach, though centralized systems may sacrifice democratic accountability for administrative efficiency.</w:t>
      </w:r>
      <w:bookmarkStart w:id="63" w:name="fnref23:2"/>
      <w:bookmarkEnd w:id="63"/>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United Kingdom's maritime legal system represents historical foundation for much global maritime law, including India's colonial inheritance. Contemporary British adaptation to changing international circumstances, particularly through European integration and subsequent Brexit adjustments, provides useful precedents for managing legal transitions while maintaining commercial competitiveness.</w:t>
      </w:r>
      <w:bookmarkStart w:id="64" w:name="fnref27:1"/>
      <w:bookmarkEnd w:id="64"/>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color w:val="000000"/>
        </w:rPr>
        <w:t xml:space="preserve">British success in maintaining commercial leadership through legal excellence rather than regulatory protectionism, exemplified by the London Maritime Arbitrators Association, offers valuable lessons for India's efforts to develop domestic maritime arbitration capabilities through institutions like the Gujarat International Maritime Arbitration Centre.</w:t>
      </w:r>
      <w:bookmarkStart w:id="65" w:name="fnref28"/>
      <w:bookmarkEnd w:id="65"/>
      <w:hyperlink w:anchor="fn28">
        <w:r>
          <w:rPr>
            <w:rFonts w:eastAsia="inter" w:cs="inter" w:ascii="inter" w:hAnsi="inter"/>
            <w:color w:val="#000"/>
            <w:u w:val="single"/>
            <w:vertAlign w:val="superscript"/>
          </w:rPr>
          <w:t xml:space="preserve">[28]</w:t>
        </w:r>
      </w:hyperlink>
      <w:bookmarkStart w:id="66" w:name="fnref29"/>
      <w:bookmarkEnd w:id="66"/>
      <w:hyperlink w:anchor="fn29">
        <w:r>
          <w:rPr>
            <w:rFonts w:eastAsia="inter" w:cs="inter" w:ascii="inter" w:hAnsi="inter"/>
            <w:color w:val="#000"/>
            <w:u w:val="single"/>
            <w:vertAlign w:val="superscript"/>
          </w:rPr>
          <w:t xml:space="preserve">[29]</w:t>
        </w:r>
      </w:hyperlink>
    </w:p>
    <w:p>
      <w:pPr>
        <w:spacing w:line="360" w:before="315" w:after="105" w:lineRule="auto"/>
        <w:ind w:left="-30"/>
        <w:jc w:val="left"/>
      </w:pPr>
      <w:r>
        <w:rPr>
          <w:rFonts w:eastAsia="inter" w:cs="inter" w:ascii="inter" w:hAnsi="inter"/>
          <w:b/>
          <w:color w:val="000000"/>
          <w:sz w:val="24"/>
        </w:rPr>
        <w:t xml:space="preserve">VII. Digital Transformation and Commercial Innovation</w:t>
      </w:r>
    </w:p>
    <w:p>
      <w:pPr>
        <w:spacing w:line="360" w:after="210" w:lineRule="auto"/>
      </w:pPr>
      <w:r>
        <w:rPr>
          <w:rFonts w:eastAsia="inter" w:cs="inter" w:ascii="inter" w:hAnsi="inter"/>
          <w:color w:val="000000"/>
        </w:rPr>
        <w:t xml:space="preserve">The incorporation of digital technologies within India's maritime legal framework represents a forward-looking approach that anticipates rather than merely responds to technological development in global maritime commerce. The Carriage of Goods by Sea Act 2025's provisions for electronic bills of lading position India among the first maritime jurisdictions to provide comprehensive statutory framework for digital commercial documentation.</w:t>
      </w:r>
      <w:bookmarkStart w:id="67" w:name="fnref8:1"/>
      <w:bookmarkEnd w:id="67"/>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This innovation reflects recognition that legal frameworks must evolve proactively to enable rather than constrain commercial innovation. Electronic documentation offers significant efficiency advantages while creating new legal challenges regarding authentication, security, and commercial risk allocation that require careful statutory attention.</w:t>
      </w:r>
      <w:bookmarkStart w:id="68" w:name="fnref2:7"/>
      <w:bookmarkEnd w:id="68"/>
      <w:hyperlink w:anchor="fn2">
        <w:r>
          <w:rPr>
            <w:rFonts w:eastAsia="inter" w:cs="inter" w:ascii="inter" w:hAnsi="inter"/>
            <w:color w:val="#000"/>
            <w:u w:val="single"/>
            <w:vertAlign w:val="superscript"/>
          </w:rPr>
          <w:t xml:space="preserve">[2]</w:t>
        </w:r>
      </w:hyperlink>
      <w:bookmarkStart w:id="69" w:name="fnref8:2"/>
      <w:bookmarkEnd w:id="69"/>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The development of digital port systems under recent legislative reforms represents comprehensive modernization that could enhance operational efficiency while creating new regulatory challenges related to cybersecurity and data protection. These developments require maritime law to address technical complexities previously outside traditional legal frameworks.</w:t>
      </w:r>
      <w:bookmarkStart w:id="70" w:name="fnref30"/>
      <w:bookmarkEnd w:id="70"/>
      <w:hyperlink w:anchor="fn30">
        <w:r>
          <w:rPr>
            <w:rFonts w:eastAsia="inter" w:cs="inter" w:ascii="inter" w:hAnsi="inter"/>
            <w:color w:val="#000"/>
            <w:u w:val="single"/>
            <w:vertAlign w:val="superscript"/>
          </w:rPr>
          <w:t xml:space="preserve">[30]</w:t>
        </w:r>
      </w:hyperlink>
      <w:bookmarkStart w:id="71" w:name="fnref31"/>
      <w:bookmarkEnd w:id="71"/>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color w:val="000000"/>
        </w:rPr>
        <w:t xml:space="preserve">India's early adoption of digital maritime commerce law creates opportunities for international leadership but also risks associated with pioneering untested legal mechanisms. The balance between innovation and legal certainty requires careful calibration to serve commercial needs while maintaining predictable legal outcomes for international maritime commerce.</w:t>
      </w:r>
      <w:bookmarkStart w:id="72" w:name="fnref8:3"/>
      <w:bookmarkEnd w:id="72"/>
      <w:hyperlink w:anchor="fn8">
        <w:r>
          <w:rPr>
            <w:rFonts w:eastAsia="inter" w:cs="inter" w:ascii="inter" w:hAnsi="inter"/>
            <w:color w:val="#000"/>
            <w:u w:val="single"/>
            <w:vertAlign w:val="superscript"/>
          </w:rPr>
          <w:t xml:space="preserve">[8]</w:t>
        </w:r>
      </w:hyperlink>
      <w:bookmarkStart w:id="73" w:name="fnref2:8"/>
      <w:bookmarkEnd w:id="73"/>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legislative framework demonstrates sophisticated understanding of how digital transformation affects traditional maritime commerce structures while creating new possibilities for efficiency and transparency. The integration of electronic documentation provisions with traditional commercial law principles reflects mature legal thinking about technological adaptation.</w:t>
      </w:r>
      <w:bookmarkStart w:id="74" w:name="fnref8:4"/>
      <w:bookmarkEnd w:id="74"/>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r>
        <w:rPr>
          <w:rFonts w:eastAsia="inter" w:cs="inter" w:ascii="inter" w:hAnsi="inter"/>
          <w:b/>
          <w:color w:val="000000"/>
          <w:sz w:val="24"/>
        </w:rPr>
        <w:t xml:space="preserve">VIII. Institutional Development and Dispute Resolution</w:t>
      </w:r>
    </w:p>
    <w:p>
      <w:pPr>
        <w:spacing w:line="360" w:after="210" w:lineRule="auto"/>
      </w:pPr>
      <w:r>
        <w:rPr>
          <w:rFonts w:eastAsia="inter" w:cs="inter" w:ascii="inter" w:hAnsi="inter"/>
          <w:color w:val="000000"/>
        </w:rPr>
        <w:t xml:space="preserve">The successful implementation of India's modernized maritime legal framework depends critically on institutional capacity development that extends beyond legislative enactment to encompass comprehensive administrative capability and inter-agency coordination. The coordination challenges between central agencies, state authorities, and judicial institutions require systematic attention to institutional design and operational effectiveness.</w:t>
      </w:r>
      <w:bookmarkStart w:id="75" w:name="fnref32"/>
      <w:bookmarkEnd w:id="75"/>
      <w:hyperlink w:anchor="fn32">
        <w:r>
          <w:rPr>
            <w:rFonts w:eastAsia="inter" w:cs="inter" w:ascii="inter" w:hAnsi="inter"/>
            <w:color w:val="#000"/>
            <w:u w:val="single"/>
            <w:vertAlign w:val="superscript"/>
          </w:rPr>
          <w:t xml:space="preserve">[32]</w:t>
        </w:r>
      </w:hyperlink>
      <w:bookmarkStart w:id="76" w:name="fnref6:4"/>
      <w:bookmarkEnd w:id="76"/>
      <w:hyperlink w:anchor="fn6">
        <w:r>
          <w:rPr>
            <w:rFonts w:eastAsia="inter" w:cs="inter" w:ascii="inter" w:hAnsi="inter"/>
            <w:color w:val="#000"/>
            <w:u w:val="single"/>
            <w:vertAlign w:val="superscript"/>
          </w:rPr>
          <w:t xml:space="preserve">[6]</w:t>
        </w:r>
      </w:hyperlink>
      <w:bookmarkStart w:id="77" w:name="fnref24:1"/>
      <w:bookmarkEnd w:id="77"/>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color w:val="000000"/>
        </w:rPr>
        <w:t xml:space="preserve">The development of specialized maritime expertise within the Indian judiciary represents a particular priority given the technical complexity of contemporary maritime law. While the Admiralty Act 2017 establishes procedural frameworks, effective implementation requires judges with sophisticated understanding of commercial maritime practice and evolving international standards.</w:t>
      </w:r>
      <w:bookmarkStart w:id="78" w:name="fnref18:1"/>
      <w:bookmarkEnd w:id="78"/>
      <w:hyperlink w:anchor="fn18">
        <w:r>
          <w:rPr>
            <w:rFonts w:eastAsia="inter" w:cs="inter" w:ascii="inter" w:hAnsi="inter"/>
            <w:color w:val="#000"/>
            <w:u w:val="single"/>
            <w:vertAlign w:val="superscript"/>
          </w:rPr>
          <w:t xml:space="preserve">[18]</w:t>
        </w:r>
      </w:hyperlink>
      <w:bookmarkStart w:id="79" w:name="fnref17:3"/>
      <w:bookmarkEnd w:id="79"/>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Training programs for maritime enforcement personnel, including Coast Guard officers and port authorities, must accompany legislative modernization to ensure effective implementation. The persistent gap between sophisticated legal frameworks and enforcement capacity represents an ongoing challenge requiring sustained investment and attention.</w:t>
      </w:r>
      <w:bookmarkStart w:id="80" w:name="fnref32:1"/>
      <w:bookmarkEnd w:id="80"/>
      <w:hyperlink w:anchor="fn32">
        <w:r>
          <w:rPr>
            <w:rFonts w:eastAsia="inter" w:cs="inter" w:ascii="inter" w:hAnsi="inter"/>
            <w:color w:val="#000"/>
            <w:u w:val="single"/>
            <w:vertAlign w:val="superscript"/>
          </w:rPr>
          <w:t xml:space="preserve">[32]</w:t>
        </w:r>
      </w:hyperlink>
      <w:bookmarkStart w:id="81" w:name="fnref9:1"/>
      <w:bookmarkEnd w:id="81"/>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The establishment of the Gujarat International Maritime Arbitration Centre (GIMAC) represents strategic initiative to position India as a hub for maritime dispute resolution. Maritime arbitration is widely preferred for international shipping disputes, yet Indian parties have historically chosen foreign arbitration centers. GIMAC's development could significantly enhance India's position in global maritime legal services.</w:t>
      </w:r>
      <w:bookmarkStart w:id="82" w:name="fnref29:1"/>
      <w:bookmarkEnd w:id="82"/>
      <w:hyperlink w:anchor="fn29">
        <w:r>
          <w:rPr>
            <w:rFonts w:eastAsia="inter" w:cs="inter" w:ascii="inter" w:hAnsi="inter"/>
            <w:color w:val="#000"/>
            <w:u w:val="single"/>
            <w:vertAlign w:val="superscript"/>
          </w:rPr>
          <w:t xml:space="preserve">[29]</w:t>
        </w:r>
      </w:hyperlink>
      <w:bookmarkStart w:id="83" w:name="fnref28:1"/>
      <w:bookmarkEnd w:id="83"/>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color w:val="000000"/>
        </w:rPr>
        <w:t xml:space="preserve">The success of domestic maritime arbitration efforts will depend not merely on institutional establishment but on developing genuine expertise and international credibility to compete with established centers in London, Singapore, and Hong Kong. This requires sustained investment in legal expertise and institutional development.</w:t>
      </w:r>
      <w:bookmarkStart w:id="84" w:name="fnref28:2"/>
      <w:bookmarkEnd w:id="84"/>
      <w:hyperlink w:anchor="fn28">
        <w:r>
          <w:rPr>
            <w:rFonts w:eastAsia="inter" w:cs="inter" w:ascii="inter" w:hAnsi="inter"/>
            <w:color w:val="#000"/>
            <w:u w:val="single"/>
            <w:vertAlign w:val="superscript"/>
          </w:rPr>
          <w:t xml:space="preserve">[28]</w:t>
        </w:r>
      </w:hyperlink>
      <w:bookmarkStart w:id="85" w:name="fnref29:2"/>
      <w:bookmarkEnd w:id="85"/>
      <w:hyperlink w:anchor="fn29">
        <w:r>
          <w:rPr>
            <w:rFonts w:eastAsia="inter" w:cs="inter" w:ascii="inter" w:hAnsi="inter"/>
            <w:color w:val="#000"/>
            <w:u w:val="single"/>
            <w:vertAlign w:val="superscript"/>
          </w:rPr>
          <w:t xml:space="preserve">[29]</w:t>
        </w:r>
      </w:hyperlink>
    </w:p>
    <w:p>
      <w:pPr>
        <w:spacing w:line="360" w:before="315" w:after="105" w:lineRule="auto"/>
        <w:ind w:left="-30"/>
        <w:jc w:val="left"/>
      </w:pPr>
      <w:r>
        <w:rPr>
          <w:rFonts w:eastAsia="inter" w:cs="inter" w:ascii="inter" w:hAnsi="inter"/>
          <w:b/>
          <w:color w:val="000000"/>
          <w:sz w:val="24"/>
        </w:rPr>
        <w:t xml:space="preserve">IX. Future Trajectories and Strategic Recommendations</w:t>
      </w:r>
    </w:p>
    <w:p>
      <w:pPr>
        <w:spacing w:line="360" w:after="210" w:lineRule="auto"/>
      </w:pPr>
      <w:r>
        <w:rPr>
          <w:rFonts w:eastAsia="inter" w:cs="inter" w:ascii="inter" w:hAnsi="inter"/>
          <w:color w:val="000000"/>
        </w:rPr>
        <w:t xml:space="preserve">India's maritime legal system faces the ongoing challenge of maintaining modernization momentum while ensuring effective implementation of ambitious new frameworks. The success of recent legislative initiatives depends critically on institutional capacity development, judicial expertise enhancement, and sustained political commitment to maritime legal excellence.</w:t>
      </w:r>
      <w:bookmarkStart w:id="86" w:name="fnref7:4"/>
      <w:bookmarkEnd w:id="86"/>
      <w:hyperlink w:anchor="fn7">
        <w:r>
          <w:rPr>
            <w:rFonts w:eastAsia="inter" w:cs="inter" w:ascii="inter" w:hAnsi="inter"/>
            <w:color w:val="#000"/>
            <w:u w:val="single"/>
            <w:vertAlign w:val="superscript"/>
          </w:rPr>
          <w:t xml:space="preserve">[7]</w:t>
        </w:r>
      </w:hyperlink>
      <w:bookmarkStart w:id="87" w:name="fnref3:4"/>
      <w:bookmarkEnd w:id="87"/>
      <w:hyperlink w:anchor="fn3">
        <w:r>
          <w:rPr>
            <w:rFonts w:eastAsia="inter" w:cs="inter" w:ascii="inter" w:hAnsi="inter"/>
            <w:color w:val="#000"/>
            <w:u w:val="single"/>
            <w:vertAlign w:val="superscript"/>
          </w:rPr>
          <w:t xml:space="preserve">[3]</w:t>
        </w:r>
      </w:hyperlink>
      <w:bookmarkStart w:id="88" w:name="fnref2:9"/>
      <w:bookmarkEnd w:id="88"/>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integration of arbitration provisions in recent maritime legislation demonstrates systematic attention to dispute resolution mechanisms, though potential conflicts between admiralty court jurisdiction and arbitration procedures require careful management to prevent forum shopping and jurisdictional confusion.</w:t>
      </w:r>
      <w:bookmarkStart w:id="89" w:name="fnref29:3"/>
      <w:bookmarkEnd w:id="89"/>
      <w:hyperlink w:anchor="fn29">
        <w:r>
          <w:rPr>
            <w:rFonts w:eastAsia="inter" w:cs="inter" w:ascii="inter" w:hAnsi="inter"/>
            <w:color w:val="#000"/>
            <w:u w:val="single"/>
            <w:vertAlign w:val="superscript"/>
          </w:rPr>
          <w:t xml:space="preserve">[29]</w:t>
        </w:r>
      </w:hyperlink>
      <w:bookmarkStart w:id="90" w:name="fnref28:3"/>
      <w:bookmarkEnd w:id="90"/>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color w:val="000000"/>
        </w:rPr>
        <w:t xml:space="preserve">India's growing maritime capabilities create opportunities for leadership in international maritime legal development that extend beyond compliance with existing standards. The successful resolution of maritime boundary disputes through international adjudication demonstrates India's capacity for constructive engagement with international legal institutions.</w:t>
      </w:r>
      <w:bookmarkStart w:id="91" w:name="fnref14:1"/>
      <w:bookmarkEnd w:id="91"/>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However, leadership opportunities create corresponding responsibilities for contributing to international maritime law development in ways that serve global as well as national interests. India's expertise in areas such as digital maritime commerce and environmental protection positions it to contribute meaningfully to evolving international standards rather than merely adopting external frameworks.</w:t>
      </w:r>
      <w:bookmarkStart w:id="92" w:name="fnref23:3"/>
      <w:bookmarkEnd w:id="92"/>
      <w:hyperlink w:anchor="fn23">
        <w:r>
          <w:rPr>
            <w:rFonts w:eastAsia="inter" w:cs="inter" w:ascii="inter" w:hAnsi="inter"/>
            <w:color w:val="#000"/>
            <w:u w:val="single"/>
            <w:vertAlign w:val="superscript"/>
          </w:rPr>
          <w:t xml:space="preserve">[23]</w:t>
        </w:r>
      </w:hyperlink>
      <w:bookmarkStart w:id="93" w:name="fnref2:10"/>
      <w:bookmarkEnd w:id="93"/>
      <w:hyperlink w:anchor="fn2">
        <w:r>
          <w:rPr>
            <w:rFonts w:eastAsia="inter" w:cs="inter" w:ascii="inter" w:hAnsi="inter"/>
            <w:color w:val="#000"/>
            <w:u w:val="single"/>
            <w:vertAlign w:val="superscript"/>
          </w:rPr>
          <w:t xml:space="preserve">[2]</w:t>
        </w:r>
      </w:hyperlink>
      <w:bookmarkStart w:id="94" w:name="fnref8:5"/>
      <w:bookmarkEnd w:id="94"/>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The development of distinctive Indian approaches to maritime legal challenges provides opportunities to influence international legal development through example and expertise. The integration of electronic bills of lading provisions in recent legislation, for instance, positions India at the forefront of commercial law modernization with potential global implications.</w:t>
      </w:r>
      <w:bookmarkStart w:id="95" w:name="fnref8:6"/>
      <w:bookmarkEnd w:id="95"/>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The persistent tension between national sovereignty and international cooperation that characterizes India's maritime legal approach requires ongoing calibration as circumstances evolve. While strategic divergence from international norms may serve short-term national interests, it can also impose longer-term costs in terms of international relationships and commercial opportunities.</w:t>
      </w:r>
      <w:bookmarkStart w:id="96" w:name="fnref13:2"/>
      <w:bookmarkEnd w:id="96"/>
      <w:hyperlink w:anchor="fn13">
        <w:r>
          <w:rPr>
            <w:rFonts w:eastAsia="inter" w:cs="inter" w:ascii="inter" w:hAnsi="inter"/>
            <w:color w:val="#000"/>
            <w:u w:val="single"/>
            <w:vertAlign w:val="superscript"/>
          </w:rPr>
          <w:t xml:space="preserve">[13]</w:t>
        </w:r>
      </w:hyperlink>
      <w:bookmarkStart w:id="97" w:name="fnref19:2"/>
      <w:bookmarkEnd w:id="97"/>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r>
        <w:rPr>
          <w:rFonts w:eastAsia="inter" w:cs="inter" w:ascii="inter" w:hAnsi="inter"/>
          <w:b/>
          <w:color w:val="000000"/>
          <w:sz w:val="24"/>
        </w:rPr>
        <w:t xml:space="preserve">Conclusion: Strategic Synthesis and Future Prospects</w:t>
      </w:r>
    </w:p>
    <w:p>
      <w:pPr>
        <w:spacing w:line="360" w:after="210" w:lineRule="auto"/>
      </w:pPr>
      <w:r>
        <w:rPr>
          <w:rFonts w:eastAsia="inter" w:cs="inter" w:ascii="inter" w:hAnsi="inter"/>
          <w:color w:val="000000"/>
        </w:rPr>
        <w:t xml:space="preserve">India's maritime legal framework represents a remarkable synthesis of historical inheritance, international engagement, and strategic innovation that positions the nation as an increasingly significant player in global maritime governance. The comprehensive legislative modernization undertaken in recent years demonstrates sophisticated understanding of the relationship between legal frameworks and commercial competitiveness while revealing persistent tensions that require ongoing attention.</w:t>
      </w:r>
      <w:bookmarkStart w:id="98" w:name="fnref3:5"/>
      <w:bookmarkEnd w:id="98"/>
      <w:hyperlink w:anchor="fn3">
        <w:r>
          <w:rPr>
            <w:rFonts w:eastAsia="inter" w:cs="inter" w:ascii="inter" w:hAnsi="inter"/>
            <w:color w:val="#000"/>
            <w:u w:val="single"/>
            <w:vertAlign w:val="superscript"/>
          </w:rPr>
          <w:t xml:space="preserve">[3]</w:t>
        </w:r>
      </w:hyperlink>
      <w:bookmarkStart w:id="99" w:name="fnref7:5"/>
      <w:bookmarkEnd w:id="99"/>
      <w:hyperlink w:anchor="fn7">
        <w:r>
          <w:rPr>
            <w:rFonts w:eastAsia="inter" w:cs="inter" w:ascii="inter" w:hAnsi="inter"/>
            <w:color w:val="#000"/>
            <w:u w:val="single"/>
            <w:vertAlign w:val="superscript"/>
          </w:rPr>
          <w:t xml:space="preserve">[7]</w:t>
        </w:r>
      </w:hyperlink>
      <w:bookmarkStart w:id="100" w:name="fnref2:11"/>
      <w:bookmarkEnd w:id="10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analysis reveals that India's approach to maritime legal development reflects broader patterns among emerging maritime powers seeking to balance international integration with national distinctiveness. While specific choices reflect unique constitutional, geographic, and economic circumstances, the underlying challenges of managing this balance represent common concerns for developing maritime economies.</w:t>
      </w:r>
      <w:bookmarkStart w:id="101" w:name="fnref6:5"/>
      <w:bookmarkEnd w:id="101"/>
      <w:hyperlink w:anchor="fn6">
        <w:r>
          <w:rPr>
            <w:rFonts w:eastAsia="inter" w:cs="inter" w:ascii="inter" w:hAnsi="inter"/>
            <w:color w:val="#000"/>
            <w:u w:val="single"/>
            <w:vertAlign w:val="superscript"/>
          </w:rPr>
          <w:t xml:space="preserve">[6]</w:t>
        </w:r>
      </w:hyperlink>
      <w:bookmarkStart w:id="102" w:name="fnref5:5"/>
      <w:bookmarkEnd w:id="102"/>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The comparative examination demonstrates that India's strategic calibration between international cooperation and national autonomy, while sometimes creating apparent tensions, may actually represent a more nuanced and ultimately sustainable approach to international legal engagement than either wholesale adoption or systematic rejection of global norms.</w:t>
      </w:r>
      <w:bookmarkStart w:id="103" w:name="fnref10:3"/>
      <w:bookmarkEnd w:id="103"/>
      <w:hyperlink w:anchor="fn10">
        <w:r>
          <w:rPr>
            <w:rFonts w:eastAsia="inter" w:cs="inter" w:ascii="inter" w:hAnsi="inter"/>
            <w:color w:val="#000"/>
            <w:u w:val="single"/>
            <w:vertAlign w:val="superscript"/>
          </w:rPr>
          <w:t xml:space="preserve">[10]</w:t>
        </w:r>
      </w:hyperlink>
      <w:bookmarkStart w:id="104" w:name="fnref11:4"/>
      <w:bookmarkEnd w:id="104"/>
      <w:hyperlink w:anchor="fn11">
        <w:r>
          <w:rPr>
            <w:rFonts w:eastAsia="inter" w:cs="inter" w:ascii="inter" w:hAnsi="inter"/>
            <w:color w:val="#000"/>
            <w:u w:val="single"/>
            <w:vertAlign w:val="superscript"/>
          </w:rPr>
          <w:t xml:space="preserve">[11]</w:t>
        </w:r>
      </w:hyperlink>
      <w:bookmarkStart w:id="105" w:name="fnref13:3"/>
      <w:bookmarkEnd w:id="105"/>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Perhaps most significantly, India's maritime legal evolution occurs within a rapidly changing global context characterized by technological innovation, environmental challenge, and shifting geopolitical relationships. The legal frameworks established today must prove sufficiently flexible to address tomorrow's challenges while maintaining the stability and predictability that maritime commercial activity requires.</w:t>
      </w:r>
      <w:bookmarkStart w:id="106" w:name="fnref4:1"/>
      <w:bookmarkEnd w:id="106"/>
      <w:hyperlink w:anchor="fn4">
        <w:r>
          <w:rPr>
            <w:rFonts w:eastAsia="inter" w:cs="inter" w:ascii="inter" w:hAnsi="inter"/>
            <w:color w:val="#000"/>
            <w:u w:val="single"/>
            <w:vertAlign w:val="superscript"/>
          </w:rPr>
          <w:t xml:space="preserve">[4]</w:t>
        </w:r>
      </w:hyperlink>
      <w:bookmarkStart w:id="107" w:name="fnref2:12"/>
      <w:bookmarkEnd w:id="107"/>
      <w:hyperlink w:anchor="fn2">
        <w:r>
          <w:rPr>
            <w:rFonts w:eastAsia="inter" w:cs="inter" w:ascii="inter" w:hAnsi="inter"/>
            <w:color w:val="#000"/>
            <w:u w:val="single"/>
            <w:vertAlign w:val="superscript"/>
          </w:rPr>
          <w:t xml:space="preserve">[2]</w:t>
        </w:r>
      </w:hyperlink>
      <w:bookmarkStart w:id="108" w:name="fnref8:7"/>
      <w:bookmarkEnd w:id="108"/>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The success of India's maritime legal modernization will influence not only domestic commercial development but also broader evolution of international maritime governance. As other emerging maritime powers observe India's approach to balancing international integration with national distinctiveness, the precedents established through Indian legal innovation may shape global maritime law development in significant ways.</w:t>
      </w:r>
      <w:bookmarkStart w:id="109" w:name="fnref33"/>
      <w:bookmarkEnd w:id="109"/>
      <w:hyperlink w:anchor="fn33">
        <w:r>
          <w:rPr>
            <w:rFonts w:eastAsia="inter" w:cs="inter" w:ascii="inter" w:hAnsi="inter"/>
            <w:color w:val="#000"/>
            <w:u w:val="single"/>
            <w:vertAlign w:val="superscript"/>
          </w:rPr>
          <w:t xml:space="preserve">[33]</w:t>
        </w:r>
      </w:hyperlink>
      <w:bookmarkStart w:id="110" w:name="fnref4:2"/>
      <w:bookmarkEnd w:id="110"/>
      <w:hyperlink w:anchor="fn4">
        <w:r>
          <w:rPr>
            <w:rFonts w:eastAsia="inter" w:cs="inter" w:ascii="inter" w:hAnsi="inter"/>
            <w:color w:val="#000"/>
            <w:u w:val="single"/>
            <w:vertAlign w:val="superscript"/>
          </w:rPr>
          <w:t xml:space="preserve">[4]</w:t>
        </w:r>
      </w:hyperlink>
      <w:bookmarkStart w:id="111" w:name="fnref23:4"/>
      <w:bookmarkEnd w:id="111"/>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story of India's maritime legal development thus represents more than technical legal modernization. It exemplifies the broader challenge facing emerging powers of constructing legal frameworks that serve both national development and international cooperation in an increasingly complex global environment. The ongoing success of this effort will determine India's position within the evolving architecture of global maritime governance.</w:t>
      </w:r>
      <w:bookmarkStart w:id="112" w:name="fnref5:6"/>
      <w:bookmarkEnd w:id="112"/>
      <w:hyperlink w:anchor="fn5">
        <w:r>
          <w:rPr>
            <w:rFonts w:eastAsia="inter" w:cs="inter" w:ascii="inter" w:hAnsi="inter"/>
            <w:color w:val="#000"/>
            <w:u w:val="single"/>
            <w:vertAlign w:val="superscript"/>
          </w:rPr>
          <w:t xml:space="preserve">[5]</w:t>
        </w:r>
      </w:hyperlink>
      <w:bookmarkStart w:id="113" w:name="fnref6:6"/>
      <w:bookmarkEnd w:id="113"/>
      <w:hyperlink w:anchor="fn6">
        <w:r>
          <w:rPr>
            <w:rFonts w:eastAsia="inter" w:cs="inter" w:ascii="inter" w:hAnsi="inter"/>
            <w:color w:val="#000"/>
            <w:u w:val="single"/>
            <w:vertAlign w:val="superscript"/>
          </w:rPr>
          <w:t xml:space="preserve">[6]</w:t>
        </w:r>
      </w:hyperlink>
      <w:bookmarkStart w:id="114" w:name="fnref11:5"/>
      <w:bookmarkEnd w:id="114"/>
      <w:hyperlink w:anchor="fn11">
        <w:r>
          <w:rPr>
            <w:rFonts w:eastAsia="inter" w:cs="inter" w:ascii="inter" w:hAnsi="inter"/>
            <w:color w:val="#000"/>
            <w:u w:val="single"/>
            <w:vertAlign w:val="superscript"/>
          </w:rPr>
          <w:t xml:space="preserve">[11]</w:t>
        </w:r>
      </w:hyperlink>
      <w:bookmarkStart w:id="115" w:name="fnref10:4"/>
      <w:bookmarkEnd w:id="115"/>
      <w:hyperlink w:anchor="fn10">
        <w:r>
          <w:rPr>
            <w:rFonts w:eastAsia="inter" w:cs="inter" w:ascii="inter" w:hAnsi="inter"/>
            <w:color w:val="#000"/>
            <w:u w:val="single"/>
            <w:vertAlign w:val="superscript"/>
          </w:rPr>
          <w:t xml:space="preserve">[10]</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6" w:name="fn1"/>
    <w:bookmarkEnd w:id="116"/>
    <w:p>
      <w:pPr>
        <w:numPr>
          <w:ilvl w:val="0"/>
          <w:numId w:val="2"/>
        </w:numPr>
        <w:spacing w:line="360" w:after="210" w:lineRule="auto"/>
      </w:pPr>
      <w:r>
        <w:rPr>
          <w:rFonts w:eastAsia="inter" w:cs="inter" w:ascii="inter" w:hAnsi="inter"/>
          <w:color w:val="000000"/>
          <w:sz w:val="18"/>
        </w:rPr>
        <w:t xml:space="preserve">Indian-Maritime-Law_-Global-Aspects.docx </w:t>
      </w:r>
      <w:r>
        <w:rPr>
          <w:rFonts w:eastAsia="inter" w:cs="inter" w:ascii="inter" w:hAnsi="inter"/>
          <w:color w:val="000000"/>
          <w:sz w:val="18"/>
        </w:rPr>
        <w:t xml:space="preserve"> </w:t>
      </w:r>
      <w:r>
        <w:rPr>
          <w:rFonts w:eastAsia="inter" w:cs="inter" w:ascii="inter" w:hAnsi="inter"/>
          <w:color w:val="000000"/>
          <w:sz w:val="18"/>
        </w:rPr>
        <w:t xml:space="preserve"> </w:t>
      </w:r>
    </w:p>
    <w:bookmarkStart w:id="117" w:name="fn2"/>
    <w:bookmarkEnd w:id="117"/>
    <w:p>
      <w:pPr>
        <w:numPr>
          <w:ilvl w:val="0"/>
          <w:numId w:val="2"/>
        </w:numPr>
        <w:spacing w:line="360" w:after="210" w:lineRule="auto"/>
      </w:pPr>
      <w:hyperlink r:id="rId6">
        <w:r>
          <w:rPr>
            <w:rFonts w:eastAsia="inter" w:cs="inter" w:ascii="inter" w:hAnsi="inter"/>
            <w:color w:val="#000"/>
            <w:sz w:val="18"/>
            <w:u w:val="single"/>
          </w:rPr>
          <w:t xml:space="preserve">https://www.lmitac.com/articles/solas-convention-updates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3"/>
    <w:bookmarkEnd w:id="118"/>
    <w:p>
      <w:pPr>
        <w:numPr>
          <w:ilvl w:val="0"/>
          <w:numId w:val="2"/>
        </w:numPr>
        <w:spacing w:line="360" w:after="210" w:lineRule="auto"/>
      </w:pPr>
      <w:hyperlink r:id="rId7">
        <w:r>
          <w:rPr>
            <w:rFonts w:eastAsia="inter" w:cs="inter" w:ascii="inter" w:hAnsi="inter"/>
            <w:color w:val="#000"/>
            <w:sz w:val="18"/>
            <w:u w:val="single"/>
          </w:rPr>
          <w:t xml:space="preserve">https://www.bimco.org/news-insights/bimco-news/2025/04/24-mlc-amendments/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9" w:name="fn4"/>
    <w:bookmarkEnd w:id="119"/>
    <w:p>
      <w:pPr>
        <w:numPr>
          <w:ilvl w:val="0"/>
          <w:numId w:val="2"/>
        </w:numPr>
        <w:spacing w:line="360" w:after="210" w:lineRule="auto"/>
      </w:pPr>
      <w:hyperlink r:id="rId8">
        <w:r>
          <w:rPr>
            <w:rFonts w:eastAsia="inter" w:cs="inter" w:ascii="inter" w:hAnsi="inter"/>
            <w:color w:val="#000"/>
            <w:sz w:val="18"/>
            <w:u w:val="single"/>
          </w:rPr>
          <w:t xml:space="preserve">https://www.imo.org/en/About/Conventions/Pages/Amendments-to-IMO-instruments.aspx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0" w:name="fn5"/>
    <w:bookmarkEnd w:id="120"/>
    <w:p>
      <w:pPr>
        <w:numPr>
          <w:ilvl w:val="0"/>
          <w:numId w:val="2"/>
        </w:numPr>
        <w:spacing w:line="360" w:after="210" w:lineRule="auto"/>
      </w:pPr>
      <w:hyperlink r:id="rId9">
        <w:r>
          <w:rPr>
            <w:rFonts w:eastAsia="inter" w:cs="inter" w:ascii="inter" w:hAnsi="inter"/>
            <w:color w:val="#000"/>
            <w:sz w:val="18"/>
            <w:u w:val="single"/>
          </w:rPr>
          <w:t xml:space="preserve">https://lennartnacke.com/why-most-phds-misuse-ai-writing-tools/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1" w:name="fn6"/>
    <w:bookmarkEnd w:id="121"/>
    <w:p>
      <w:pPr>
        <w:numPr>
          <w:ilvl w:val="0"/>
          <w:numId w:val="2"/>
        </w:numPr>
        <w:spacing w:line="360" w:after="210" w:lineRule="auto"/>
      </w:pPr>
      <w:hyperlink r:id="rId10">
        <w:r>
          <w:rPr>
            <w:rFonts w:eastAsia="inter" w:cs="inter" w:ascii="inter" w:hAnsi="inter"/>
            <w:color w:val="#000"/>
            <w:sz w:val="18"/>
            <w:u w:val="single"/>
          </w:rPr>
          <w:t xml:space="preserve">https://proofreadingmalaysia.com/humanizing-ai-generated-research-writing-while-maintaining-a-formal-academic-writing-style/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2" w:name="fn7"/>
    <w:bookmarkEnd w:id="122"/>
    <w:p>
      <w:pPr>
        <w:numPr>
          <w:ilvl w:val="0"/>
          <w:numId w:val="2"/>
        </w:numPr>
        <w:spacing w:line="360" w:after="210" w:lineRule="auto"/>
      </w:pPr>
      <w:hyperlink r:id="rId11">
        <w:r>
          <w:rPr>
            <w:rFonts w:eastAsia="inter" w:cs="inter" w:ascii="inter" w:hAnsi="inter"/>
            <w:color w:val="#000"/>
            <w:sz w:val="18"/>
            <w:u w:val="single"/>
          </w:rPr>
          <w:t xml:space="preserve">https://guides.library.harvard.edu/law/bluebook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3" w:name="fn8"/>
    <w:bookmarkEnd w:id="123"/>
    <w:p>
      <w:pPr>
        <w:numPr>
          <w:ilvl w:val="0"/>
          <w:numId w:val="2"/>
        </w:numPr>
        <w:spacing w:line="360" w:after="210" w:lineRule="auto"/>
      </w:pPr>
      <w:hyperlink r:id="rId12">
        <w:r>
          <w:rPr>
            <w:rFonts w:eastAsia="inter" w:cs="inter" w:ascii="inter" w:hAnsi="inter"/>
            <w:color w:val="#000"/>
            <w:sz w:val="18"/>
            <w:u w:val="single"/>
          </w:rPr>
          <w:t xml:space="preserve">https://pmc.ncbi.nlm.nih.gov/articles/PMC10328544/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4" w:name="fn9"/>
    <w:bookmarkEnd w:id="124"/>
    <w:p>
      <w:pPr>
        <w:numPr>
          <w:ilvl w:val="0"/>
          <w:numId w:val="2"/>
        </w:numPr>
        <w:spacing w:line="360" w:after="210" w:lineRule="auto"/>
      </w:pPr>
      <w:hyperlink r:id="rId13">
        <w:r>
          <w:rPr>
            <w:rFonts w:eastAsia="inter" w:cs="inter" w:ascii="inter" w:hAnsi="inter"/>
            <w:color w:val="#000"/>
            <w:sz w:val="18"/>
            <w:u w:val="single"/>
          </w:rPr>
          <w:t xml:space="preserve">https://aast.edu/openfiles/opencmsfiles/pdf_retreive_cms_open.php?disp_unit=390%2FThesis.doc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5" w:name="fn10"/>
    <w:bookmarkEnd w:id="125"/>
    <w:p>
      <w:pPr>
        <w:numPr>
          <w:ilvl w:val="0"/>
          <w:numId w:val="2"/>
        </w:numPr>
        <w:spacing w:line="360" w:after="210" w:lineRule="auto"/>
      </w:pPr>
      <w:hyperlink r:id="rId14">
        <w:r>
          <w:rPr>
            <w:rFonts w:eastAsia="inter" w:cs="inter" w:ascii="inter" w:hAnsi="inter"/>
            <w:color w:val="#000"/>
            <w:sz w:val="18"/>
            <w:u w:val="single"/>
          </w:rPr>
          <w:t xml:space="preserve">https://www.scribd.com/document/711517065/Phd-Thesis-in-Maritime-Law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6" w:name="fn11"/>
    <w:bookmarkEnd w:id="126"/>
    <w:p>
      <w:pPr>
        <w:numPr>
          <w:ilvl w:val="0"/>
          <w:numId w:val="2"/>
        </w:numPr>
        <w:spacing w:line="360" w:after="210" w:lineRule="auto"/>
      </w:pPr>
      <w:hyperlink r:id="rId15">
        <w:r>
          <w:rPr>
            <w:rFonts w:eastAsia="inter" w:cs="inter" w:ascii="inter" w:hAnsi="inter"/>
            <w:color w:val="#000"/>
            <w:sz w:val="18"/>
            <w:u w:val="single"/>
          </w:rPr>
          <w:t xml:space="preserve">https://paperpal.com/blog/academic-writing-guides/how-to-avoid-plagiarism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7" w:name="fn12"/>
    <w:bookmarkEnd w:id="127"/>
    <w:p>
      <w:pPr>
        <w:numPr>
          <w:ilvl w:val="0"/>
          <w:numId w:val="2"/>
        </w:numPr>
        <w:spacing w:line="360" w:after="210" w:lineRule="auto"/>
      </w:pPr>
      <w:hyperlink r:id="rId16">
        <w:r>
          <w:rPr>
            <w:rFonts w:eastAsia="inter" w:cs="inter" w:ascii="inter" w:hAnsi="inter"/>
            <w:color w:val="#000"/>
            <w:sz w:val="18"/>
            <w:u w:val="single"/>
          </w:rPr>
          <w:t xml:space="preserve">https://www.researchprospect.com/maritime-law-dissertation-topics/</w:t>
        </w:r>
      </w:hyperlink>
      <w:r>
        <w:rPr>
          <w:rFonts w:eastAsia="inter" w:cs="inter" w:ascii="inter" w:hAnsi="inter"/>
          <w:color w:val="000000"/>
          <w:sz w:val="18"/>
        </w:rPr>
        <w:t xml:space="preserve"> </w:t>
      </w:r>
    </w:p>
    <w:bookmarkStart w:id="128" w:name="fn13"/>
    <w:bookmarkEnd w:id="128"/>
    <w:p>
      <w:pPr>
        <w:numPr>
          <w:ilvl w:val="0"/>
          <w:numId w:val="2"/>
        </w:numPr>
        <w:spacing w:line="360" w:after="210" w:lineRule="auto"/>
      </w:pPr>
      <w:hyperlink r:id="rId17">
        <w:r>
          <w:rPr>
            <w:rFonts w:eastAsia="inter" w:cs="inter" w:ascii="inter" w:hAnsi="inter"/>
            <w:color w:val="#000"/>
            <w:sz w:val="18"/>
            <w:u w:val="single"/>
          </w:rPr>
          <w:t xml:space="preserve">https://tarlton.law.utexas.edu/bluebook-legal-citation/how-to-cite/books-reports-treatises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9" w:name="fn14"/>
    <w:bookmarkEnd w:id="129"/>
    <w:p>
      <w:pPr>
        <w:numPr>
          <w:ilvl w:val="0"/>
          <w:numId w:val="2"/>
        </w:numPr>
        <w:spacing w:line="360" w:after="210" w:lineRule="auto"/>
      </w:pPr>
      <w:hyperlink r:id="rId18">
        <w:r>
          <w:rPr>
            <w:rFonts w:eastAsia="inter" w:cs="inter" w:ascii="inter" w:hAnsi="inter"/>
            <w:color w:val="#000"/>
            <w:sz w:val="18"/>
            <w:u w:val="single"/>
          </w:rPr>
          <w:t xml:space="preserve">https://dissertationsage.co.uk/maritime-law-dissertation-topics/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0" w:name="fn15"/>
    <w:bookmarkEnd w:id="130"/>
    <w:p>
      <w:pPr>
        <w:numPr>
          <w:ilvl w:val="0"/>
          <w:numId w:val="2"/>
        </w:numPr>
        <w:spacing w:line="360" w:after="210" w:lineRule="auto"/>
      </w:pPr>
      <w:r>
        <w:rPr>
          <w:rFonts w:eastAsia="inter" w:cs="inter" w:ascii="inter" w:hAnsi="inter"/>
          <w:color w:val="000000"/>
          <w:sz w:val="18"/>
        </w:rPr>
        <w:t xml:space="preserve">research-Global-Aspects-of-Maritime-Laws-of-India.docx </w:t>
      </w:r>
    </w:p>
    <w:bookmarkStart w:id="131" w:name="fn16"/>
    <w:bookmarkEnd w:id="131"/>
    <w:p>
      <w:pPr>
        <w:numPr>
          <w:ilvl w:val="0"/>
          <w:numId w:val="2"/>
        </w:numPr>
        <w:spacing w:line="360" w:after="210" w:lineRule="auto"/>
      </w:pPr>
      <w:hyperlink r:id="rId19">
        <w:r>
          <w:rPr>
            <w:rFonts w:eastAsia="inter" w:cs="inter" w:ascii="inter" w:hAnsi="inter"/>
            <w:color w:val="#000"/>
            <w:sz w:val="18"/>
            <w:u w:val="single"/>
          </w:rPr>
          <w:t xml:space="preserve">https://www.sciencedirect.com/topics/social-sciences/maritime-law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2" w:name="fn17"/>
    <w:bookmarkEnd w:id="132"/>
    <w:p>
      <w:pPr>
        <w:numPr>
          <w:ilvl w:val="0"/>
          <w:numId w:val="2"/>
        </w:numPr>
        <w:spacing w:line="360" w:after="210" w:lineRule="auto"/>
      </w:pPr>
      <w:hyperlink r:id="rId20">
        <w:r>
          <w:rPr>
            <w:rFonts w:eastAsia="inter" w:cs="inter" w:ascii="inter" w:hAnsi="inter"/>
            <w:color w:val="#000"/>
            <w:sz w:val="18"/>
            <w:u w:val="single"/>
          </w:rPr>
          <w:t xml:space="preserve">https://www.scribbr.com/plagiarism/how-to-avoid-plagiarism/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3" w:name="fn18"/>
    <w:bookmarkEnd w:id="133"/>
    <w:p>
      <w:pPr>
        <w:numPr>
          <w:ilvl w:val="0"/>
          <w:numId w:val="2"/>
        </w:numPr>
        <w:spacing w:line="360" w:after="210" w:lineRule="auto"/>
      </w:pPr>
      <w:hyperlink r:id="rId21">
        <w:r>
          <w:rPr>
            <w:rFonts w:eastAsia="inter" w:cs="inter" w:ascii="inter" w:hAnsi="inter"/>
            <w:color w:val="#000"/>
            <w:sz w:val="18"/>
            <w:u w:val="single"/>
          </w:rPr>
          <w:t xml:space="preserve">https://www.citethisforme.com/citation-generator/bluebook-citation-generator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4" w:name="fn19"/>
    <w:bookmarkEnd w:id="134"/>
    <w:p>
      <w:pPr>
        <w:numPr>
          <w:ilvl w:val="0"/>
          <w:numId w:val="2"/>
        </w:numPr>
        <w:spacing w:line="360" w:after="210" w:lineRule="auto"/>
      </w:pPr>
      <w:hyperlink r:id="rId22">
        <w:r>
          <w:rPr>
            <w:rFonts w:eastAsia="inter" w:cs="inter" w:ascii="inter" w:hAnsi="inter"/>
            <w:color w:val="#000"/>
            <w:sz w:val="18"/>
            <w:u w:val="single"/>
          </w:rPr>
          <w:t xml:space="preserve">https://imli.org/publication/research-publications/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5" w:name="fn20"/>
    <w:bookmarkEnd w:id="135"/>
    <w:p>
      <w:pPr>
        <w:numPr>
          <w:ilvl w:val="0"/>
          <w:numId w:val="2"/>
        </w:numPr>
        <w:spacing w:line="360" w:after="210" w:lineRule="auto"/>
      </w:pPr>
      <w:hyperlink r:id="rId23">
        <w:r>
          <w:rPr>
            <w:rFonts w:eastAsia="inter" w:cs="inter" w:ascii="inter" w:hAnsi="inter"/>
            <w:color w:val="#000"/>
            <w:sz w:val="18"/>
            <w:u w:val="single"/>
          </w:rPr>
          <w:t xml:space="preserve">https://www.ics-shipping.org/resource/promoting-maritime-treaty-ratification-the-ics-and-cmi-campaign-2025/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6" w:name="fn21"/>
    <w:bookmarkEnd w:id="136"/>
    <w:p>
      <w:pPr>
        <w:numPr>
          <w:ilvl w:val="0"/>
          <w:numId w:val="2"/>
        </w:numPr>
        <w:spacing w:line="360" w:after="210" w:lineRule="auto"/>
      </w:pPr>
      <w:hyperlink r:id="rId24">
        <w:r>
          <w:rPr>
            <w:rFonts w:eastAsia="inter" w:cs="inter" w:ascii="inter" w:hAnsi="inter"/>
            <w:color w:val="#000"/>
            <w:sz w:val="18"/>
            <w:u w:val="single"/>
          </w:rPr>
          <w:t xml:space="preserve">https://wmu.se/programmes/international-maritime-law-llm-or-pgdip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7" w:name="fn22"/>
    <w:bookmarkEnd w:id="137"/>
    <w:p>
      <w:pPr>
        <w:numPr>
          <w:ilvl w:val="0"/>
          <w:numId w:val="2"/>
        </w:numPr>
        <w:spacing w:line="360" w:after="210" w:lineRule="auto"/>
      </w:pPr>
      <w:hyperlink r:id="rId25">
        <w:r>
          <w:rPr>
            <w:rFonts w:eastAsia="inter" w:cs="inter" w:ascii="inter" w:hAnsi="inter"/>
            <w:color w:val="#000"/>
            <w:sz w:val="18"/>
            <w:u w:val="single"/>
          </w:rPr>
          <w:t xml:space="preserve">https://guides.libraries.uc.edu/c.php?g=222561&amp;p=1472886</w:t>
        </w:r>
      </w:hyperlink>
      <w:r>
        <w:rPr>
          <w:rFonts w:eastAsia="inter" w:cs="inter" w:ascii="inter" w:hAnsi="inter"/>
          <w:color w:val="000000"/>
          <w:sz w:val="18"/>
        </w:rPr>
        <w:t xml:space="preserve"> </w:t>
      </w:r>
    </w:p>
    <w:bookmarkStart w:id="138" w:name="fn23"/>
    <w:bookmarkEnd w:id="138"/>
    <w:p>
      <w:pPr>
        <w:numPr>
          <w:ilvl w:val="0"/>
          <w:numId w:val="2"/>
        </w:numPr>
        <w:spacing w:line="360" w:after="210" w:lineRule="auto"/>
      </w:pPr>
      <w:hyperlink r:id="rId26">
        <w:r>
          <w:rPr>
            <w:rFonts w:eastAsia="inter" w:cs="inter" w:ascii="inter" w:hAnsi="inter"/>
            <w:color w:val="#000"/>
            <w:sz w:val="18"/>
            <w:u w:val="single"/>
          </w:rPr>
          <w:t xml:space="preserve">https://www.yomu.ai/resources/the-ultimate-test-ai-paper-writer-vs-human-phd-candidate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24"/>
    <w:bookmarkEnd w:id="139"/>
    <w:p>
      <w:pPr>
        <w:numPr>
          <w:ilvl w:val="0"/>
          <w:numId w:val="2"/>
        </w:numPr>
        <w:spacing w:line="360" w:after="210" w:lineRule="auto"/>
      </w:pPr>
      <w:hyperlink r:id="rId27">
        <w:r>
          <w:rPr>
            <w:rFonts w:eastAsia="inter" w:cs="inter" w:ascii="inter" w:hAnsi="inter"/>
            <w:color w:val="#000"/>
            <w:sz w:val="18"/>
            <w:u w:val="single"/>
          </w:rPr>
          <w:t xml:space="preserve">https://www.grafiati.com/en/literature-selections/maritime-law-liability-law/dissertation/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0" w:name="fn25"/>
    <w:bookmarkEnd w:id="140"/>
    <w:p>
      <w:pPr>
        <w:numPr>
          <w:ilvl w:val="0"/>
          <w:numId w:val="2"/>
        </w:numPr>
        <w:spacing w:line="360" w:after="210" w:lineRule="auto"/>
      </w:pPr>
      <w:hyperlink r:id="rId28">
        <w:r>
          <w:rPr>
            <w:rFonts w:eastAsia="inter" w:cs="inter" w:ascii="inter" w:hAnsi="inter"/>
            <w:color w:val="#000"/>
            <w:sz w:val="18"/>
            <w:u w:val="single"/>
          </w:rPr>
          <w:t xml:space="preserve">https://www.e-elgar.com/shop/gbp/research-handbook-on-maritime-law-and-regulation-9781786438782.html</w:t>
        </w:r>
      </w:hyperlink>
      <w:r>
        <w:rPr>
          <w:rFonts w:eastAsia="inter" w:cs="inter" w:ascii="inter" w:hAnsi="inter"/>
          <w:color w:val="000000"/>
          <w:sz w:val="18"/>
        </w:rPr>
        <w:t xml:space="preserve"> </w:t>
      </w:r>
    </w:p>
    <w:bookmarkStart w:id="141" w:name="fn26"/>
    <w:bookmarkEnd w:id="141"/>
    <w:p>
      <w:pPr>
        <w:numPr>
          <w:ilvl w:val="0"/>
          <w:numId w:val="2"/>
        </w:numPr>
        <w:spacing w:line="360" w:after="210" w:lineRule="auto"/>
      </w:pPr>
      <w:hyperlink r:id="rId29">
        <w:r>
          <w:rPr>
            <w:rFonts w:eastAsia="inter" w:cs="inter" w:ascii="inter" w:hAnsi="inter"/>
            <w:color w:val="#000"/>
            <w:sz w:val="18"/>
            <w:u w:val="single"/>
          </w:rPr>
          <w:t xml:space="preserve">https://lib.law.uw.edu/bluebook101/editions</w:t>
        </w:r>
      </w:hyperlink>
      <w:r>
        <w:rPr>
          <w:rFonts w:eastAsia="inter" w:cs="inter" w:ascii="inter" w:hAnsi="inter"/>
          <w:color w:val="000000"/>
          <w:sz w:val="18"/>
        </w:rPr>
        <w:t xml:space="preserve"> </w:t>
      </w:r>
    </w:p>
    <w:bookmarkStart w:id="142" w:name="fn27"/>
    <w:bookmarkEnd w:id="142"/>
    <w:p>
      <w:pPr>
        <w:numPr>
          <w:ilvl w:val="0"/>
          <w:numId w:val="2"/>
        </w:numPr>
        <w:spacing w:line="360" w:after="210" w:lineRule="auto"/>
      </w:pPr>
      <w:hyperlink r:id="rId30">
        <w:r>
          <w:rPr>
            <w:rFonts w:eastAsia="inter" w:cs="inter" w:ascii="inter" w:hAnsi="inter"/>
            <w:color w:val="#000"/>
            <w:sz w:val="18"/>
            <w:u w:val="single"/>
          </w:rPr>
          <w:t xml:space="preserve">https://premierdissertations.com/maritime-law-dissertation-topics/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28"/>
    <w:bookmarkEnd w:id="143"/>
    <w:p>
      <w:pPr>
        <w:numPr>
          <w:ilvl w:val="0"/>
          <w:numId w:val="2"/>
        </w:numPr>
        <w:spacing w:line="360" w:after="210" w:lineRule="auto"/>
      </w:pPr>
      <w:hyperlink r:id="rId31">
        <w:r>
          <w:rPr>
            <w:rFonts w:eastAsia="inter" w:cs="inter" w:ascii="inter" w:hAnsi="inter"/>
            <w:color w:val="#000"/>
            <w:sz w:val="18"/>
            <w:u w:val="single"/>
          </w:rPr>
          <w:t xml:space="preserve">https://www.youtube.com/watch?v=11ux9v4luK4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29"/>
    <w:bookmarkEnd w:id="144"/>
    <w:p>
      <w:pPr>
        <w:numPr>
          <w:ilvl w:val="0"/>
          <w:numId w:val="2"/>
        </w:numPr>
        <w:spacing w:line="360" w:after="210" w:lineRule="auto"/>
      </w:pPr>
      <w:hyperlink r:id="rId32">
        <w:r>
          <w:rPr>
            <w:rFonts w:eastAsia="inter" w:cs="inter" w:ascii="inter" w:hAnsi="inter"/>
            <w:color w:val="#000"/>
            <w:sz w:val="18"/>
            <w:u w:val="single"/>
          </w:rPr>
          <w:t xml:space="preserve">https://nalsar.ac.in/images/IJDML_Vol_1.pdf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30"/>
    <w:bookmarkEnd w:id="145"/>
    <w:p>
      <w:pPr>
        <w:numPr>
          <w:ilvl w:val="0"/>
          <w:numId w:val="2"/>
        </w:numPr>
        <w:spacing w:line="360" w:after="210" w:lineRule="auto"/>
      </w:pPr>
      <w:hyperlink r:id="rId33">
        <w:r>
          <w:rPr>
            <w:rFonts w:eastAsia="inter" w:cs="inter" w:ascii="inter" w:hAnsi="inter"/>
            <w:color w:val="#000"/>
            <w:sz w:val="18"/>
            <w:u w:val="single"/>
          </w:rPr>
          <w:t xml:space="preserve">https://www.scribd.com/document/714163217/Dissertation-Topics-in-Maritime-Law</w:t>
        </w:r>
      </w:hyperlink>
      <w:r>
        <w:rPr>
          <w:rFonts w:eastAsia="inter" w:cs="inter" w:ascii="inter" w:hAnsi="inter"/>
          <w:color w:val="000000"/>
          <w:sz w:val="18"/>
        </w:rPr>
        <w:t xml:space="preserve"> </w:t>
      </w:r>
    </w:p>
    <w:bookmarkStart w:id="146" w:name="fn31"/>
    <w:bookmarkEnd w:id="146"/>
    <w:p>
      <w:pPr>
        <w:numPr>
          <w:ilvl w:val="0"/>
          <w:numId w:val="2"/>
        </w:numPr>
        <w:spacing w:line="360" w:after="210" w:lineRule="auto"/>
      </w:pPr>
      <w:hyperlink r:id="rId34">
        <w:r>
          <w:rPr>
            <w:rFonts w:eastAsia="inter" w:cs="inter" w:ascii="inter" w:hAnsi="inter"/>
            <w:color w:val="#000"/>
            <w:sz w:val="18"/>
            <w:u w:val="single"/>
          </w:rPr>
          <w:t xml:space="preserve">https://www.grammarly.com/blog/plagiarism/5-most-effective-methods-for-avoiding-plagiarism/</w:t>
        </w:r>
      </w:hyperlink>
      <w:r>
        <w:rPr>
          <w:rFonts w:eastAsia="inter" w:cs="inter" w:ascii="inter" w:hAnsi="inter"/>
          <w:color w:val="000000"/>
          <w:sz w:val="18"/>
        </w:rPr>
        <w:t xml:space="preserve"> </w:t>
      </w:r>
    </w:p>
    <w:bookmarkStart w:id="147" w:name="fn32"/>
    <w:bookmarkEnd w:id="147"/>
    <w:p>
      <w:pPr>
        <w:numPr>
          <w:ilvl w:val="0"/>
          <w:numId w:val="2"/>
        </w:numPr>
        <w:spacing w:line="360" w:after="210" w:lineRule="auto"/>
      </w:pPr>
      <w:hyperlink r:id="rId35">
        <w:r>
          <w:rPr>
            <w:rFonts w:eastAsia="inter" w:cs="inter" w:ascii="inter" w:hAnsi="inter"/>
            <w:color w:val="#000"/>
            <w:sz w:val="18"/>
            <w:u w:val="single"/>
          </w:rPr>
          <w:t xml:space="preserve">https://legalsynk.com/bluebook-citation-21st-edition-full-guide/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33"/>
    <w:bookmarkEnd w:id="148"/>
    <w:p>
      <w:pPr>
        <w:numPr>
          <w:ilvl w:val="0"/>
          <w:numId w:val="2"/>
        </w:numPr>
        <w:spacing w:line="360" w:after="210" w:lineRule="auto"/>
      </w:pPr>
      <w:hyperlink r:id="rId36">
        <w:r>
          <w:rPr>
            <w:rFonts w:eastAsia="inter" w:cs="inter" w:ascii="inter" w:hAnsi="inter"/>
            <w:color w:val="#000"/>
            <w:sz w:val="18"/>
            <w:u w:val="single"/>
          </w:rPr>
          <w:t xml:space="preserve">https://unctad.org/publication/review-maritime-transport-2025</w:t>
        </w:r>
      </w:hyperlink>
      <w:r>
        <w:rPr>
          <w:rFonts w:eastAsia="inter" w:cs="inter" w:ascii="inter" w:hAnsi="inter"/>
          <w:color w:val="000000"/>
          <w:sz w:val="18"/>
        </w:rPr>
        <w:t xml:space="preserve"> </w:t>
      </w:r>
    </w:p>
    <w:bookmarkStart w:id="149" w:name="fn34"/>
    <w:bookmarkEnd w:id="149"/>
    <w:p>
      <w:pPr>
        <w:numPr>
          <w:ilvl w:val="0"/>
          <w:numId w:val="2"/>
        </w:numPr>
        <w:spacing w:line="360" w:after="210" w:lineRule="auto"/>
      </w:pPr>
      <w:hyperlink r:id="rId37">
        <w:r>
          <w:rPr>
            <w:rFonts w:eastAsia="inter" w:cs="inter" w:ascii="inter" w:hAnsi="inter"/>
            <w:color w:val="#000"/>
            <w:sz w:val="18"/>
            <w:u w:val="single"/>
          </w:rPr>
          <w:t xml:space="preserve">https://editorninja.com/how-to-humanize-ai-text-into-human-quality-content/</w:t>
        </w:r>
      </w:hyperlink>
      <w:r>
        <w:rPr>
          <w:rFonts w:eastAsia="inter" w:cs="inter" w:ascii="inter" w:hAnsi="inter"/>
          <w:color w:val="000000"/>
          <w:sz w:val="18"/>
        </w:rPr>
        <w:t xml:space="preserve"> </w:t>
      </w:r>
    </w:p>
    <w:bookmarkStart w:id="150" w:name="fn35"/>
    <w:bookmarkEnd w:id="150"/>
    <w:p>
      <w:pPr>
        <w:numPr>
          <w:ilvl w:val="0"/>
          <w:numId w:val="2"/>
        </w:numPr>
        <w:spacing w:line="360" w:after="210" w:lineRule="auto"/>
      </w:pPr>
      <w:hyperlink r:id="rId38">
        <w:r>
          <w:rPr>
            <w:rFonts w:eastAsia="inter" w:cs="inter" w:ascii="inter" w:hAnsi="inter"/>
            <w:color w:val="#000"/>
            <w:sz w:val="18"/>
            <w:u w:val="single"/>
          </w:rPr>
          <w:t xml:space="preserve">https://www.papergen.ai/blog/how-to-write-a-plagiarism-free-research-paper-or-thesis</w:t>
        </w:r>
      </w:hyperlink>
      <w:r>
        <w:rPr>
          <w:rFonts w:eastAsia="inter" w:cs="inter" w:ascii="inter" w:hAnsi="inter"/>
          <w:color w:val="000000"/>
          <w:sz w:val="18"/>
        </w:rPr>
        <w:t xml:space="preserve"> </w:t>
      </w:r>
    </w:p>
    <w:bookmarkStart w:id="151" w:name="fn36"/>
    <w:bookmarkEnd w:id="151"/>
    <w:p>
      <w:pPr>
        <w:numPr>
          <w:ilvl w:val="0"/>
          <w:numId w:val="2"/>
        </w:numPr>
        <w:spacing w:line="360" w:after="210" w:lineRule="auto"/>
      </w:pPr>
      <w:hyperlink r:id="rId39">
        <w:r>
          <w:rPr>
            <w:rFonts w:eastAsia="inter" w:cs="inter" w:ascii="inter" w:hAnsi="inter"/>
            <w:color w:val="#000"/>
            <w:sz w:val="18"/>
            <w:u w:val="single"/>
          </w:rPr>
          <w:t xml:space="preserve">https://www.youtube.com/watch?v=UO2aUDseOZY</w:t>
        </w:r>
      </w:hyperlink>
      <w:r>
        <w:rPr>
          <w:rFonts w:eastAsia="inter" w:cs="inter" w:ascii="inter" w:hAnsi="inter"/>
          <w:color w:val="000000"/>
          <w:sz w:val="18"/>
        </w:rPr>
        <w:t xml:space="preserve"> </w:t>
      </w:r>
    </w:p>
    <w:bookmarkStart w:id="152" w:name="fn37"/>
    <w:bookmarkEnd w:id="152"/>
    <w:p>
      <w:pPr>
        <w:numPr>
          <w:ilvl w:val="0"/>
          <w:numId w:val="2"/>
        </w:numPr>
        <w:spacing w:line="360" w:after="210" w:lineRule="auto"/>
      </w:pPr>
      <w:hyperlink r:id="rId40">
        <w:r>
          <w:rPr>
            <w:rFonts w:eastAsia="inter" w:cs="inter" w:ascii="inter" w:hAnsi="inter"/>
            <w:color w:val="#000"/>
            <w:sz w:val="18"/>
            <w:u w:val="single"/>
          </w:rPr>
          <w:t xml:space="preserve">https://paperguide.ai/blog/ai-tools-for-research/</w:t>
        </w:r>
      </w:hyperlink>
      <w:r>
        <w:rPr>
          <w:rFonts w:eastAsia="inter" w:cs="inter" w:ascii="inter" w:hAnsi="inter"/>
          <w:color w:val="000000"/>
          <w:sz w:val="18"/>
        </w:rPr>
        <w:t xml:space="preserve"> </w:t>
      </w:r>
    </w:p>
    <w:bookmarkStart w:id="153" w:name="fn38"/>
    <w:bookmarkEnd w:id="153"/>
    <w:p>
      <w:pPr>
        <w:numPr>
          <w:ilvl w:val="0"/>
          <w:numId w:val="2"/>
        </w:numPr>
        <w:spacing w:line="360" w:after="210" w:lineRule="auto"/>
      </w:pPr>
      <w:hyperlink r:id="rId41">
        <w:r>
          <w:rPr>
            <w:rFonts w:eastAsia="inter" w:cs="inter" w:ascii="inter" w:hAnsi="inter"/>
            <w:color w:val="#000"/>
            <w:sz w:val="18"/>
            <w:u w:val="single"/>
          </w:rPr>
          <w:t xml:space="preserve">https://paperpal.com/paperpal-for-researchers</w:t>
        </w:r>
      </w:hyperlink>
      <w:r>
        <w:rPr>
          <w:rFonts w:eastAsia="inter" w:cs="inter" w:ascii="inter" w:hAnsi="inter"/>
          <w:color w:val="000000"/>
          <w:sz w:val="18"/>
        </w:rPr>
        <w:t xml:space="preserve"> </w:t>
      </w:r>
    </w:p>
    <w:bookmarkStart w:id="154" w:name="fn39"/>
    <w:bookmarkEnd w:id="154"/>
    <w:p>
      <w:pPr>
        <w:numPr>
          <w:ilvl w:val="0"/>
          <w:numId w:val="2"/>
        </w:numPr>
        <w:spacing w:line="360" w:after="210" w:lineRule="auto"/>
      </w:pPr>
      <w:hyperlink r:id="rId42">
        <w:r>
          <w:rPr>
            <w:rFonts w:eastAsia="inter" w:cs="inter" w:ascii="inter" w:hAnsi="inter"/>
            <w:color w:val="#000"/>
            <w:sz w:val="18"/>
            <w:u w:val="single"/>
          </w:rPr>
          <w:t xml:space="preserve">https://www.law.georgetown.edu/wp-content/uploads/2018/07/Citations-to-International-Agreements-Bluebook-Rule-21.pdf</w:t>
        </w:r>
      </w:hyperlink>
      <w:r>
        <w:rPr>
          <w:rFonts w:eastAsia="inter" w:cs="inter" w:ascii="inter" w:hAnsi="inter"/>
          <w:color w:val="000000"/>
          <w:sz w:val="18"/>
        </w:rPr>
        <w:t xml:space="preserve"> </w:t>
      </w:r>
    </w:p>
    <w:bookmarkStart w:id="155" w:name="fn40"/>
    <w:bookmarkEnd w:id="155"/>
    <w:p>
      <w:pPr>
        <w:numPr>
          <w:ilvl w:val="0"/>
          <w:numId w:val="2"/>
        </w:numPr>
        <w:spacing w:line="360" w:after="210" w:lineRule="auto"/>
      </w:pPr>
      <w:hyperlink r:id="rId43">
        <w:r>
          <w:rPr>
            <w:rFonts w:eastAsia="inter" w:cs="inter" w:ascii="inter" w:hAnsi="inter"/>
            <w:color w:val="#000"/>
            <w:sz w:val="18"/>
            <w:u w:val="single"/>
          </w:rPr>
          <w:t xml:space="preserve">https://scholar9.com/question/how-can-i-write-a-plagiarism-free-research-paper-without-using-ai</w:t>
        </w:r>
      </w:hyperlink>
      <w:r>
        <w:rPr>
          <w:rFonts w:eastAsia="inter" w:cs="inter" w:ascii="inter" w:hAnsi="inter"/>
          <w:color w:val="000000"/>
          <w:sz w:val="18"/>
        </w:rPr>
        <w:t xml:space="preserve"> </w:t>
      </w:r>
    </w:p>
    <w:bookmarkStart w:id="156" w:name="fn41"/>
    <w:bookmarkEnd w:id="156"/>
    <w:p>
      <w:pPr>
        <w:numPr>
          <w:ilvl w:val="0"/>
          <w:numId w:val="2"/>
        </w:numPr>
        <w:spacing w:line="360" w:after="210" w:lineRule="auto"/>
      </w:pPr>
      <w:hyperlink r:id="rId44">
        <w:r>
          <w:rPr>
            <w:rFonts w:eastAsia="inter" w:cs="inter" w:ascii="inter" w:hAnsi="inter"/>
            <w:color w:val="#000"/>
            <w:sz w:val="18"/>
            <w:u w:val="single"/>
          </w:rPr>
          <w:t xml:space="preserve">https://tarlton.law.utexas.edu/bluebook-legal-citation/how-to-cite/law-reviews-magazines-newspapers</w:t>
        </w:r>
      </w:hyperlink>
      <w:r>
        <w:rPr>
          <w:rFonts w:eastAsia="inter" w:cs="inter" w:ascii="inter" w:hAnsi="inter"/>
          <w:color w:val="000000"/>
          <w:sz w:val="18"/>
        </w:rPr>
        <w:t xml:space="preserve"> </w:t>
      </w:r>
    </w:p>
    <w:bookmarkStart w:id="157" w:name="fn42"/>
    <w:bookmarkEnd w:id="157"/>
    <w:p>
      <w:pPr>
        <w:numPr>
          <w:ilvl w:val="0"/>
          <w:numId w:val="2"/>
        </w:numPr>
        <w:spacing w:line="360" w:after="210" w:lineRule="auto"/>
      </w:pPr>
      <w:hyperlink r:id="rId45">
        <w:r>
          <w:rPr>
            <w:rFonts w:eastAsia="inter" w:cs="inter" w:ascii="inter" w:hAnsi="inter"/>
            <w:color w:val="#000"/>
            <w:sz w:val="18"/>
            <w:u w:val="single"/>
          </w:rPr>
          <w:t xml:space="preserve">https://ryne.ai/blog/how-to-100-humanize-ai-texts</w:t>
        </w:r>
      </w:hyperlink>
      <w:r>
        <w:rPr>
          <w:rFonts w:eastAsia="inter" w:cs="inter" w:ascii="inter" w:hAnsi="inter"/>
          <w:color w:val="000000"/>
          <w:sz w:val="18"/>
        </w:rPr>
        <w:t xml:space="preserve"> </w:t>
      </w:r>
    </w:p>
    <w:bookmarkStart w:id="158" w:name="fn43"/>
    <w:bookmarkEnd w:id="158"/>
    <w:p>
      <w:pPr>
        <w:numPr>
          <w:ilvl w:val="0"/>
          <w:numId w:val="2"/>
        </w:numPr>
        <w:spacing w:line="360" w:after="210" w:lineRule="auto"/>
      </w:pPr>
      <w:hyperlink r:id="rId46">
        <w:r>
          <w:rPr>
            <w:rFonts w:eastAsia="inter" w:cs="inter" w:ascii="inter" w:hAnsi="inter"/>
            <w:color w:val="#000"/>
            <w:sz w:val="18"/>
            <w:u w:val="single"/>
          </w:rPr>
          <w:t xml:space="preserve">https://www.youtube.com/watch?v=wmQVdzBRnN4</w:t>
        </w:r>
      </w:hyperlink>
      <w:r>
        <w:rPr>
          <w:rFonts w:eastAsia="inter" w:cs="inter" w:ascii="inter" w:hAnsi="inter"/>
          <w:color w:val="000000"/>
          <w:sz w:val="18"/>
        </w:rPr>
        <w:t xml:space="preserve"> </w:t>
      </w:r>
    </w:p>
    <w:bookmarkStart w:id="159" w:name="fn44"/>
    <w:bookmarkEnd w:id="159"/>
    <w:p>
      <w:pPr>
        <w:numPr>
          <w:ilvl w:val="0"/>
          <w:numId w:val="2"/>
        </w:numPr>
        <w:spacing w:line="360" w:after="210" w:lineRule="auto"/>
      </w:pPr>
      <w:hyperlink r:id="rId47">
        <w:r>
          <w:rPr>
            <w:rFonts w:eastAsia="inter" w:cs="inter" w:ascii="inter" w:hAnsi="inter"/>
            <w:color w:val="#000"/>
            <w:sz w:val="18"/>
            <w:u w:val="single"/>
          </w:rPr>
          <w:t xml:space="preserve">https://aulibrary.alliance.edu.in/web/bbstyle</w:t>
        </w:r>
      </w:hyperlink>
      <w:r>
        <w:rPr>
          <w:rFonts w:eastAsia="inter" w:cs="inter" w:ascii="inter" w:hAnsi="inter"/>
          <w:color w:val="000000"/>
          <w:sz w:val="18"/>
        </w:rPr>
        <w:t xml:space="preserve"> </w:t>
      </w:r>
    </w:p>
    <w:bookmarkStart w:id="160" w:name="fn45"/>
    <w:bookmarkEnd w:id="160"/>
    <w:p>
      <w:pPr>
        <w:numPr>
          <w:ilvl w:val="0"/>
          <w:numId w:val="2"/>
        </w:numPr>
        <w:spacing w:line="360" w:after="210" w:lineRule="auto"/>
      </w:pPr>
      <w:hyperlink r:id="rId48">
        <w:r>
          <w:rPr>
            <w:rFonts w:eastAsia="inter" w:cs="inter" w:ascii="inter" w:hAnsi="inter"/>
            <w:color w:val="#000"/>
            <w:sz w:val="18"/>
            <w:u w:val="single"/>
          </w:rPr>
          <w:t xml:space="preserve">https://www.ref-n-write.com/blog/how-to-humanize-ai-text-for-academic-writing/</w:t>
        </w:r>
      </w:hyperlink>
      <w:r>
        <w:rPr>
          <w:rFonts w:eastAsia="inter" w:cs="inter" w:ascii="inter" w:hAnsi="inter"/>
          <w:color w:val="000000"/>
          <w:sz w:val="18"/>
        </w:rPr>
        <w:t xml:space="preserve"> </w:t>
      </w:r>
    </w:p>
    <w:bookmarkStart w:id="161" w:name="fn46"/>
    <w:bookmarkEnd w:id="161"/>
    <w:p>
      <w:pPr>
        <w:numPr>
          <w:ilvl w:val="0"/>
          <w:numId w:val="2"/>
        </w:numPr>
        <w:spacing w:line="360" w:after="210" w:lineRule="auto"/>
      </w:pPr>
      <w:hyperlink r:id="rId49">
        <w:r>
          <w:rPr>
            <w:rFonts w:eastAsia="inter" w:cs="inter" w:ascii="inter" w:hAnsi="inter"/>
            <w:color w:val="#000"/>
            <w:sz w:val="18"/>
            <w:u w:val="single"/>
          </w:rPr>
          <w:t xml:space="preserve">https://allconferencealert.net/blog/how-to-avoid-plagiarism-in-research-papers/</w:t>
        </w:r>
      </w:hyperlink>
      <w:r>
        <w:rPr>
          <w:rFonts w:eastAsia="inter" w:cs="inter" w:ascii="inter" w:hAnsi="inter"/>
          <w:color w:val="000000"/>
          <w:sz w:val="18"/>
        </w:rPr>
        <w:t xml:space="preserve"> </w:t>
      </w:r>
    </w:p>
    <w:bookmarkStart w:id="162" w:name="fn47"/>
    <w:bookmarkEnd w:id="162"/>
    <w:p>
      <w:pPr>
        <w:numPr>
          <w:ilvl w:val="0"/>
          <w:numId w:val="2"/>
        </w:numPr>
        <w:spacing w:line="360" w:after="210" w:lineRule="auto"/>
      </w:pPr>
      <w:hyperlink r:id="rId50">
        <w:r>
          <w:rPr>
            <w:rFonts w:eastAsia="inter" w:cs="inter" w:ascii="inter" w:hAnsi="inter"/>
            <w:color w:val="#000"/>
            <w:sz w:val="18"/>
            <w:u w:val="single"/>
          </w:rPr>
          <w:t xml:space="preserve">https://www.bmscl.ac.in/Formatting_Guidelines.php</w:t>
        </w:r>
      </w:hyperlink>
      <w:r>
        <w:rPr>
          <w:rFonts w:eastAsia="inter" w:cs="inter" w:ascii="inter" w:hAnsi="inter"/>
          <w:color w:val="000000"/>
          <w:sz w:val="18"/>
        </w:rPr>
        <w:t xml:space="preserve"> </w:t>
      </w:r>
    </w:p>
    <w:bookmarkStart w:id="163" w:name="fn48"/>
    <w:bookmarkEnd w:id="163"/>
    <w:p>
      <w:pPr>
        <w:numPr>
          <w:ilvl w:val="0"/>
          <w:numId w:val="2"/>
        </w:numPr>
        <w:spacing w:line="360" w:after="210" w:lineRule="auto"/>
      </w:pPr>
      <w:hyperlink r:id="rId51">
        <w:r>
          <w:rPr>
            <w:rFonts w:eastAsia="inter" w:cs="inter" w:ascii="inter" w:hAnsi="inter"/>
            <w:color w:val="#000"/>
            <w:sz w:val="18"/>
            <w:u w:val="single"/>
          </w:rPr>
          <w:t xml:space="preserve">https://www.reddit.com/r/ChatGPTCoding/comments/1dcxb0a/what_is_the_best_prompt_youve_used_or_created_to/</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f45127f3fa7ade337bc13543808b61ab32bf57e.png" TargetMode="Internal"/><Relationship Id="rId6" Type="http://schemas.openxmlformats.org/officeDocument/2006/relationships/hyperlink" Target="https://www.lmitac.com/articles/solas-convention-updates" TargetMode="External"/><Relationship Id="rId7" Type="http://schemas.openxmlformats.org/officeDocument/2006/relationships/hyperlink" Target="https://www.bimco.org/news-insights/bimco-news/2025/04/24-mlc-amendments/" TargetMode="External"/><Relationship Id="rId8" Type="http://schemas.openxmlformats.org/officeDocument/2006/relationships/hyperlink" Target="https://www.imo.org/en/About/Conventions/Pages/Amendments-to-IMO-instruments.aspx" TargetMode="External"/><Relationship Id="rId9" Type="http://schemas.openxmlformats.org/officeDocument/2006/relationships/hyperlink" Target="https://lennartnacke.com/why-most-phds-misuse-ai-writing-tools/" TargetMode="External"/><Relationship Id="rId10" Type="http://schemas.openxmlformats.org/officeDocument/2006/relationships/hyperlink" Target="https://proofreadingmalaysia.com/humanizing-ai-generated-research-writing-while-maintaining-a-formal-academic-writing-style/" TargetMode="External"/><Relationship Id="rId11" Type="http://schemas.openxmlformats.org/officeDocument/2006/relationships/hyperlink" Target="https://guides.library.harvard.edu/law/bluebook" TargetMode="External"/><Relationship Id="rId12" Type="http://schemas.openxmlformats.org/officeDocument/2006/relationships/hyperlink" Target="https://pmc.ncbi.nlm.nih.gov/articles/PMC10328544/" TargetMode="External"/><Relationship Id="rId13" Type="http://schemas.openxmlformats.org/officeDocument/2006/relationships/hyperlink" Target="https://aast.edu/openfiles/opencmsfiles/pdf_retreive_cms_open.php?disp_unit=390%2FThesis.doc" TargetMode="External"/><Relationship Id="rId14" Type="http://schemas.openxmlformats.org/officeDocument/2006/relationships/hyperlink" Target="https://www.scribd.com/document/711517065/Phd-Thesis-in-Maritime-Law" TargetMode="External"/><Relationship Id="rId15" Type="http://schemas.openxmlformats.org/officeDocument/2006/relationships/hyperlink" Target="https://paperpal.com/blog/academic-writing-guides/how-to-avoid-plagiarism" TargetMode="External"/><Relationship Id="rId16" Type="http://schemas.openxmlformats.org/officeDocument/2006/relationships/hyperlink" Target="https://www.researchprospect.com/maritime-law-dissertation-topics/" TargetMode="External"/><Relationship Id="rId17" Type="http://schemas.openxmlformats.org/officeDocument/2006/relationships/hyperlink" Target="https://tarlton.law.utexas.edu/bluebook-legal-citation/how-to-cite/books-reports-treatises" TargetMode="External"/><Relationship Id="rId18" Type="http://schemas.openxmlformats.org/officeDocument/2006/relationships/hyperlink" Target="https://dissertationsage.co.uk/maritime-law-dissertation-topics/" TargetMode="External"/><Relationship Id="rId19" Type="http://schemas.openxmlformats.org/officeDocument/2006/relationships/hyperlink" Target="https://www.sciencedirect.com/topics/social-sciences/maritime-law" TargetMode="External"/><Relationship Id="rId20" Type="http://schemas.openxmlformats.org/officeDocument/2006/relationships/hyperlink" Target="https://www.scribbr.com/plagiarism/how-to-avoid-plagiarism/" TargetMode="External"/><Relationship Id="rId21" Type="http://schemas.openxmlformats.org/officeDocument/2006/relationships/hyperlink" Target="https://www.citethisforme.com/citation-generator/bluebook-citation-generator" TargetMode="External"/><Relationship Id="rId22" Type="http://schemas.openxmlformats.org/officeDocument/2006/relationships/hyperlink" Target="https://imli.org/publication/research-publications/" TargetMode="External"/><Relationship Id="rId23" Type="http://schemas.openxmlformats.org/officeDocument/2006/relationships/hyperlink" Target="https://www.ics-shipping.org/resource/promoting-maritime-treaty-ratification-the-ics-and-cmi-campaign-2025/" TargetMode="External"/><Relationship Id="rId24" Type="http://schemas.openxmlformats.org/officeDocument/2006/relationships/hyperlink" Target="https://wmu.se/programmes/international-maritime-law-llm-or-pgdip" TargetMode="External"/><Relationship Id="rId25" Type="http://schemas.openxmlformats.org/officeDocument/2006/relationships/hyperlink" Target="https://guides.libraries.uc.edu/c.php?g=222561&amp;p=1472886" TargetMode="External"/><Relationship Id="rId26" Type="http://schemas.openxmlformats.org/officeDocument/2006/relationships/hyperlink" Target="https://www.yomu.ai/resources/the-ultimate-test-ai-paper-writer-vs-human-phd-candidate" TargetMode="External"/><Relationship Id="rId27" Type="http://schemas.openxmlformats.org/officeDocument/2006/relationships/hyperlink" Target="https://www.grafiati.com/en/literature-selections/maritime-law-liability-law/dissertation/" TargetMode="External"/><Relationship Id="rId28" Type="http://schemas.openxmlformats.org/officeDocument/2006/relationships/hyperlink" Target="https://www.e-elgar.com/shop/gbp/research-handbook-on-maritime-law-and-regulation-9781786438782.html" TargetMode="External"/><Relationship Id="rId29" Type="http://schemas.openxmlformats.org/officeDocument/2006/relationships/hyperlink" Target="https://lib.law.uw.edu/bluebook101/editions" TargetMode="External"/><Relationship Id="rId30" Type="http://schemas.openxmlformats.org/officeDocument/2006/relationships/hyperlink" Target="https://premierdissertations.com/maritime-law-dissertation-topics/" TargetMode="External"/><Relationship Id="rId31" Type="http://schemas.openxmlformats.org/officeDocument/2006/relationships/hyperlink" Target="https://www.youtube.com/watch?v=11ux9v4luK4" TargetMode="External"/><Relationship Id="rId32" Type="http://schemas.openxmlformats.org/officeDocument/2006/relationships/hyperlink" Target="https://nalsar.ac.in/images/IJDML_Vol_1.pdf" TargetMode="External"/><Relationship Id="rId33" Type="http://schemas.openxmlformats.org/officeDocument/2006/relationships/hyperlink" Target="https://www.scribd.com/document/714163217/Dissertation-Topics-in-Maritime-Law" TargetMode="External"/><Relationship Id="rId34" Type="http://schemas.openxmlformats.org/officeDocument/2006/relationships/hyperlink" Target="https://www.grammarly.com/blog/plagiarism/5-most-effective-methods-for-avoiding-plagiarism/" TargetMode="External"/><Relationship Id="rId35" Type="http://schemas.openxmlformats.org/officeDocument/2006/relationships/hyperlink" Target="https://legalsynk.com/bluebook-citation-21st-edition-full-guide/" TargetMode="External"/><Relationship Id="rId36" Type="http://schemas.openxmlformats.org/officeDocument/2006/relationships/hyperlink" Target="https://unctad.org/publication/review-maritime-transport-2025" TargetMode="External"/><Relationship Id="rId37" Type="http://schemas.openxmlformats.org/officeDocument/2006/relationships/hyperlink" Target="https://editorninja.com/how-to-humanize-ai-text-into-human-quality-content/" TargetMode="External"/><Relationship Id="rId38" Type="http://schemas.openxmlformats.org/officeDocument/2006/relationships/hyperlink" Target="https://www.papergen.ai/blog/how-to-write-a-plagiarism-free-research-paper-or-thesis" TargetMode="External"/><Relationship Id="rId39" Type="http://schemas.openxmlformats.org/officeDocument/2006/relationships/hyperlink" Target="https://www.youtube.com/watch?v=UO2aUDseOZY" TargetMode="External"/><Relationship Id="rId40" Type="http://schemas.openxmlformats.org/officeDocument/2006/relationships/hyperlink" Target="https://paperguide.ai/blog/ai-tools-for-research/" TargetMode="External"/><Relationship Id="rId41" Type="http://schemas.openxmlformats.org/officeDocument/2006/relationships/hyperlink" Target="https://paperpal.com/paperpal-for-researchers" TargetMode="External"/><Relationship Id="rId42" Type="http://schemas.openxmlformats.org/officeDocument/2006/relationships/hyperlink" Target="https://www.law.georgetown.edu/wp-content/uploads/2018/07/Citations-to-International-Agreements-Bluebook-Rule-21.pdf" TargetMode="External"/><Relationship Id="rId43" Type="http://schemas.openxmlformats.org/officeDocument/2006/relationships/hyperlink" Target="https://scholar9.com/question/how-can-i-write-a-plagiarism-free-research-paper-without-using-ai" TargetMode="External"/><Relationship Id="rId44" Type="http://schemas.openxmlformats.org/officeDocument/2006/relationships/hyperlink" Target="https://tarlton.law.utexas.edu/bluebook-legal-citation/how-to-cite/law-reviews-magazines-newspapers" TargetMode="External"/><Relationship Id="rId45" Type="http://schemas.openxmlformats.org/officeDocument/2006/relationships/hyperlink" Target="https://ryne.ai/blog/how-to-100-humanize-ai-texts" TargetMode="External"/><Relationship Id="rId46" Type="http://schemas.openxmlformats.org/officeDocument/2006/relationships/hyperlink" Target="https://www.youtube.com/watch?v=wmQVdzBRnN4" TargetMode="External"/><Relationship Id="rId47" Type="http://schemas.openxmlformats.org/officeDocument/2006/relationships/hyperlink" Target="https://aulibrary.alliance.edu.in/web/bbstyle" TargetMode="External"/><Relationship Id="rId48" Type="http://schemas.openxmlformats.org/officeDocument/2006/relationships/hyperlink" Target="https://www.ref-n-write.com/blog/how-to-humanize-ai-text-for-academic-writing/" TargetMode="External"/><Relationship Id="rId49" Type="http://schemas.openxmlformats.org/officeDocument/2006/relationships/hyperlink" Target="https://allconferencealert.net/blog/how-to-avoid-plagiarism-in-research-papers/" TargetMode="External"/><Relationship Id="rId50" Type="http://schemas.openxmlformats.org/officeDocument/2006/relationships/hyperlink" Target="https://www.bmscl.ac.in/Formatting_Guidelines.php" TargetMode="External"/><Relationship Id="rId51" Type="http://schemas.openxmlformats.org/officeDocument/2006/relationships/hyperlink" Target="https://www.reddit.com/r/ChatGPTCoding/comments/1dcxb0a/what_is_the_best_prompt_youve_used_or_created_t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2025-09-26T15:36:52.473Z</dcterms:created>
  <dcterms:modified xsi:type="dcterms:W3CDTF">2025-09-26T15:36:52.473Z</dcterms:modified>
</cp:coreProperties>
</file>