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C516" w14:textId="1BC38DE0" w:rsidR="007F2C00" w:rsidRDefault="00000000" w:rsidP="00C17A09">
      <w:pPr>
        <w:spacing w:after="360"/>
        <w:ind w:firstLine="0"/>
        <w:jc w:val="both"/>
        <w:rPr>
          <w:rFonts w:cs="Times New Roman"/>
          <w:b/>
          <w:szCs w:val="24"/>
        </w:rPr>
      </w:pPr>
      <w:r w:rsidRPr="001268D0">
        <w:rPr>
          <w:rFonts w:cs="Times New Roman"/>
          <w:b/>
          <w:szCs w:val="24"/>
        </w:rPr>
        <w:t>CHAPTER</w:t>
      </w:r>
      <w:r w:rsidR="005528FA">
        <w:rPr>
          <w:rFonts w:cs="Times New Roman"/>
          <w:b/>
          <w:szCs w:val="24"/>
        </w:rPr>
        <w:t>1</w:t>
      </w:r>
      <w:r w:rsidRPr="001268D0">
        <w:rPr>
          <w:rFonts w:cs="Times New Roman"/>
          <w:b/>
          <w:szCs w:val="24"/>
        </w:rPr>
        <w:t xml:space="preserve"> </w:t>
      </w:r>
      <w:r w:rsidRPr="001268D0">
        <w:rPr>
          <w:rFonts w:cs="Times New Roman"/>
          <w:b/>
          <w:szCs w:val="24"/>
        </w:rPr>
        <w:br/>
        <w:t>INTRODUCTION</w:t>
      </w:r>
    </w:p>
    <w:p w14:paraId="79C6F273" w14:textId="7E1DF7BE" w:rsidR="002F3004" w:rsidRPr="001268D0" w:rsidRDefault="002F3004" w:rsidP="00C17A09">
      <w:pPr>
        <w:spacing w:after="360"/>
        <w:ind w:firstLine="0"/>
        <w:jc w:val="both"/>
        <w:rPr>
          <w:rFonts w:cs="Times New Roman"/>
          <w:szCs w:val="24"/>
        </w:rPr>
      </w:pPr>
      <w:r>
        <w:rPr>
          <w:rFonts w:cs="Times New Roman"/>
          <w:b/>
          <w:szCs w:val="24"/>
        </w:rPr>
        <w:t>(PAVAN SIR)</w:t>
      </w:r>
    </w:p>
    <w:p w14:paraId="401649DE"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 Background of the Study</w:t>
      </w:r>
    </w:p>
    <w:p w14:paraId="321C9EB2" w14:textId="77777777" w:rsidR="007F2C00" w:rsidRPr="002F3004" w:rsidRDefault="00000000" w:rsidP="00C17A09">
      <w:pPr>
        <w:ind w:firstLine="0"/>
        <w:jc w:val="both"/>
        <w:rPr>
          <w:rFonts w:cs="Times New Roman"/>
          <w:szCs w:val="24"/>
        </w:rPr>
      </w:pPr>
      <w:r w:rsidRPr="002F3004">
        <w:rPr>
          <w:rFonts w:cs="Times New Roman"/>
          <w:szCs w:val="24"/>
        </w:rPr>
        <w:t>Wound healing is a fundamental biological response through which injured tissue attempts to restore structural integrity and functional continuity. Although the visible outcome is often described simply as wound closure, repair is in fact a coordinated sequence of vascular, cellular, extracellular-matrix and biochemical events. Platelet activation and coagulation rapidly establish haemostasis; innate immune cells then remove contaminants and damaged material; fibroblasts, endothelial cells and keratinocytes participate in tissue replacement; and the provisional matrix is progressively reorganized into a more mature scar. These events overlap rather than occur as isolated steps, and their timing is influenced by the magnitude of injury, local perfusion, microbial burden, oxygen availability, systemic metabolism and the quality of the extracellular environment (Broughton et al., 2006; Eming et al., 2014).</w:t>
      </w:r>
    </w:p>
    <w:p w14:paraId="0F00D7D4" w14:textId="77777777" w:rsidR="007F2C00" w:rsidRPr="002F3004" w:rsidRDefault="00000000" w:rsidP="00C17A09">
      <w:pPr>
        <w:jc w:val="both"/>
        <w:rPr>
          <w:rFonts w:cs="Times New Roman"/>
          <w:szCs w:val="24"/>
        </w:rPr>
      </w:pPr>
      <w:r w:rsidRPr="002F3004">
        <w:rPr>
          <w:rFonts w:cs="Times New Roman"/>
          <w:szCs w:val="24"/>
        </w:rPr>
        <w:t>The clinical significance of this biology becomes apparent when a wound fails to progress through the normal sequence. Delayed healing increases the probability of persistent inflammation, infection, excessive exudation, tissue breakdown and abnormal scarring. Chronic wounds may become trapped in a state characterized by sustained inflammatory signalling, protease activity, impaired angiogenesis, senescent cells and a disturbed extracellular matrix. In contrast, uncomplicated acute wounds generally progress toward closure when the wound bed is adequately perfused, protected from excessive contamination and maintained within a physiologically favourable microenvironment (Guo &amp; DiPietro, 2010). Thus, wound care is not merely a matter of covering damaged skin; it is an intervention directed at the biological conditions under which repair occurs.</w:t>
      </w:r>
    </w:p>
    <w:p w14:paraId="2E64863B" w14:textId="77777777" w:rsidR="007F2C00" w:rsidRPr="002F3004" w:rsidRDefault="00000000" w:rsidP="00C17A09">
      <w:pPr>
        <w:jc w:val="both"/>
        <w:rPr>
          <w:rFonts w:cs="Times New Roman"/>
          <w:szCs w:val="24"/>
        </w:rPr>
      </w:pPr>
      <w:r w:rsidRPr="002F3004">
        <w:rPr>
          <w:rFonts w:cs="Times New Roman"/>
          <w:szCs w:val="24"/>
        </w:rPr>
        <w:t xml:space="preserve">The pharmacotherapeutic challenge is correspondingly multifactorial. An effective topical product should protect the wound, remain compatible with viable tissue, permit appropriate gas and moisture exchange, minimize unnecessary trauma during application or removal, and, where required, provide local delivery of antimicrobial, anti-inflammatory, antioxidant or regenerative agents. Direct local delivery is attractive because the therapeutic target is the wound itself. It can reduce dependence on systemic exposure and can be engineered to maintain a local concentration over a useful period. </w:t>
      </w:r>
      <w:r w:rsidRPr="002F3004">
        <w:rPr>
          <w:rFonts w:cs="Times New Roman"/>
          <w:szCs w:val="24"/>
        </w:rPr>
        <w:lastRenderedPageBreak/>
        <w:t>However, the performance of a topical product depends on formulation attributes as much as on the intrinsic activity of the active ingredient (Boateng et al., 2008; Saghazadeh et al., 2018).</w:t>
      </w:r>
    </w:p>
    <w:p w14:paraId="617E5156" w14:textId="77777777" w:rsidR="007F2C00" w:rsidRPr="002F3004" w:rsidRDefault="00000000" w:rsidP="00C17A09">
      <w:pPr>
        <w:jc w:val="both"/>
        <w:rPr>
          <w:rFonts w:cs="Times New Roman"/>
          <w:szCs w:val="24"/>
        </w:rPr>
      </w:pPr>
      <w:r w:rsidRPr="002F3004">
        <w:rPr>
          <w:rFonts w:cs="Times New Roman"/>
          <w:szCs w:val="24"/>
        </w:rPr>
        <w:t>Within this context, natural products have attracted renewed attention because many plant-derived constituents possess pharmacological activities that intersect with multiple mechanisms involved in tissue repair. Polyphenols, terpenoids, flavonoids and related secondary metabolites may influence oxidative stress, inflammatory mediators, microbial growth, angiogenesis and extracellular-matrix turnover. Nevertheless, the assumption that a traditional medicinal plant is automatically effective or safe is scientifically insufficient. Botanical identity, plant part, extraction process, chemical standardization, dose, route, formulation, stability and biological model all influence the evidence that can be generated. Modern herbal drug research therefore requires integration of pharmacognosy with analytical chemistry, pharmaceutics, pharmacology and toxicological evaluation (Yazarlu et al., 2021; Ebrahimi Fana et al., 2021).</w:t>
      </w:r>
    </w:p>
    <w:p w14:paraId="46032A28" w14:textId="77777777" w:rsidR="007F2C00" w:rsidRPr="002F3004" w:rsidRDefault="00000000" w:rsidP="00C17A09">
      <w:pPr>
        <w:jc w:val="both"/>
        <w:rPr>
          <w:rFonts w:cs="Times New Roman"/>
          <w:szCs w:val="24"/>
        </w:rPr>
      </w:pPr>
      <w:r w:rsidRPr="002F3004">
        <w:rPr>
          <w:rFonts w:cs="Times New Roman"/>
          <w:szCs w:val="24"/>
        </w:rPr>
        <w:t>The present doctoral work is positioned at this interface. Turmeric and guggul were selected because they represent chemically distinct botanical materials with complementary pharmacological profiles and established traditional medicinal relevance. Turmeric provides curcuminoids and a broader spectrum of phenolic constituents, whereas guggul contributes resin-associated terpenoids and characteristic guggulsterones. Their combination is hypothesized not simply to increase the number of active molecules, but to provide a broader pharmacological coverage of the wound environment. The formulation platform selected for this investigation is a non-propellant foam, intended to transform standardized botanical extracts into a convenient, spreadable and potentially patient-oriented topical dosage form.</w:t>
      </w:r>
    </w:p>
    <w:p w14:paraId="0275192D" w14:textId="77777777" w:rsidR="007F2C00" w:rsidRPr="002F3004" w:rsidRDefault="00000000" w:rsidP="00C17A09">
      <w:pPr>
        <w:pStyle w:val="Heading2"/>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1.1.1 Wounds as a Clinical and Pharmaceutical Problem</w:t>
      </w:r>
    </w:p>
    <w:p w14:paraId="61538240" w14:textId="77777777" w:rsidR="007F2C00" w:rsidRPr="002F3004" w:rsidRDefault="00000000" w:rsidP="00C17A09">
      <w:pPr>
        <w:jc w:val="both"/>
        <w:rPr>
          <w:rFonts w:cs="Times New Roman"/>
          <w:szCs w:val="24"/>
        </w:rPr>
      </w:pPr>
      <w:r w:rsidRPr="002F3004">
        <w:rPr>
          <w:rFonts w:cs="Times New Roman"/>
          <w:szCs w:val="24"/>
        </w:rPr>
        <w:t>A wound can be defined as a disruption of the normal anatomical continuity of tissue, most commonly involving the skin and underlying structures. The initiating event may be mechanical trauma, surgery, thermal injury, chemical exposure, friction, pressure, vascular insufficiency or a pathological process. The biological response is influenced by the depth and geometry of tissue loss, the degree of contamination, the condition of surrounding tissue and the presence of systemic disease. A superficial abrasion with preserved dermal appendages is biologically different from a full-thickness ulcer, yet both activate overlapping repair mechanisms.</w:t>
      </w:r>
    </w:p>
    <w:p w14:paraId="5BB8C637" w14:textId="77777777" w:rsidR="007F2C00" w:rsidRPr="002F3004" w:rsidRDefault="00000000" w:rsidP="00C17A09">
      <w:pPr>
        <w:jc w:val="both"/>
        <w:rPr>
          <w:rFonts w:cs="Times New Roman"/>
          <w:szCs w:val="24"/>
        </w:rPr>
      </w:pPr>
      <w:r w:rsidRPr="002F3004">
        <w:rPr>
          <w:rFonts w:cs="Times New Roman"/>
          <w:szCs w:val="24"/>
        </w:rPr>
        <w:t xml:space="preserve">From a pharmaceutical perspective, wounds are unusually demanding targets because the therapeutic site is dynamic. Exudate can dilute or remove a formulation; enzymes and reactive species </w:t>
      </w:r>
      <w:r w:rsidRPr="002F3004">
        <w:rPr>
          <w:rFonts w:cs="Times New Roman"/>
          <w:szCs w:val="24"/>
        </w:rPr>
        <w:lastRenderedPageBreak/>
        <w:t>can alter active molecules; pH may vary across the wound; and the surface may contain blood, fibrin, necrotic debris or microbial biofilms. The formulation must therefore tolerate a changing biological environment while releasing its active constituents at a useful rate. This requirement distinguishes wound delivery from conventional application to intact skin.</w:t>
      </w:r>
    </w:p>
    <w:p w14:paraId="5A990B37" w14:textId="77777777" w:rsidR="007F2C00" w:rsidRPr="002F3004" w:rsidRDefault="00000000" w:rsidP="00C17A09">
      <w:pPr>
        <w:jc w:val="both"/>
        <w:rPr>
          <w:rFonts w:cs="Times New Roman"/>
          <w:szCs w:val="24"/>
        </w:rPr>
      </w:pPr>
      <w:r w:rsidRPr="002F3004">
        <w:rPr>
          <w:rFonts w:cs="Times New Roman"/>
          <w:szCs w:val="24"/>
        </w:rPr>
        <w:t>An additional challenge is the balance between protection and intervention. Excessive occlusion, aggressive antisepsis or inappropriate excipient concentrations may compromise viable tissue even when the intention is to improve healing. Conversely, insufficient moisture control, poor adherence or inadequate coverage may expose the wound to repeated mechanical and environmental insults. Modern wound management consequently emphasizes the design of an appropriate microenvironment rather than a single universally optimal dressing (Korting et al., 2011; Boateng et al., 2008).</w:t>
      </w:r>
    </w:p>
    <w:p w14:paraId="3C5011A6" w14:textId="77777777" w:rsidR="007F2C00" w:rsidRPr="002F3004" w:rsidRDefault="00000000" w:rsidP="00C17A09">
      <w:pPr>
        <w:pStyle w:val="Heading2"/>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1.1.2 Acute and Chronic Wounds</w:t>
      </w:r>
    </w:p>
    <w:p w14:paraId="66C1F0E2" w14:textId="77777777" w:rsidR="007F2C00" w:rsidRPr="002F3004" w:rsidRDefault="00000000" w:rsidP="00C17A09">
      <w:pPr>
        <w:jc w:val="both"/>
        <w:rPr>
          <w:rFonts w:cs="Times New Roman"/>
          <w:szCs w:val="24"/>
        </w:rPr>
      </w:pPr>
      <w:r w:rsidRPr="002F3004">
        <w:rPr>
          <w:rFonts w:cs="Times New Roman"/>
          <w:szCs w:val="24"/>
        </w:rPr>
        <w:t>Acute wounds generally progress through an orderly repair program after the initiating injury has been controlled. The inflammatory response is activated, but it resolves as debris is removed and the tissue enters a proliferative phase. Chronic wounds differ not because they possess a completely separate biology, but because normal transitions are disrupted. Diabetes, vascular insufficiency, repeated trauma, infection, pressure, ageing, malnutrition and other conditions can maintain inflammatory signalling and impair the progression toward granulation, epithelialization and remodelling (Guo &amp; DiPietro, 2010).</w:t>
      </w:r>
    </w:p>
    <w:p w14:paraId="3942F74D" w14:textId="77777777" w:rsidR="007F2C00" w:rsidRPr="002F3004" w:rsidRDefault="00000000" w:rsidP="00C17A09">
      <w:pPr>
        <w:jc w:val="both"/>
        <w:rPr>
          <w:rFonts w:cs="Times New Roman"/>
          <w:szCs w:val="24"/>
        </w:rPr>
      </w:pPr>
      <w:r w:rsidRPr="002F3004">
        <w:rPr>
          <w:rFonts w:cs="Times New Roman"/>
          <w:szCs w:val="24"/>
        </w:rPr>
        <w:t>This distinction is important for evaluating experimental wound products. A formulation that improves closure in an uncomplicated excision model may not necessarily reverse the complex molecular abnormalities of a chronic diabetic ulcer. Conversely, a formulation that controls inflammation and oxidative stress may have value even if its effect on gross wound area is modest. PhD-level formulation research therefore benefits from evaluating multiple levels of response rather than relying on a single endpoint.</w:t>
      </w:r>
    </w:p>
    <w:p w14:paraId="59161FB6" w14:textId="77777777" w:rsidR="007F2C00" w:rsidRPr="002F3004" w:rsidRDefault="00000000" w:rsidP="00C17A09">
      <w:pPr>
        <w:jc w:val="both"/>
        <w:rPr>
          <w:rFonts w:cs="Times New Roman"/>
          <w:szCs w:val="24"/>
        </w:rPr>
      </w:pPr>
      <w:r w:rsidRPr="002F3004">
        <w:rPr>
          <w:rFonts w:cs="Times New Roman"/>
          <w:szCs w:val="24"/>
        </w:rPr>
        <w:t>The present study is principally concerned with external wound management and experimental wound healing. Its purpose is to determine whether a standardized turmeric–guggul system can improve the local conditions associated with repair. It does not assume that a topical botanical foam will replace debridement, infection control, vascular management, nutritional support or other components of comprehensive wound care.</w:t>
      </w:r>
    </w:p>
    <w:p w14:paraId="40CB61AF"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lastRenderedPageBreak/>
        <w:t>1.1.3 Wound Infection, Biofilms and Microbial Burden</w:t>
      </w:r>
    </w:p>
    <w:p w14:paraId="556F44E0" w14:textId="77777777" w:rsidR="007F2C00" w:rsidRPr="002F3004" w:rsidRDefault="00000000" w:rsidP="00C17A09">
      <w:pPr>
        <w:ind w:firstLine="0"/>
        <w:jc w:val="both"/>
        <w:rPr>
          <w:rFonts w:cs="Times New Roman"/>
          <w:szCs w:val="24"/>
        </w:rPr>
      </w:pPr>
      <w:r w:rsidRPr="002F3004">
        <w:rPr>
          <w:rFonts w:cs="Times New Roman"/>
          <w:szCs w:val="24"/>
        </w:rPr>
        <w:t>Microbial contamination is not synonymous with clinical infection, yet increasing microbial burden can alter the wound microenvironment and prolong inflammation. Bacteria may compete with host cells for nutrients, release inflammatory stimuli and form biofilms that provide a protective matrix. Biofilm-associated organisms can be particularly difficult to eradicate because the matrix restricts penetration and modifies microbial physiology. The resulting persistence of inflammatory signalling may interfere with epithelial migration and matrix formation.</w:t>
      </w:r>
    </w:p>
    <w:p w14:paraId="28B21819" w14:textId="77777777" w:rsidR="007F2C00" w:rsidRPr="002F3004" w:rsidRDefault="00000000" w:rsidP="00C17A09">
      <w:pPr>
        <w:jc w:val="both"/>
        <w:rPr>
          <w:rFonts w:cs="Times New Roman"/>
          <w:szCs w:val="24"/>
        </w:rPr>
      </w:pPr>
      <w:r w:rsidRPr="002F3004">
        <w:rPr>
          <w:rFonts w:cs="Times New Roman"/>
          <w:szCs w:val="24"/>
        </w:rPr>
        <w:t>Antimicrobial activity is therefore a relevant property for a wound formulation, but it should be interpreted carefully. A strong in-vitro zone of inhibition does not automatically demonstrate wound-healing efficacy, and broad antimicrobial activity is not necessarily desirable if it is accompanied by cytotoxicity toward keratinocytes or fibroblasts. The objective should be a favourable therapeutic window in which microbial growth is controlled without compromising viable tissue.</w:t>
      </w:r>
    </w:p>
    <w:p w14:paraId="53533EF0" w14:textId="77777777" w:rsidR="007F2C00" w:rsidRPr="002F3004" w:rsidRDefault="00000000" w:rsidP="00C17A09">
      <w:pPr>
        <w:jc w:val="both"/>
        <w:rPr>
          <w:rFonts w:cs="Times New Roman"/>
          <w:szCs w:val="24"/>
        </w:rPr>
      </w:pPr>
      <w:r w:rsidRPr="002F3004">
        <w:rPr>
          <w:rFonts w:cs="Times New Roman"/>
          <w:szCs w:val="24"/>
        </w:rPr>
        <w:t>Curcumin has been reviewed for activity against organisms and biofilms relevant to skin health, while guggul resin and its constituents have also been investigated for antimicrobial effects (Vaughn et al., 2017; Sarup et al., 2015). These observations support antimicrobial evaluation of the proposed combination, but the final formulation—not the individual pure compound—must be tested because excipients, concentration, release behaviour and local distribution can alter biological activity.</w:t>
      </w:r>
    </w:p>
    <w:p w14:paraId="3BA25E72" w14:textId="77777777" w:rsidR="007F2C00" w:rsidRPr="002F3004" w:rsidRDefault="00000000" w:rsidP="00C17A09">
      <w:pPr>
        <w:pStyle w:val="CaptionCustom"/>
        <w:jc w:val="both"/>
        <w:rPr>
          <w:rFonts w:cs="Times New Roman"/>
          <w:sz w:val="24"/>
          <w:szCs w:val="24"/>
        </w:rPr>
      </w:pPr>
      <w:r w:rsidRPr="002F3004">
        <w:rPr>
          <w:rFonts w:cs="Times New Roman"/>
          <w:b/>
          <w:sz w:val="24"/>
          <w:szCs w:val="24"/>
        </w:rPr>
        <w:t>Table 1. Major wound-management challenges and their implications for formulation development.</w:t>
      </w:r>
    </w:p>
    <w:tbl>
      <w:tblPr>
        <w:tblStyle w:val="TableGrid"/>
        <w:tblW w:w="0" w:type="auto"/>
        <w:jc w:val="center"/>
        <w:tblLook w:val="04A0" w:firstRow="1" w:lastRow="0" w:firstColumn="1" w:lastColumn="0" w:noHBand="0" w:noVBand="1"/>
      </w:tblPr>
      <w:tblGrid>
        <w:gridCol w:w="2402"/>
        <w:gridCol w:w="2402"/>
        <w:gridCol w:w="2405"/>
        <w:gridCol w:w="2429"/>
      </w:tblGrid>
      <w:tr w:rsidR="007F2C00" w:rsidRPr="002F3004" w14:paraId="37DD8A39" w14:textId="77777777">
        <w:trPr>
          <w:jc w:val="center"/>
        </w:trPr>
        <w:tc>
          <w:tcPr>
            <w:tcW w:w="2412" w:type="dxa"/>
          </w:tcPr>
          <w:p w14:paraId="5F0E0C69" w14:textId="77777777" w:rsidR="007F2C00" w:rsidRPr="002F3004" w:rsidRDefault="00000000" w:rsidP="00C17A09">
            <w:pPr>
              <w:jc w:val="both"/>
              <w:rPr>
                <w:rFonts w:cs="Times New Roman"/>
                <w:szCs w:val="24"/>
              </w:rPr>
            </w:pPr>
            <w:r w:rsidRPr="002F3004">
              <w:rPr>
                <w:rFonts w:cs="Times New Roman"/>
                <w:b/>
                <w:szCs w:val="24"/>
              </w:rPr>
              <w:t>Wound-related challenge</w:t>
            </w:r>
          </w:p>
        </w:tc>
        <w:tc>
          <w:tcPr>
            <w:tcW w:w="2412" w:type="dxa"/>
          </w:tcPr>
          <w:p w14:paraId="38FEFF8C" w14:textId="77777777" w:rsidR="007F2C00" w:rsidRPr="002F3004" w:rsidRDefault="00000000" w:rsidP="00C17A09">
            <w:pPr>
              <w:jc w:val="both"/>
              <w:rPr>
                <w:rFonts w:cs="Times New Roman"/>
                <w:szCs w:val="24"/>
              </w:rPr>
            </w:pPr>
            <w:r w:rsidRPr="002F3004">
              <w:rPr>
                <w:rFonts w:cs="Times New Roman"/>
                <w:b/>
                <w:szCs w:val="24"/>
              </w:rPr>
              <w:t>Biological consequence</w:t>
            </w:r>
          </w:p>
        </w:tc>
        <w:tc>
          <w:tcPr>
            <w:tcW w:w="2412" w:type="dxa"/>
          </w:tcPr>
          <w:p w14:paraId="299E6AD0" w14:textId="77777777" w:rsidR="007F2C00" w:rsidRPr="002F3004" w:rsidRDefault="00000000" w:rsidP="00C17A09">
            <w:pPr>
              <w:jc w:val="both"/>
              <w:rPr>
                <w:rFonts w:cs="Times New Roman"/>
                <w:szCs w:val="24"/>
              </w:rPr>
            </w:pPr>
            <w:r w:rsidRPr="002F3004">
              <w:rPr>
                <w:rFonts w:cs="Times New Roman"/>
                <w:b/>
                <w:szCs w:val="24"/>
              </w:rPr>
              <w:t>Formulation implication</w:t>
            </w:r>
          </w:p>
        </w:tc>
        <w:tc>
          <w:tcPr>
            <w:tcW w:w="2412" w:type="dxa"/>
          </w:tcPr>
          <w:p w14:paraId="3D7475F2" w14:textId="77777777" w:rsidR="007F2C00" w:rsidRPr="002F3004" w:rsidRDefault="00000000" w:rsidP="00C17A09">
            <w:pPr>
              <w:jc w:val="both"/>
              <w:rPr>
                <w:rFonts w:cs="Times New Roman"/>
                <w:szCs w:val="24"/>
              </w:rPr>
            </w:pPr>
            <w:r w:rsidRPr="002F3004">
              <w:rPr>
                <w:rFonts w:cs="Times New Roman"/>
                <w:b/>
                <w:szCs w:val="24"/>
              </w:rPr>
              <w:t>Relevant evaluation</w:t>
            </w:r>
          </w:p>
        </w:tc>
      </w:tr>
      <w:tr w:rsidR="007F2C00" w:rsidRPr="002F3004" w14:paraId="40D818EE" w14:textId="77777777">
        <w:trPr>
          <w:jc w:val="center"/>
        </w:trPr>
        <w:tc>
          <w:tcPr>
            <w:tcW w:w="2412" w:type="dxa"/>
            <w:vAlign w:val="center"/>
          </w:tcPr>
          <w:p w14:paraId="490C8738" w14:textId="77777777" w:rsidR="007F2C00" w:rsidRPr="002F3004" w:rsidRDefault="00000000" w:rsidP="00C17A09">
            <w:pPr>
              <w:spacing w:after="0" w:line="240" w:lineRule="auto"/>
              <w:jc w:val="both"/>
              <w:rPr>
                <w:rFonts w:cs="Times New Roman"/>
                <w:szCs w:val="24"/>
              </w:rPr>
            </w:pPr>
            <w:r w:rsidRPr="002F3004">
              <w:rPr>
                <w:rFonts w:cs="Times New Roman"/>
                <w:szCs w:val="24"/>
              </w:rPr>
              <w:t>Excessive inflammation</w:t>
            </w:r>
          </w:p>
        </w:tc>
        <w:tc>
          <w:tcPr>
            <w:tcW w:w="2412" w:type="dxa"/>
            <w:vAlign w:val="center"/>
          </w:tcPr>
          <w:p w14:paraId="00AC595F" w14:textId="77777777" w:rsidR="007F2C00" w:rsidRPr="002F3004" w:rsidRDefault="00000000" w:rsidP="00C17A09">
            <w:pPr>
              <w:spacing w:after="0" w:line="240" w:lineRule="auto"/>
              <w:jc w:val="both"/>
              <w:rPr>
                <w:rFonts w:cs="Times New Roman"/>
                <w:szCs w:val="24"/>
              </w:rPr>
            </w:pPr>
            <w:r w:rsidRPr="002F3004">
              <w:rPr>
                <w:rFonts w:cs="Times New Roman"/>
                <w:szCs w:val="24"/>
              </w:rPr>
              <w:t>Delayed transition to proliferation; tissue damage</w:t>
            </w:r>
          </w:p>
        </w:tc>
        <w:tc>
          <w:tcPr>
            <w:tcW w:w="2412" w:type="dxa"/>
            <w:vAlign w:val="center"/>
          </w:tcPr>
          <w:p w14:paraId="6EED45CF" w14:textId="77777777" w:rsidR="007F2C00" w:rsidRPr="002F3004" w:rsidRDefault="00000000" w:rsidP="00C17A09">
            <w:pPr>
              <w:spacing w:after="0" w:line="240" w:lineRule="auto"/>
              <w:jc w:val="both"/>
              <w:rPr>
                <w:rFonts w:cs="Times New Roman"/>
                <w:szCs w:val="24"/>
              </w:rPr>
            </w:pPr>
            <w:r w:rsidRPr="002F3004">
              <w:rPr>
                <w:rFonts w:cs="Times New Roman"/>
                <w:szCs w:val="24"/>
              </w:rPr>
              <w:t>Prefer controlled anti-inflammatory activity without complete immune suppression</w:t>
            </w:r>
          </w:p>
        </w:tc>
        <w:tc>
          <w:tcPr>
            <w:tcW w:w="2412" w:type="dxa"/>
            <w:vAlign w:val="center"/>
          </w:tcPr>
          <w:p w14:paraId="1F9C0E2A" w14:textId="77777777" w:rsidR="007F2C00" w:rsidRPr="002F3004" w:rsidRDefault="00000000" w:rsidP="00C17A09">
            <w:pPr>
              <w:spacing w:after="0" w:line="240" w:lineRule="auto"/>
              <w:jc w:val="both"/>
              <w:rPr>
                <w:rFonts w:cs="Times New Roman"/>
                <w:szCs w:val="24"/>
              </w:rPr>
            </w:pPr>
            <w:r w:rsidRPr="002F3004">
              <w:rPr>
                <w:rFonts w:cs="Times New Roman"/>
                <w:szCs w:val="24"/>
              </w:rPr>
              <w:t>Inflammatory markers; histopathology</w:t>
            </w:r>
          </w:p>
        </w:tc>
      </w:tr>
      <w:tr w:rsidR="007F2C00" w:rsidRPr="002F3004" w14:paraId="3EC7D9D0" w14:textId="77777777">
        <w:trPr>
          <w:jc w:val="center"/>
        </w:trPr>
        <w:tc>
          <w:tcPr>
            <w:tcW w:w="2412" w:type="dxa"/>
            <w:vAlign w:val="center"/>
          </w:tcPr>
          <w:p w14:paraId="3D413ABA" w14:textId="77777777" w:rsidR="007F2C00" w:rsidRPr="002F3004" w:rsidRDefault="00000000" w:rsidP="00C17A09">
            <w:pPr>
              <w:spacing w:after="0" w:line="240" w:lineRule="auto"/>
              <w:jc w:val="both"/>
              <w:rPr>
                <w:rFonts w:cs="Times New Roman"/>
                <w:szCs w:val="24"/>
              </w:rPr>
            </w:pPr>
            <w:r w:rsidRPr="002F3004">
              <w:rPr>
                <w:rFonts w:cs="Times New Roman"/>
                <w:szCs w:val="24"/>
              </w:rPr>
              <w:t>Oxidative imbalance</w:t>
            </w:r>
          </w:p>
        </w:tc>
        <w:tc>
          <w:tcPr>
            <w:tcW w:w="2412" w:type="dxa"/>
            <w:vAlign w:val="center"/>
          </w:tcPr>
          <w:p w14:paraId="0A76CA5D" w14:textId="77777777" w:rsidR="007F2C00" w:rsidRPr="002F3004" w:rsidRDefault="00000000" w:rsidP="00C17A09">
            <w:pPr>
              <w:spacing w:after="0" w:line="240" w:lineRule="auto"/>
              <w:jc w:val="both"/>
              <w:rPr>
                <w:rFonts w:cs="Times New Roman"/>
                <w:szCs w:val="24"/>
              </w:rPr>
            </w:pPr>
            <w:r w:rsidRPr="002F3004">
              <w:rPr>
                <w:rFonts w:cs="Times New Roman"/>
                <w:szCs w:val="24"/>
              </w:rPr>
              <w:t>Damage to cells, proteins and extracellular matrix</w:t>
            </w:r>
          </w:p>
        </w:tc>
        <w:tc>
          <w:tcPr>
            <w:tcW w:w="2412" w:type="dxa"/>
            <w:vAlign w:val="center"/>
          </w:tcPr>
          <w:p w14:paraId="0A3E0EA1" w14:textId="77777777" w:rsidR="007F2C00" w:rsidRPr="002F3004" w:rsidRDefault="00000000" w:rsidP="00C17A09">
            <w:pPr>
              <w:spacing w:after="0" w:line="240" w:lineRule="auto"/>
              <w:jc w:val="both"/>
              <w:rPr>
                <w:rFonts w:cs="Times New Roman"/>
                <w:szCs w:val="24"/>
              </w:rPr>
            </w:pPr>
            <w:r w:rsidRPr="002F3004">
              <w:rPr>
                <w:rFonts w:cs="Times New Roman"/>
                <w:szCs w:val="24"/>
              </w:rPr>
              <w:t>Provide antioxidant capacity while preserving chemical stability</w:t>
            </w:r>
          </w:p>
        </w:tc>
        <w:tc>
          <w:tcPr>
            <w:tcW w:w="2412" w:type="dxa"/>
            <w:vAlign w:val="center"/>
          </w:tcPr>
          <w:p w14:paraId="09C3FCD9" w14:textId="77777777" w:rsidR="007F2C00" w:rsidRPr="002F3004" w:rsidRDefault="00000000" w:rsidP="00C17A09">
            <w:pPr>
              <w:spacing w:after="0" w:line="240" w:lineRule="auto"/>
              <w:jc w:val="both"/>
              <w:rPr>
                <w:rFonts w:cs="Times New Roman"/>
                <w:szCs w:val="24"/>
              </w:rPr>
            </w:pPr>
            <w:r w:rsidRPr="002F3004">
              <w:rPr>
                <w:rFonts w:cs="Times New Roman"/>
                <w:szCs w:val="24"/>
              </w:rPr>
              <w:t>DPPH/ABTS or related assays; tissue oxidative markers</w:t>
            </w:r>
          </w:p>
        </w:tc>
      </w:tr>
      <w:tr w:rsidR="007F2C00" w:rsidRPr="002F3004" w14:paraId="57CDB84A" w14:textId="77777777">
        <w:trPr>
          <w:jc w:val="center"/>
        </w:trPr>
        <w:tc>
          <w:tcPr>
            <w:tcW w:w="2412" w:type="dxa"/>
            <w:vAlign w:val="center"/>
          </w:tcPr>
          <w:p w14:paraId="13FBD742" w14:textId="77777777" w:rsidR="007F2C00" w:rsidRPr="002F3004" w:rsidRDefault="00000000" w:rsidP="00C17A09">
            <w:pPr>
              <w:spacing w:after="0" w:line="240" w:lineRule="auto"/>
              <w:jc w:val="both"/>
              <w:rPr>
                <w:rFonts w:cs="Times New Roman"/>
                <w:szCs w:val="24"/>
              </w:rPr>
            </w:pPr>
            <w:r w:rsidRPr="002F3004">
              <w:rPr>
                <w:rFonts w:cs="Times New Roman"/>
                <w:szCs w:val="24"/>
              </w:rPr>
              <w:t>Microbial burden/biofilm</w:t>
            </w:r>
          </w:p>
        </w:tc>
        <w:tc>
          <w:tcPr>
            <w:tcW w:w="2412" w:type="dxa"/>
            <w:vAlign w:val="center"/>
          </w:tcPr>
          <w:p w14:paraId="3F7DB886" w14:textId="77777777" w:rsidR="007F2C00" w:rsidRPr="002F3004" w:rsidRDefault="00000000" w:rsidP="00C17A09">
            <w:pPr>
              <w:spacing w:after="0" w:line="240" w:lineRule="auto"/>
              <w:jc w:val="both"/>
              <w:rPr>
                <w:rFonts w:cs="Times New Roman"/>
                <w:szCs w:val="24"/>
              </w:rPr>
            </w:pPr>
            <w:r w:rsidRPr="002F3004">
              <w:rPr>
                <w:rFonts w:cs="Times New Roman"/>
                <w:szCs w:val="24"/>
              </w:rPr>
              <w:t>Persistent inflammation and tissue damage</w:t>
            </w:r>
          </w:p>
        </w:tc>
        <w:tc>
          <w:tcPr>
            <w:tcW w:w="2412" w:type="dxa"/>
            <w:vAlign w:val="center"/>
          </w:tcPr>
          <w:p w14:paraId="551CB356" w14:textId="77777777" w:rsidR="007F2C00" w:rsidRPr="002F3004" w:rsidRDefault="00000000" w:rsidP="00C17A09">
            <w:pPr>
              <w:spacing w:after="0" w:line="240" w:lineRule="auto"/>
              <w:jc w:val="both"/>
              <w:rPr>
                <w:rFonts w:cs="Times New Roman"/>
                <w:szCs w:val="24"/>
              </w:rPr>
            </w:pPr>
            <w:r w:rsidRPr="002F3004">
              <w:rPr>
                <w:rFonts w:cs="Times New Roman"/>
                <w:szCs w:val="24"/>
              </w:rPr>
              <w:t>Adequate local antimicrobial activity with tissue compatibility</w:t>
            </w:r>
          </w:p>
        </w:tc>
        <w:tc>
          <w:tcPr>
            <w:tcW w:w="2412" w:type="dxa"/>
            <w:vAlign w:val="center"/>
          </w:tcPr>
          <w:p w14:paraId="4918CF18" w14:textId="77777777" w:rsidR="007F2C00" w:rsidRPr="002F3004" w:rsidRDefault="00000000" w:rsidP="00C17A09">
            <w:pPr>
              <w:spacing w:after="0" w:line="240" w:lineRule="auto"/>
              <w:jc w:val="both"/>
              <w:rPr>
                <w:rFonts w:cs="Times New Roman"/>
                <w:szCs w:val="24"/>
              </w:rPr>
            </w:pPr>
            <w:r w:rsidRPr="002F3004">
              <w:rPr>
                <w:rFonts w:cs="Times New Roman"/>
                <w:szCs w:val="24"/>
              </w:rPr>
              <w:t>MIC/MBC, zone of inhibition, biofilm-related assays</w:t>
            </w:r>
          </w:p>
        </w:tc>
      </w:tr>
      <w:tr w:rsidR="007F2C00" w:rsidRPr="002F3004" w14:paraId="36629501" w14:textId="77777777">
        <w:trPr>
          <w:jc w:val="center"/>
        </w:trPr>
        <w:tc>
          <w:tcPr>
            <w:tcW w:w="2412" w:type="dxa"/>
            <w:vAlign w:val="center"/>
          </w:tcPr>
          <w:p w14:paraId="0A23D04B" w14:textId="77777777" w:rsidR="007F2C00" w:rsidRPr="002F3004" w:rsidRDefault="00000000" w:rsidP="00C17A09">
            <w:pPr>
              <w:spacing w:after="0" w:line="240" w:lineRule="auto"/>
              <w:jc w:val="both"/>
              <w:rPr>
                <w:rFonts w:cs="Times New Roman"/>
                <w:szCs w:val="24"/>
              </w:rPr>
            </w:pPr>
            <w:r w:rsidRPr="002F3004">
              <w:rPr>
                <w:rFonts w:cs="Times New Roman"/>
                <w:szCs w:val="24"/>
              </w:rPr>
              <w:lastRenderedPageBreak/>
              <w:t>Poor topical retention</w:t>
            </w:r>
          </w:p>
        </w:tc>
        <w:tc>
          <w:tcPr>
            <w:tcW w:w="2412" w:type="dxa"/>
            <w:vAlign w:val="center"/>
          </w:tcPr>
          <w:p w14:paraId="1AFA85D2" w14:textId="77777777" w:rsidR="007F2C00" w:rsidRPr="002F3004" w:rsidRDefault="00000000" w:rsidP="00C17A09">
            <w:pPr>
              <w:spacing w:after="0" w:line="240" w:lineRule="auto"/>
              <w:jc w:val="both"/>
              <w:rPr>
                <w:rFonts w:cs="Times New Roman"/>
                <w:szCs w:val="24"/>
              </w:rPr>
            </w:pPr>
            <w:r w:rsidRPr="002F3004">
              <w:rPr>
                <w:rFonts w:cs="Times New Roman"/>
                <w:szCs w:val="24"/>
              </w:rPr>
              <w:t>Insufficient local exposure</w:t>
            </w:r>
          </w:p>
        </w:tc>
        <w:tc>
          <w:tcPr>
            <w:tcW w:w="2412" w:type="dxa"/>
            <w:vAlign w:val="center"/>
          </w:tcPr>
          <w:p w14:paraId="17EC8216" w14:textId="77777777" w:rsidR="007F2C00" w:rsidRPr="002F3004" w:rsidRDefault="00000000" w:rsidP="00C17A09">
            <w:pPr>
              <w:spacing w:after="0" w:line="240" w:lineRule="auto"/>
              <w:jc w:val="both"/>
              <w:rPr>
                <w:rFonts w:cs="Times New Roman"/>
                <w:szCs w:val="24"/>
              </w:rPr>
            </w:pPr>
            <w:r w:rsidRPr="002F3004">
              <w:rPr>
                <w:rFonts w:cs="Times New Roman"/>
                <w:szCs w:val="24"/>
              </w:rPr>
              <w:t>Optimize spreading, deposition and residence</w:t>
            </w:r>
          </w:p>
        </w:tc>
        <w:tc>
          <w:tcPr>
            <w:tcW w:w="2412" w:type="dxa"/>
            <w:vAlign w:val="center"/>
          </w:tcPr>
          <w:p w14:paraId="674753B1" w14:textId="77777777" w:rsidR="007F2C00" w:rsidRPr="002F3004" w:rsidRDefault="00000000" w:rsidP="00C17A09">
            <w:pPr>
              <w:spacing w:after="0" w:line="240" w:lineRule="auto"/>
              <w:jc w:val="both"/>
              <w:rPr>
                <w:rFonts w:cs="Times New Roman"/>
                <w:szCs w:val="24"/>
              </w:rPr>
            </w:pPr>
            <w:r w:rsidRPr="002F3004">
              <w:rPr>
                <w:rFonts w:cs="Times New Roman"/>
                <w:szCs w:val="24"/>
              </w:rPr>
              <w:t>Ex-vivo deposition/permeation; retention studies</w:t>
            </w:r>
          </w:p>
        </w:tc>
      </w:tr>
      <w:tr w:rsidR="007F2C00" w:rsidRPr="002F3004" w14:paraId="3EBF8EAD" w14:textId="77777777">
        <w:trPr>
          <w:jc w:val="center"/>
        </w:trPr>
        <w:tc>
          <w:tcPr>
            <w:tcW w:w="2412" w:type="dxa"/>
            <w:vAlign w:val="center"/>
          </w:tcPr>
          <w:p w14:paraId="7EFB09D2" w14:textId="77777777" w:rsidR="007F2C00" w:rsidRPr="002F3004" w:rsidRDefault="00000000" w:rsidP="00C17A09">
            <w:pPr>
              <w:spacing w:after="0" w:line="240" w:lineRule="auto"/>
              <w:jc w:val="both"/>
              <w:rPr>
                <w:rFonts w:cs="Times New Roman"/>
                <w:szCs w:val="24"/>
              </w:rPr>
            </w:pPr>
            <w:r w:rsidRPr="002F3004">
              <w:rPr>
                <w:rFonts w:cs="Times New Roman"/>
                <w:szCs w:val="24"/>
              </w:rPr>
              <w:t>Poor active stability</w:t>
            </w:r>
          </w:p>
        </w:tc>
        <w:tc>
          <w:tcPr>
            <w:tcW w:w="2412" w:type="dxa"/>
            <w:vAlign w:val="center"/>
          </w:tcPr>
          <w:p w14:paraId="7FB4C1E9" w14:textId="77777777" w:rsidR="007F2C00" w:rsidRPr="002F3004" w:rsidRDefault="00000000" w:rsidP="00C17A09">
            <w:pPr>
              <w:spacing w:after="0" w:line="240" w:lineRule="auto"/>
              <w:jc w:val="both"/>
              <w:rPr>
                <w:rFonts w:cs="Times New Roman"/>
                <w:szCs w:val="24"/>
              </w:rPr>
            </w:pPr>
            <w:r w:rsidRPr="002F3004">
              <w:rPr>
                <w:rFonts w:cs="Times New Roman"/>
                <w:szCs w:val="24"/>
              </w:rPr>
              <w:t>Loss of potency during storage or use</w:t>
            </w:r>
          </w:p>
        </w:tc>
        <w:tc>
          <w:tcPr>
            <w:tcW w:w="2412" w:type="dxa"/>
            <w:vAlign w:val="center"/>
          </w:tcPr>
          <w:p w14:paraId="547FF4F7" w14:textId="77777777" w:rsidR="007F2C00" w:rsidRPr="002F3004" w:rsidRDefault="00000000" w:rsidP="00C17A09">
            <w:pPr>
              <w:spacing w:after="0" w:line="240" w:lineRule="auto"/>
              <w:jc w:val="both"/>
              <w:rPr>
                <w:rFonts w:cs="Times New Roman"/>
                <w:szCs w:val="24"/>
              </w:rPr>
            </w:pPr>
            <w:r w:rsidRPr="002F3004">
              <w:rPr>
                <w:rFonts w:cs="Times New Roman"/>
                <w:szCs w:val="24"/>
              </w:rPr>
              <w:t>Protect marker compounds and control pH/vehicle interactions</w:t>
            </w:r>
          </w:p>
        </w:tc>
        <w:tc>
          <w:tcPr>
            <w:tcW w:w="2412" w:type="dxa"/>
            <w:vAlign w:val="center"/>
          </w:tcPr>
          <w:p w14:paraId="4BE5822B" w14:textId="77777777" w:rsidR="007F2C00" w:rsidRPr="002F3004" w:rsidRDefault="00000000" w:rsidP="00C17A09">
            <w:pPr>
              <w:spacing w:after="0" w:line="240" w:lineRule="auto"/>
              <w:jc w:val="both"/>
              <w:rPr>
                <w:rFonts w:cs="Times New Roman"/>
                <w:szCs w:val="24"/>
              </w:rPr>
            </w:pPr>
            <w:r w:rsidRPr="002F3004">
              <w:rPr>
                <w:rFonts w:cs="Times New Roman"/>
                <w:szCs w:val="24"/>
              </w:rPr>
              <w:t>Assay of marker content; stability testing</w:t>
            </w:r>
          </w:p>
        </w:tc>
      </w:tr>
      <w:tr w:rsidR="007F2C00" w:rsidRPr="002F3004" w14:paraId="100350BE" w14:textId="77777777">
        <w:trPr>
          <w:jc w:val="center"/>
        </w:trPr>
        <w:tc>
          <w:tcPr>
            <w:tcW w:w="2412" w:type="dxa"/>
            <w:vAlign w:val="center"/>
          </w:tcPr>
          <w:p w14:paraId="55D161A2" w14:textId="77777777" w:rsidR="007F2C00" w:rsidRPr="002F3004" w:rsidRDefault="00000000" w:rsidP="00C17A09">
            <w:pPr>
              <w:spacing w:after="0" w:line="240" w:lineRule="auto"/>
              <w:jc w:val="both"/>
              <w:rPr>
                <w:rFonts w:cs="Times New Roman"/>
                <w:szCs w:val="24"/>
              </w:rPr>
            </w:pPr>
            <w:r w:rsidRPr="002F3004">
              <w:rPr>
                <w:rFonts w:cs="Times New Roman"/>
                <w:szCs w:val="24"/>
              </w:rPr>
              <w:t>Application discomfort</w:t>
            </w:r>
          </w:p>
        </w:tc>
        <w:tc>
          <w:tcPr>
            <w:tcW w:w="2412" w:type="dxa"/>
            <w:vAlign w:val="center"/>
          </w:tcPr>
          <w:p w14:paraId="5C9B5513" w14:textId="77777777" w:rsidR="007F2C00" w:rsidRPr="002F3004" w:rsidRDefault="00000000" w:rsidP="00C17A09">
            <w:pPr>
              <w:spacing w:after="0" w:line="240" w:lineRule="auto"/>
              <w:jc w:val="both"/>
              <w:rPr>
                <w:rFonts w:cs="Times New Roman"/>
                <w:szCs w:val="24"/>
              </w:rPr>
            </w:pPr>
            <w:r w:rsidRPr="002F3004">
              <w:rPr>
                <w:rFonts w:cs="Times New Roman"/>
                <w:szCs w:val="24"/>
              </w:rPr>
              <w:t>Reduced adherence to treatment</w:t>
            </w:r>
          </w:p>
        </w:tc>
        <w:tc>
          <w:tcPr>
            <w:tcW w:w="2412" w:type="dxa"/>
            <w:vAlign w:val="center"/>
          </w:tcPr>
          <w:p w14:paraId="4E1B8FD8" w14:textId="77777777" w:rsidR="007F2C00" w:rsidRPr="002F3004" w:rsidRDefault="00000000" w:rsidP="00C17A09">
            <w:pPr>
              <w:spacing w:after="0" w:line="240" w:lineRule="auto"/>
              <w:jc w:val="both"/>
              <w:rPr>
                <w:rFonts w:cs="Times New Roman"/>
                <w:szCs w:val="24"/>
              </w:rPr>
            </w:pPr>
            <w:r w:rsidRPr="002F3004">
              <w:rPr>
                <w:rFonts w:cs="Times New Roman"/>
                <w:szCs w:val="24"/>
              </w:rPr>
              <w:t>Light, non-greasy and easily spreadable dosage form</w:t>
            </w:r>
          </w:p>
        </w:tc>
        <w:tc>
          <w:tcPr>
            <w:tcW w:w="2412" w:type="dxa"/>
            <w:vAlign w:val="center"/>
          </w:tcPr>
          <w:p w14:paraId="126A386C" w14:textId="77777777" w:rsidR="007F2C00" w:rsidRPr="002F3004" w:rsidRDefault="00000000" w:rsidP="00C17A09">
            <w:pPr>
              <w:spacing w:after="0" w:line="240" w:lineRule="auto"/>
              <w:jc w:val="both"/>
              <w:rPr>
                <w:rFonts w:cs="Times New Roman"/>
                <w:szCs w:val="24"/>
              </w:rPr>
            </w:pPr>
            <w:r w:rsidRPr="002F3004">
              <w:rPr>
                <w:rFonts w:cs="Times New Roman"/>
                <w:szCs w:val="24"/>
              </w:rPr>
              <w:t>Spreadability, sensory/handling assessment, user-oriented attributes</w:t>
            </w:r>
          </w:p>
        </w:tc>
      </w:tr>
    </w:tbl>
    <w:p w14:paraId="4B5D9FA0"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1.2 Wound-Healing Process</w:t>
      </w:r>
    </w:p>
    <w:p w14:paraId="61C1ACC4" w14:textId="77777777" w:rsidR="007F2C00" w:rsidRPr="002F3004" w:rsidRDefault="00000000" w:rsidP="00C17A09">
      <w:pPr>
        <w:jc w:val="both"/>
        <w:rPr>
          <w:rFonts w:cs="Times New Roman"/>
          <w:szCs w:val="24"/>
        </w:rPr>
      </w:pPr>
      <w:r w:rsidRPr="002F3004">
        <w:rPr>
          <w:rFonts w:cs="Times New Roman"/>
          <w:szCs w:val="24"/>
        </w:rPr>
        <w:t>The classical description of wound healing divides repair into haemostasis, inflammation, proliferation and remodelling. These labels are useful organizational concepts, but the phases overlap substantially. Platelets remain active while inflammatory cells are recruited; macrophage phenotype changes as the wound progresses; fibroblasts enter the wound before inflammation has completely resolved; and extracellular-matrix remodelling begins before the wound is macroscopically closed (Broughton et al., 2006; Eming et al., 2014). A therapeutic system should therefore be understood in relation to the transitions between phases rather than as an agent assigned to a single phase.</w:t>
      </w:r>
    </w:p>
    <w:p w14:paraId="5E0DCDC4" w14:textId="77777777" w:rsidR="007F2C00" w:rsidRPr="002F3004" w:rsidRDefault="00000000" w:rsidP="00C17A09">
      <w:pPr>
        <w:pStyle w:val="Heading2"/>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1.2.1 Haemostasis</w:t>
      </w:r>
    </w:p>
    <w:p w14:paraId="529BCDFD" w14:textId="77777777" w:rsidR="007F2C00" w:rsidRPr="002F3004" w:rsidRDefault="00000000" w:rsidP="00C17A09">
      <w:pPr>
        <w:jc w:val="both"/>
        <w:rPr>
          <w:rFonts w:cs="Times New Roman"/>
          <w:szCs w:val="24"/>
        </w:rPr>
      </w:pPr>
      <w:r w:rsidRPr="002F3004">
        <w:rPr>
          <w:rFonts w:cs="Times New Roman"/>
          <w:szCs w:val="24"/>
        </w:rPr>
        <w:t>Haemostasis is the immediate response to vascular injury. Vasoconstriction reduces blood loss, while platelet adhesion and aggregation create a temporary cellular plug. Coagulation generates fibrin, which stabilizes the plug and creates a provisional matrix. Activated platelets also release mediators that recruit and influence other cell populations. Although haemostasis is rapid, its products provide the biochemical and structural starting point for subsequent inflammation and repair.</w:t>
      </w:r>
    </w:p>
    <w:p w14:paraId="3E3A516E" w14:textId="77777777" w:rsidR="007F2C00" w:rsidRPr="002F3004" w:rsidRDefault="00000000" w:rsidP="00C17A09">
      <w:pPr>
        <w:jc w:val="both"/>
        <w:rPr>
          <w:rFonts w:cs="Times New Roman"/>
          <w:szCs w:val="24"/>
        </w:rPr>
      </w:pPr>
      <w:r w:rsidRPr="002F3004">
        <w:rPr>
          <w:rFonts w:cs="Times New Roman"/>
          <w:szCs w:val="24"/>
        </w:rPr>
        <w:t>The pharmaceutical implications are twofold. First, a topical product should not mechanically disrupt early clot formation. Second, any active ingredient intended for application to an open wound should be assessed for local compatibility. A formulation designed solely around antimicrobial potency may be inappropriate if it interferes with the viability or function of cells participating in early repair.</w:t>
      </w:r>
    </w:p>
    <w:p w14:paraId="5E52BFBA" w14:textId="77777777" w:rsidR="007F2C00" w:rsidRPr="002F3004" w:rsidRDefault="00000000" w:rsidP="00C17A09">
      <w:pPr>
        <w:pStyle w:val="Heading2"/>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1.2.2 Inflammatory Phase</w:t>
      </w:r>
    </w:p>
    <w:p w14:paraId="27922973" w14:textId="77777777" w:rsidR="007F2C00" w:rsidRPr="002F3004" w:rsidRDefault="00000000" w:rsidP="00C17A09">
      <w:pPr>
        <w:jc w:val="both"/>
        <w:rPr>
          <w:rFonts w:cs="Times New Roman"/>
          <w:szCs w:val="24"/>
        </w:rPr>
      </w:pPr>
      <w:r w:rsidRPr="002F3004">
        <w:rPr>
          <w:rFonts w:cs="Times New Roman"/>
          <w:szCs w:val="24"/>
        </w:rPr>
        <w:t xml:space="preserve">The inflammatory phase begins with vascular changes and recruitment of innate immune cells. Neutrophils contribute to early microbial control and removal of damaged material. Monocytes </w:t>
      </w:r>
      <w:r w:rsidRPr="002F3004">
        <w:rPr>
          <w:rFonts w:cs="Times New Roman"/>
          <w:szCs w:val="24"/>
        </w:rPr>
        <w:lastRenderedPageBreak/>
        <w:t>differentiate into macrophages, which subsequently acquire functions associated with resolution, tissue formation and remodelling. Cytokines and chemokines coordinate these events. In a normally healing wound, inflammation is not an error to be eliminated; it is an essential stage whose magnitude and duration must be appropriately regulated.</w:t>
      </w:r>
    </w:p>
    <w:p w14:paraId="2D4CE351" w14:textId="77777777" w:rsidR="007F2C00" w:rsidRPr="002F3004" w:rsidRDefault="00000000" w:rsidP="00C17A09">
      <w:pPr>
        <w:jc w:val="both"/>
        <w:rPr>
          <w:rFonts w:cs="Times New Roman"/>
          <w:szCs w:val="24"/>
        </w:rPr>
      </w:pPr>
      <w:r w:rsidRPr="002F3004">
        <w:rPr>
          <w:rFonts w:cs="Times New Roman"/>
          <w:szCs w:val="24"/>
        </w:rPr>
        <w:t>Persistent inflammation is harmful because reactive oxygen and nitrogen species, proteases and inflammatory mediators can damage extracellular matrix and viable cells. In chronic wounds, macrophage dysfunction, altered cytokine balance and impaired resolution contribute to a self-sustaining inflammatory environment. The therapeutic rationale for antioxidant and anti-inflammatory phytochemicals therefore lies in restoring balance rather than simply suppressing the immune response (Tejada et al., 2016; Yazarlu et al., 2021).</w:t>
      </w:r>
    </w:p>
    <w:p w14:paraId="79B9594A"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1.2.3 Proliferative Phase</w:t>
      </w:r>
    </w:p>
    <w:p w14:paraId="56A354EE" w14:textId="77777777" w:rsidR="007F2C00" w:rsidRPr="002F3004" w:rsidRDefault="00000000" w:rsidP="00C17A09">
      <w:pPr>
        <w:ind w:firstLine="0"/>
        <w:jc w:val="both"/>
        <w:rPr>
          <w:rFonts w:cs="Times New Roman"/>
          <w:szCs w:val="24"/>
        </w:rPr>
      </w:pPr>
      <w:r w:rsidRPr="002F3004">
        <w:rPr>
          <w:rFonts w:cs="Times New Roman"/>
          <w:szCs w:val="24"/>
        </w:rPr>
        <w:t>The proliferative phase encompasses fibroblast activity, granulation tissue formation, angiogenesis and re-epithelialization. Fibroblasts synthesize extracellular-matrix components, while endothelial cells form new microvessels to support the metabolically active repair tissue. Keratinocytes migrate across the wound surface and later proliferate to restore epithelial coverage. Myofibroblasts contribute to wound contraction through actin-dependent force generation.</w:t>
      </w:r>
    </w:p>
    <w:p w14:paraId="52FE21C6" w14:textId="77777777" w:rsidR="007F2C00" w:rsidRPr="002F3004" w:rsidRDefault="00000000" w:rsidP="00C17A09">
      <w:pPr>
        <w:jc w:val="both"/>
        <w:rPr>
          <w:rFonts w:cs="Times New Roman"/>
          <w:szCs w:val="24"/>
        </w:rPr>
      </w:pPr>
      <w:r w:rsidRPr="002F3004">
        <w:rPr>
          <w:rFonts w:cs="Times New Roman"/>
          <w:szCs w:val="24"/>
        </w:rPr>
        <w:t>A successful topical system should therefore not be evaluated only for its antimicrobial effect. It should also create conditions compatible with cell migration, matrix deposition and epithelial restoration. Excessive irritation, dehydration or cytotoxicity could theoretically counteract the intended benefit of an otherwise pharmacologically active extract. This is one reason why safety and formulation characterization must accompany efficacy studies.</w:t>
      </w:r>
    </w:p>
    <w:p w14:paraId="7A6297AC"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 xml:space="preserve">1.2.4 </w:t>
      </w:r>
      <w:proofErr w:type="spellStart"/>
      <w:r w:rsidRPr="002F3004">
        <w:rPr>
          <w:rFonts w:ascii="Times New Roman" w:hAnsi="Times New Roman" w:cs="Times New Roman"/>
          <w:color w:val="auto"/>
          <w:sz w:val="24"/>
          <w:szCs w:val="24"/>
        </w:rPr>
        <w:t>Remodelling</w:t>
      </w:r>
      <w:proofErr w:type="spellEnd"/>
      <w:r w:rsidRPr="002F3004">
        <w:rPr>
          <w:rFonts w:ascii="Times New Roman" w:hAnsi="Times New Roman" w:cs="Times New Roman"/>
          <w:color w:val="auto"/>
          <w:sz w:val="24"/>
          <w:szCs w:val="24"/>
        </w:rPr>
        <w:t xml:space="preserve"> Phase</w:t>
      </w:r>
    </w:p>
    <w:p w14:paraId="33618D28" w14:textId="77777777" w:rsidR="007F2C00" w:rsidRPr="002F3004" w:rsidRDefault="00000000" w:rsidP="00C17A09">
      <w:pPr>
        <w:ind w:firstLine="0"/>
        <w:jc w:val="both"/>
        <w:rPr>
          <w:rFonts w:cs="Times New Roman"/>
          <w:szCs w:val="24"/>
        </w:rPr>
      </w:pPr>
      <w:proofErr w:type="spellStart"/>
      <w:r w:rsidRPr="002F3004">
        <w:rPr>
          <w:rFonts w:cs="Times New Roman"/>
          <w:szCs w:val="24"/>
        </w:rPr>
        <w:t>Remodelling</w:t>
      </w:r>
      <w:proofErr w:type="spellEnd"/>
      <w:r w:rsidRPr="002F3004">
        <w:rPr>
          <w:rFonts w:cs="Times New Roman"/>
          <w:szCs w:val="24"/>
        </w:rPr>
        <w:t xml:space="preserve"> is the longest phase of repair. Newly deposited collagen and other extracellular-matrix components are reorganized, degraded and replaced, resulting in a scar that progressively increases in tensile strength. Matrix metalloproteinases and their inhibitors regulate this turnover. The final tissue does not usually regain the exact architecture of uninjured skin, but appropriate remodelling improves mechanical integrity and functional quality.</w:t>
      </w:r>
    </w:p>
    <w:p w14:paraId="4071121F" w14:textId="77777777" w:rsidR="007F2C00" w:rsidRPr="002F3004" w:rsidRDefault="00000000" w:rsidP="00C17A09">
      <w:pPr>
        <w:jc w:val="both"/>
        <w:rPr>
          <w:rFonts w:cs="Times New Roman"/>
          <w:szCs w:val="24"/>
        </w:rPr>
      </w:pPr>
      <w:r w:rsidRPr="002F3004">
        <w:rPr>
          <w:rFonts w:cs="Times New Roman"/>
          <w:szCs w:val="24"/>
        </w:rPr>
        <w:t xml:space="preserve">From a research standpoint, remodelling illustrates why short-term wound closure is an incomplete endpoint. A formulation that accelerates early contraction but promotes excessive fibrosis would not necessarily represent optimal wound healing. Histopathological assessment of collagen </w:t>
      </w:r>
      <w:r w:rsidRPr="002F3004">
        <w:rPr>
          <w:rFonts w:cs="Times New Roman"/>
          <w:szCs w:val="24"/>
        </w:rPr>
        <w:lastRenderedPageBreak/>
        <w:t>organization, epithelial continuity, inflammatory-cell persistence and vascular features can provide information that gross wound-area measurements cannot capture.</w:t>
      </w:r>
    </w:p>
    <w:p w14:paraId="4CD0F9E4" w14:textId="6CB8FD7A" w:rsidR="007F2C00" w:rsidRPr="002F3004" w:rsidRDefault="0082582D" w:rsidP="00C17A09">
      <w:pPr>
        <w:jc w:val="both"/>
        <w:rPr>
          <w:rFonts w:cs="Times New Roman"/>
          <w:szCs w:val="24"/>
        </w:rPr>
      </w:pPr>
      <w:r w:rsidRPr="002F3004">
        <w:rPr>
          <w:rFonts w:cs="Times New Roman"/>
          <w:noProof/>
          <w:szCs w:val="24"/>
        </w:rPr>
        <w:drawing>
          <wp:inline distT="0" distB="0" distL="0" distR="0" wp14:anchorId="1C2F5189" wp14:editId="38920851">
            <wp:extent cx="5859780" cy="3383280"/>
            <wp:effectExtent l="0" t="0" r="7620" b="7620"/>
            <wp:docPr id="595564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9780" cy="3383280"/>
                    </a:xfrm>
                    <a:prstGeom prst="rect">
                      <a:avLst/>
                    </a:prstGeom>
                    <a:noFill/>
                  </pic:spPr>
                </pic:pic>
              </a:graphicData>
            </a:graphic>
          </wp:inline>
        </w:drawing>
      </w:r>
    </w:p>
    <w:p w14:paraId="080F7660" w14:textId="77777777" w:rsidR="007F2C00" w:rsidRPr="002F3004" w:rsidRDefault="00000000" w:rsidP="00C17A09">
      <w:pPr>
        <w:pStyle w:val="CaptionCustom"/>
        <w:jc w:val="both"/>
        <w:rPr>
          <w:rFonts w:cs="Times New Roman"/>
          <w:sz w:val="24"/>
          <w:szCs w:val="24"/>
        </w:rPr>
      </w:pPr>
      <w:r w:rsidRPr="002F3004">
        <w:rPr>
          <w:rFonts w:cs="Times New Roman"/>
          <w:sz w:val="24"/>
          <w:szCs w:val="24"/>
        </w:rPr>
        <w:t>Figure 1. Integrated temporal model of cutaneous wound healing. The phases overlap and influence one another; the therapeutic objective is appropriate progression through the sequence.</w:t>
      </w:r>
    </w:p>
    <w:p w14:paraId="543CEC7B"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1.3 Factors Affecting Wound Healing</w:t>
      </w:r>
    </w:p>
    <w:p w14:paraId="40491FF2" w14:textId="77777777" w:rsidR="007F2C00" w:rsidRPr="002F3004" w:rsidRDefault="00000000" w:rsidP="00C17A09">
      <w:pPr>
        <w:ind w:firstLine="0"/>
        <w:jc w:val="both"/>
        <w:rPr>
          <w:rFonts w:cs="Times New Roman"/>
          <w:szCs w:val="24"/>
        </w:rPr>
      </w:pPr>
      <w:r w:rsidRPr="002F3004">
        <w:rPr>
          <w:rFonts w:cs="Times New Roman"/>
          <w:szCs w:val="24"/>
        </w:rPr>
        <w:t>Wound repair is influenced by local and systemic variables. Local oxygenation is critical because proliferating cells, collagen synthesis and host defence require adequate oxygen delivery. Poor arterial inflow, venous congestion or microvascular dysfunction can therefore impair healing. Infection increases metabolic demand while simultaneously damaging tissue and maintaining inflammation. Repeated mechanical stress can reopen newly formed tissue, and excessive exudate may alter the local environment and macerate surrounding skin.</w:t>
      </w:r>
    </w:p>
    <w:p w14:paraId="505B6B05" w14:textId="77777777" w:rsidR="007F2C00" w:rsidRPr="002F3004" w:rsidRDefault="00000000" w:rsidP="00C17A09">
      <w:pPr>
        <w:jc w:val="both"/>
        <w:rPr>
          <w:rFonts w:cs="Times New Roman"/>
          <w:szCs w:val="24"/>
        </w:rPr>
      </w:pPr>
      <w:r w:rsidRPr="002F3004">
        <w:rPr>
          <w:rFonts w:cs="Times New Roman"/>
          <w:szCs w:val="24"/>
        </w:rPr>
        <w:t>Systemic factors include age, diabetes, nutritional status, smoking, alcohol exposure, medications, endocrine disturbances and immune dysfunction. Diabetes is particularly important because hyperglycaemia is associated with vascular abnormalities, impaired leukocyte function, oxidative stress and altered extracellular-matrix turnover. Nutrient deficiencies can compromise collagen synthesis and cellular proliferation. Ageing is associated with changes in immune response, angiogenesis, fibroblast function and matrix remodelling (Guo &amp; DiPietro, 2010).</w:t>
      </w:r>
    </w:p>
    <w:p w14:paraId="5E256C11" w14:textId="77777777" w:rsidR="007F2C00" w:rsidRPr="002F3004" w:rsidRDefault="00000000" w:rsidP="00C17A09">
      <w:pPr>
        <w:jc w:val="both"/>
        <w:rPr>
          <w:rFonts w:cs="Times New Roman"/>
          <w:szCs w:val="24"/>
        </w:rPr>
      </w:pPr>
      <w:r w:rsidRPr="002F3004">
        <w:rPr>
          <w:rFonts w:cs="Times New Roman"/>
          <w:szCs w:val="24"/>
        </w:rPr>
        <w:lastRenderedPageBreak/>
        <w:t>These variables have direct consequences for experimental design. A wound-healing study should define the model, animal characteristics, wound type, treatment schedule, endpoint selection and statistical approach in sufficient detail to permit interpretation. A botanical formulation cannot be considered broadly effective from one model without acknowledging the biological conditions under which efficacy was observed.</w:t>
      </w:r>
    </w:p>
    <w:p w14:paraId="5CAFAC6E"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1.4 Conventional Wound-Healing Therapy</w:t>
      </w:r>
    </w:p>
    <w:p w14:paraId="5A76D326" w14:textId="77777777" w:rsidR="007F2C00" w:rsidRPr="002F3004" w:rsidRDefault="00000000" w:rsidP="00C17A09">
      <w:pPr>
        <w:ind w:firstLine="0"/>
        <w:jc w:val="both"/>
        <w:rPr>
          <w:rFonts w:cs="Times New Roman"/>
          <w:szCs w:val="24"/>
        </w:rPr>
      </w:pPr>
      <w:r w:rsidRPr="002F3004">
        <w:rPr>
          <w:rFonts w:cs="Times New Roman"/>
          <w:szCs w:val="24"/>
        </w:rPr>
        <w:t>Conventional wound management is based on a combination of wound cleansing, debridement where indicated, infection control, moisture management, protection from mechanical injury and correction of underlying systemic causes. Pharmacological agents may include antiseptics, antimicrobials, anti-inflammatory agents, growth factors and other specialized therapies. Dressings range from simple gauze to hydrocolloids, alginates, hydrogels, films, foams and advanced biomaterial systems (Boateng et al., 2008; Saghazadeh et al., 2018).</w:t>
      </w:r>
    </w:p>
    <w:p w14:paraId="1B8F34D2" w14:textId="77777777" w:rsidR="007F2C00" w:rsidRPr="002F3004" w:rsidRDefault="00000000" w:rsidP="00C17A09">
      <w:pPr>
        <w:ind w:firstLine="0"/>
        <w:jc w:val="both"/>
        <w:rPr>
          <w:rFonts w:cs="Times New Roman"/>
          <w:szCs w:val="24"/>
        </w:rPr>
      </w:pPr>
      <w:r w:rsidRPr="002F3004">
        <w:rPr>
          <w:rFonts w:cs="Times New Roman"/>
          <w:szCs w:val="24"/>
        </w:rPr>
        <w:t>Topical dosage forms such as ointments, creams and gels are convenient and familiar, but they also have limitations. Ointments may be greasy and difficult to remove; creams can vary in their retention and may require repeated application; and gels may dry rapidly or provide insufficient protection depending on composition. Dressings can improve residence but may adhere to fragile tissue or require mechanical manipulation during replacement. These limitations do not make conventional systems unsuitable; rather, they demonstrate why dosage-form selection should be matched to the wound and therapeutic objective.</w:t>
      </w:r>
    </w:p>
    <w:p w14:paraId="5FEA11DC" w14:textId="77777777" w:rsidR="007F2C00" w:rsidRPr="002F3004" w:rsidRDefault="00000000" w:rsidP="00C17A09">
      <w:pPr>
        <w:jc w:val="both"/>
        <w:rPr>
          <w:rFonts w:cs="Times New Roman"/>
          <w:szCs w:val="24"/>
        </w:rPr>
      </w:pPr>
      <w:r w:rsidRPr="002F3004">
        <w:rPr>
          <w:rFonts w:cs="Times New Roman"/>
          <w:szCs w:val="24"/>
        </w:rPr>
        <w:t>The ideal wound delivery system would provide adequate coverage, controlled local exposure, acceptable moisture balance, physical stability, chemical stability and minimal discomfort. It should also be manufacturable, reproducible and capable of being evaluated by meaningful quality attributes. These requirements create an opportunity for alternative topical platforms such as pharmaceutical foams.</w:t>
      </w:r>
    </w:p>
    <w:p w14:paraId="31BC2041"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1.5 Herbal Medicines in Wound Management</w:t>
      </w:r>
    </w:p>
    <w:p w14:paraId="192E36B5" w14:textId="77777777" w:rsidR="007F2C00" w:rsidRPr="002F3004" w:rsidRDefault="00000000" w:rsidP="00C17A09">
      <w:pPr>
        <w:ind w:firstLine="0"/>
        <w:jc w:val="both"/>
        <w:rPr>
          <w:rFonts w:cs="Times New Roman"/>
          <w:szCs w:val="24"/>
        </w:rPr>
      </w:pPr>
      <w:r w:rsidRPr="002F3004">
        <w:rPr>
          <w:rFonts w:cs="Times New Roman"/>
          <w:szCs w:val="24"/>
        </w:rPr>
        <w:t xml:space="preserve">The use of medicinal plants in wound care predates modern pharmaceutical science, and contemporary research has attempted to identify the molecular basis of many traditional preparations. Plant-derived products may contain multiple classes of compounds capable of interacting with inflammation, oxidative stress, microbial growth, angiogenesis and matrix deposition. Reviews of </w:t>
      </w:r>
      <w:r w:rsidRPr="002F3004">
        <w:rPr>
          <w:rFonts w:cs="Times New Roman"/>
          <w:szCs w:val="24"/>
        </w:rPr>
        <w:lastRenderedPageBreak/>
        <w:t>natural wound-healing agents have emphasized that these products may be biologically promising, but the evidentiary strength is heterogeneous and comparatively few preparations have progressed through rigorous clinical development (Pereira et al., 2016; Yazarlu et al., 2021).</w:t>
      </w:r>
    </w:p>
    <w:p w14:paraId="1CF5701C" w14:textId="77777777" w:rsidR="007F2C00" w:rsidRPr="002F3004" w:rsidRDefault="00000000" w:rsidP="00C17A09">
      <w:pPr>
        <w:ind w:firstLine="0"/>
        <w:jc w:val="both"/>
        <w:rPr>
          <w:rFonts w:cs="Times New Roman"/>
          <w:szCs w:val="24"/>
        </w:rPr>
      </w:pPr>
      <w:r w:rsidRPr="002F3004">
        <w:rPr>
          <w:rFonts w:cs="Times New Roman"/>
          <w:szCs w:val="24"/>
        </w:rPr>
        <w:t xml:space="preserve">The principal scientific advantage of a polycomponent botanical system is not simply that it contains more constituents. A complex extract may provide complementary activities at different molecular targets, potentially reducing the dependence on a single mechanism. The corresponding disadvantage is analytical complexity. Batch-to-batch variability, seasonal changes, geographic origin, extraction conditions and degradation can alter chemical composition. Standardization around defined marker compounds </w:t>
      </w:r>
      <w:proofErr w:type="gramStart"/>
      <w:r w:rsidRPr="002F3004">
        <w:rPr>
          <w:rFonts w:cs="Times New Roman"/>
          <w:szCs w:val="24"/>
        </w:rPr>
        <w:t>is</w:t>
      </w:r>
      <w:proofErr w:type="gramEnd"/>
      <w:r w:rsidRPr="002F3004">
        <w:rPr>
          <w:rFonts w:cs="Times New Roman"/>
          <w:szCs w:val="24"/>
        </w:rPr>
        <w:t xml:space="preserve"> therefore essential when a botanical product is intended for doctoral-level pharmaceutical research.</w:t>
      </w:r>
    </w:p>
    <w:p w14:paraId="0EDA980C" w14:textId="77777777" w:rsidR="007F2C00" w:rsidRPr="002F3004" w:rsidRDefault="00000000" w:rsidP="00C17A09">
      <w:pPr>
        <w:ind w:firstLine="0"/>
        <w:jc w:val="both"/>
        <w:rPr>
          <w:rFonts w:cs="Times New Roman"/>
          <w:szCs w:val="24"/>
        </w:rPr>
      </w:pPr>
      <w:r w:rsidRPr="002F3004">
        <w:rPr>
          <w:rFonts w:cs="Times New Roman"/>
          <w:szCs w:val="24"/>
        </w:rPr>
        <w:t>The proposed turmeric–guggul combination follows this evidence-based approach. Turmeric is standardized through curcuminoid-related markers, while guggul can be standardized using guggulsterone E and Z and other appropriate analytical characteristics. The purpose is not to claim that these markers represent every active component, but to establish measurable chemical identity and consistency that can be related to formulation performance and biological outcomes.</w:t>
      </w:r>
    </w:p>
    <w:p w14:paraId="7307CED6"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1.6 Turmeric (Curcuma longa)</w:t>
      </w:r>
    </w:p>
    <w:p w14:paraId="0D96D6B7"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 xml:space="preserve">1.6.1 Botanical and </w:t>
      </w:r>
      <w:proofErr w:type="spellStart"/>
      <w:r w:rsidRPr="002F3004">
        <w:rPr>
          <w:rFonts w:ascii="Times New Roman" w:hAnsi="Times New Roman" w:cs="Times New Roman"/>
          <w:color w:val="auto"/>
          <w:sz w:val="24"/>
          <w:szCs w:val="24"/>
        </w:rPr>
        <w:t>Pharmacognostic</w:t>
      </w:r>
      <w:proofErr w:type="spellEnd"/>
      <w:r w:rsidRPr="002F3004">
        <w:rPr>
          <w:rFonts w:ascii="Times New Roman" w:hAnsi="Times New Roman" w:cs="Times New Roman"/>
          <w:color w:val="auto"/>
          <w:sz w:val="24"/>
          <w:szCs w:val="24"/>
        </w:rPr>
        <w:t xml:space="preserve"> Profile</w:t>
      </w:r>
    </w:p>
    <w:p w14:paraId="6EB7DE67" w14:textId="77777777" w:rsidR="007F2C00" w:rsidRPr="002F3004" w:rsidRDefault="00000000" w:rsidP="00C17A09">
      <w:pPr>
        <w:ind w:firstLine="0"/>
        <w:jc w:val="both"/>
        <w:rPr>
          <w:rFonts w:cs="Times New Roman"/>
          <w:szCs w:val="24"/>
        </w:rPr>
      </w:pPr>
      <w:r w:rsidRPr="002F3004">
        <w:rPr>
          <w:rFonts w:cs="Times New Roman"/>
          <w:szCs w:val="24"/>
        </w:rPr>
        <w:t>Turmeric, botanically identified as Curcuma longa L., is a rhizomatous member of the Zingiberaceae family and is widely cultivated in South and Southeast Asia. The rhizome is the principal medicinal and culinary material. In pharmacognostic terms, quality is influenced by cultivar, geographic origin, maturity, post-harvest processing and storage. These factors can affect the relative abundance of curcuminoids and volatile constituents and consequently influence extract performance.</w:t>
      </w:r>
    </w:p>
    <w:p w14:paraId="1EDC10E7" w14:textId="77777777" w:rsidR="007F2C00" w:rsidRPr="002F3004" w:rsidRDefault="00000000" w:rsidP="00C17A09">
      <w:pPr>
        <w:jc w:val="both"/>
        <w:rPr>
          <w:rFonts w:cs="Times New Roman"/>
          <w:szCs w:val="24"/>
        </w:rPr>
      </w:pPr>
      <w:r w:rsidRPr="002F3004">
        <w:rPr>
          <w:rFonts w:cs="Times New Roman"/>
          <w:szCs w:val="24"/>
        </w:rPr>
        <w:t>For a pharmaceutical research program, botanical authentication should precede extraction. Macroscopic and microscopic examination, voucher documentation and appropriate analytical confirmation provide traceability. The plant material should be cleaned, dried under controlled conditions, powdered consistently and protected from excessive heat, light and moisture. These apparently routine steps are scientifically important because degradation or uncontrolled processing can confound later comparisons between batches.</w:t>
      </w:r>
    </w:p>
    <w:p w14:paraId="7B812E94"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lastRenderedPageBreak/>
        <w:t>1.6.2 Traditional Medicinal Relevance</w:t>
      </w:r>
    </w:p>
    <w:p w14:paraId="25E4DA9B" w14:textId="77777777" w:rsidR="007F2C00" w:rsidRPr="002F3004" w:rsidRDefault="00000000" w:rsidP="00C17A09">
      <w:pPr>
        <w:ind w:firstLine="0"/>
        <w:jc w:val="both"/>
        <w:rPr>
          <w:rFonts w:cs="Times New Roman"/>
          <w:szCs w:val="24"/>
        </w:rPr>
      </w:pPr>
      <w:r w:rsidRPr="002F3004">
        <w:rPr>
          <w:rFonts w:cs="Times New Roman"/>
          <w:szCs w:val="24"/>
        </w:rPr>
        <w:t>Turmeric has a long history of use in traditional systems of medicine for inflammatory conditions, digestive disorders, skin complaints and other ailments. Traditional use does not constitute proof of efficacy, but it provides a rational starting point for pharmacological investigation. The modern literature has concentrated heavily on curcuminoids, particularly curcumin, while recognizing that turmeric extracts contain additional compounds that may contribute to biological activity (Hewlings &amp; Kalman, 2017).</w:t>
      </w:r>
    </w:p>
    <w:p w14:paraId="57A32314" w14:textId="77777777" w:rsidR="007F2C00" w:rsidRPr="002F3004" w:rsidRDefault="00000000" w:rsidP="00C17A09">
      <w:pPr>
        <w:ind w:firstLine="0"/>
        <w:jc w:val="both"/>
        <w:rPr>
          <w:rFonts w:cs="Times New Roman"/>
          <w:szCs w:val="24"/>
        </w:rPr>
      </w:pPr>
      <w:r w:rsidRPr="002F3004">
        <w:rPr>
          <w:rFonts w:cs="Times New Roman"/>
          <w:szCs w:val="24"/>
        </w:rPr>
        <w:t>The distinction between turmeric extract and isolated curcumin is particularly relevant to the present thesis. A standardized extract may retain multiple constituents and may behave differently from pure curcumin with respect to solubility, stability, protein binding and formulation compatibility. Therefore, evidence generated with purified curcumin should inform the rationale but should not be presented as direct proof of the performance of a crude or standardized turmeric extract.</w:t>
      </w:r>
    </w:p>
    <w:p w14:paraId="2885AE01"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1.6.3 Phytochemical Constituents</w:t>
      </w:r>
    </w:p>
    <w:p w14:paraId="2B7119E2" w14:textId="77777777" w:rsidR="007F2C00" w:rsidRPr="002F3004" w:rsidRDefault="00000000" w:rsidP="00C17A09">
      <w:pPr>
        <w:ind w:firstLine="0"/>
        <w:jc w:val="both"/>
        <w:rPr>
          <w:rFonts w:cs="Times New Roman"/>
          <w:szCs w:val="24"/>
        </w:rPr>
      </w:pPr>
      <w:r w:rsidRPr="002F3004">
        <w:rPr>
          <w:rFonts w:cs="Times New Roman"/>
          <w:szCs w:val="24"/>
        </w:rPr>
        <w:t>The principal non-volatile markers of turmeric are the curcuminoids, including curcumin, demethoxycurcumin and bisdemethoxycurcumin. Turmeric also contains volatile oils and other secondary metabolites. Advanced chromatographic and mass-spectrometric work has demonstrated that the chemical diversity of turmeric is greater than the three major curcuminoids alone, with numerous related curcuminoid structures detectable under sensitive analytical conditions (Jia et al., 2017).</w:t>
      </w:r>
    </w:p>
    <w:p w14:paraId="2CFAAB73" w14:textId="77777777" w:rsidR="007F2C00" w:rsidRPr="002F3004" w:rsidRDefault="00000000" w:rsidP="00C17A09">
      <w:pPr>
        <w:ind w:firstLine="0"/>
        <w:jc w:val="both"/>
        <w:rPr>
          <w:rFonts w:cs="Times New Roman"/>
          <w:szCs w:val="24"/>
        </w:rPr>
      </w:pPr>
      <w:r w:rsidRPr="002F3004">
        <w:rPr>
          <w:rFonts w:cs="Times New Roman"/>
          <w:szCs w:val="24"/>
        </w:rPr>
        <w:t>For the proposed formulation, analytical characterization should therefore distinguish between a marker-based quality-control strategy and exhaustive chemical profiling. HPLC or HPTLC can provide quantitative information on selected markers, while FTIR can assist in fingerprinting and compatibility assessment. Where appropriate, LC-MS/MS may strengthen identity confirmation. This combination of targeted quantification and broader fingerprinting is more defensible than relying on colour or total extract yield alone.</w:t>
      </w:r>
    </w:p>
    <w:p w14:paraId="27902508"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1.6.4 Curcuminoids and Curcumin</w:t>
      </w:r>
    </w:p>
    <w:p w14:paraId="590CA820" w14:textId="77777777" w:rsidR="001268D0" w:rsidRPr="002F3004" w:rsidRDefault="00000000" w:rsidP="00C17A09">
      <w:pPr>
        <w:ind w:firstLine="0"/>
        <w:jc w:val="both"/>
        <w:rPr>
          <w:rFonts w:cs="Times New Roman"/>
          <w:szCs w:val="24"/>
        </w:rPr>
      </w:pPr>
      <w:r w:rsidRPr="002F3004">
        <w:rPr>
          <w:rFonts w:cs="Times New Roman"/>
          <w:szCs w:val="24"/>
        </w:rPr>
        <w:t xml:space="preserve">Curcumin is a diarylheptanoid with phenolic groups and a conjugated structure that contributes to its characteristic colour and redox behaviour. It has been investigated extensively because it can modulate several signalling pathways associated with inflammation and oxidative stress. The literature describes effects involving NF-κB, cyclooxygenase, cytokine production and antioxidant </w:t>
      </w:r>
      <w:r w:rsidRPr="002F3004">
        <w:rPr>
          <w:rFonts w:cs="Times New Roman"/>
          <w:szCs w:val="24"/>
        </w:rPr>
        <w:lastRenderedPageBreak/>
        <w:t xml:space="preserve">response pathways, although the magnitude and relevance of individual mechanisms vary with experimental system and concentration (Akbik et al., 2014; </w:t>
      </w:r>
      <w:proofErr w:type="spellStart"/>
      <w:r w:rsidRPr="002F3004">
        <w:rPr>
          <w:rFonts w:cs="Times New Roman"/>
          <w:szCs w:val="24"/>
        </w:rPr>
        <w:t>Hewlings</w:t>
      </w:r>
      <w:proofErr w:type="spellEnd"/>
      <w:r w:rsidRPr="002F3004">
        <w:rPr>
          <w:rFonts w:cs="Times New Roman"/>
          <w:szCs w:val="24"/>
        </w:rPr>
        <w:t xml:space="preserve"> &amp; Kalman, 2017).</w:t>
      </w:r>
    </w:p>
    <w:p w14:paraId="1B9279AC" w14:textId="4E2E15F1" w:rsidR="007F2C00" w:rsidRPr="002F3004" w:rsidRDefault="00000000" w:rsidP="00C17A09">
      <w:pPr>
        <w:ind w:firstLine="0"/>
        <w:jc w:val="both"/>
        <w:rPr>
          <w:rFonts w:cs="Times New Roman"/>
          <w:szCs w:val="24"/>
        </w:rPr>
      </w:pPr>
      <w:r w:rsidRPr="002F3004">
        <w:rPr>
          <w:rFonts w:cs="Times New Roman"/>
          <w:szCs w:val="24"/>
        </w:rPr>
        <w:t>Curcumin's physicochemical limitations are equally important. It has low aqueous solubility and is chemically unstable under some environmental conditions, including conditions relevant to formulation and storage. Its poor bioavailability is particularly pronounced after oral administration because of limited absorption and rapid metabolism. Although topical delivery avoids first-pass metabolism, the intrinsic solubility and stability problems remain relevant at the skin or wound interface (Lao et al., 2006; Sun et al., 2018).</w:t>
      </w:r>
    </w:p>
    <w:p w14:paraId="5D528882" w14:textId="77777777" w:rsidR="007F2C00" w:rsidRPr="002F3004" w:rsidRDefault="00000000" w:rsidP="00C17A09">
      <w:pPr>
        <w:ind w:firstLine="0"/>
        <w:jc w:val="both"/>
        <w:rPr>
          <w:rFonts w:cs="Times New Roman"/>
          <w:szCs w:val="24"/>
        </w:rPr>
      </w:pPr>
      <w:r w:rsidRPr="002F3004">
        <w:rPr>
          <w:rFonts w:cs="Times New Roman"/>
          <w:szCs w:val="24"/>
        </w:rPr>
        <w:t>These limitations justify formulation research rather than simply increasing the dose. Strategies reported in the literature include lipid systems, nanoparticles, micelles, phospholipid complexes, hydrogels and other carriers designed to improve dispersion, stability and local availability. The present work proposes a different platform: a non-propellant foam in which formulation composition is optimized to balance chemical stability, spreadability, foam structure and delivery performance (Jain et al., 2020; Chaurasia et al., 2019).</w:t>
      </w:r>
    </w:p>
    <w:p w14:paraId="424BD8F0"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1.6.5 Antimicrobial Activity of Turmeric</w:t>
      </w:r>
    </w:p>
    <w:p w14:paraId="72CE56BC" w14:textId="77777777" w:rsidR="007F2C00" w:rsidRPr="002F3004" w:rsidRDefault="00000000" w:rsidP="00C17A09">
      <w:pPr>
        <w:ind w:firstLine="0"/>
        <w:jc w:val="both"/>
        <w:rPr>
          <w:rFonts w:cs="Times New Roman"/>
          <w:szCs w:val="24"/>
        </w:rPr>
      </w:pPr>
      <w:r w:rsidRPr="002F3004">
        <w:rPr>
          <w:rFonts w:cs="Times New Roman"/>
          <w:szCs w:val="24"/>
        </w:rPr>
        <w:t>Curcumin and turmeric-derived preparations have been evaluated against a range of microorganisms. Proposed mechanisms include alteration of membrane function, modulation of oxidative processes, interference with signalling and effects on biofilm-associated organisms. The evidence is particularly relevant to wound care because biofilm formation may sustain local inflammation and delay healing. However, the antimicrobial effect is strongly dependent on concentration, formulation and organism, and therefore should be verified using the final formulation rather than inferred from literature on purified curcumin (Vaughn et al., 2017).</w:t>
      </w:r>
    </w:p>
    <w:p w14:paraId="70E26B8C" w14:textId="77777777" w:rsidR="007F2C00" w:rsidRPr="002F3004" w:rsidRDefault="00000000" w:rsidP="00C17A09">
      <w:pPr>
        <w:ind w:firstLine="0"/>
        <w:jc w:val="both"/>
        <w:rPr>
          <w:rFonts w:cs="Times New Roman"/>
          <w:szCs w:val="24"/>
        </w:rPr>
      </w:pPr>
      <w:r w:rsidRPr="002F3004">
        <w:rPr>
          <w:rFonts w:cs="Times New Roman"/>
          <w:szCs w:val="24"/>
        </w:rPr>
        <w:t>A doctoral formulation study should distinguish between antimicrobial activity and antiseptic safety. An extract that produces strong inhibition in agar may still require high local concentrations that are not compatible with viable tissue. Accordingly, antimicrobial assays should be interpreted alongside physicochemical characterization, skin-irritation testing and, where included in the protocol, cytocompatibility data.</w:t>
      </w:r>
    </w:p>
    <w:p w14:paraId="3944C070"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1.6.6 Antioxidant and Anti-Inflammatory Activity</w:t>
      </w:r>
    </w:p>
    <w:p w14:paraId="1D9755CB" w14:textId="77777777" w:rsidR="007F2C00" w:rsidRPr="002F3004" w:rsidRDefault="00000000" w:rsidP="00C17A09">
      <w:pPr>
        <w:ind w:firstLine="0"/>
        <w:jc w:val="both"/>
        <w:rPr>
          <w:rFonts w:cs="Times New Roman"/>
          <w:szCs w:val="24"/>
        </w:rPr>
      </w:pPr>
      <w:r w:rsidRPr="002F3004">
        <w:rPr>
          <w:rFonts w:cs="Times New Roman"/>
          <w:szCs w:val="24"/>
        </w:rPr>
        <w:t xml:space="preserve">Oxidative signalling is physiological during wound repair, but excessive reactive oxygen species can damage cellular components and extracellular matrix. Curcumin has been investigated as an </w:t>
      </w:r>
      <w:r w:rsidRPr="002F3004">
        <w:rPr>
          <w:rFonts w:cs="Times New Roman"/>
          <w:szCs w:val="24"/>
        </w:rPr>
        <w:lastRenderedPageBreak/>
        <w:t>antioxidant both through direct radical-scavenging behaviour and through modulation of endogenous antioxidant responses. Experimental work has also examined its influence on inflammatory mediators and transcriptional pathways (Tejada et al., 2016; Hewlings &amp; Kalman, 2017).</w:t>
      </w:r>
    </w:p>
    <w:p w14:paraId="51C2FCB3" w14:textId="77777777" w:rsidR="007F2C00" w:rsidRPr="002F3004" w:rsidRDefault="00000000" w:rsidP="00C17A09">
      <w:pPr>
        <w:ind w:firstLine="0"/>
        <w:jc w:val="both"/>
        <w:rPr>
          <w:rFonts w:cs="Times New Roman"/>
          <w:szCs w:val="24"/>
        </w:rPr>
      </w:pPr>
      <w:r w:rsidRPr="002F3004">
        <w:rPr>
          <w:rFonts w:cs="Times New Roman"/>
          <w:szCs w:val="24"/>
        </w:rPr>
        <w:t>The therapeutic objective should not be framed as eliminating all reactive oxygen species or suppressing all inflammation. Both processes are necessary for host defence and tissue repair. A more appropriate hypothesis is that a standardized turmeric preparation may help reduce excessive oxidative and inflammatory burden, thereby permitting more orderly progression toward proliferation and remodelling. This distinction is important when interpreting antioxidant assays, which are chemical tests and do not by themselves establish biological efficacy.</w:t>
      </w:r>
    </w:p>
    <w:p w14:paraId="40654275"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1.6.7 Wound-Healing Activity</w:t>
      </w:r>
    </w:p>
    <w:p w14:paraId="07B35DC5" w14:textId="77777777" w:rsidR="007F2C00" w:rsidRPr="002F3004" w:rsidRDefault="00000000" w:rsidP="00C17A09">
      <w:pPr>
        <w:ind w:firstLine="0"/>
        <w:jc w:val="both"/>
        <w:rPr>
          <w:rFonts w:cs="Times New Roman"/>
          <w:szCs w:val="24"/>
        </w:rPr>
      </w:pPr>
      <w:r w:rsidRPr="002F3004">
        <w:rPr>
          <w:rFonts w:cs="Times New Roman"/>
          <w:szCs w:val="24"/>
        </w:rPr>
        <w:t>Curcumin has demonstrated wound-related effects in several preclinical models, including modulation of inflammation, oxidative damage, granulation tissue and collagen-related processes. Reviews have concluded that the evidence is promising but remains largely preclinical, with substantial variation in dose, route and formulation (Akbik et al., 2014; Tejada et al., 2016). More recent delivery research reinforces the principle that formulation can determine whether the pharmacological potential of curcumin is translated into useful local exposure (Lao et al., 2006; Chaurasia et al., 2019).</w:t>
      </w:r>
    </w:p>
    <w:p w14:paraId="07210B30" w14:textId="77777777" w:rsidR="007F2C00" w:rsidRPr="002F3004" w:rsidRDefault="00000000" w:rsidP="00C17A09">
      <w:pPr>
        <w:jc w:val="both"/>
        <w:rPr>
          <w:rFonts w:cs="Times New Roman"/>
          <w:szCs w:val="24"/>
        </w:rPr>
      </w:pPr>
      <w:r w:rsidRPr="002F3004">
        <w:rPr>
          <w:rFonts w:cs="Times New Roman"/>
          <w:szCs w:val="24"/>
        </w:rPr>
        <w:t>The present thesis therefore treats turmeric as a formulation problem as well as a pharmacological candidate. The relevant question is not simply whether turmeric has wound-healing activity, but whether standardized turmeric can be incorporated into a stable foam that preserves marker content, spreads uniformly, provides suitable local release and demonstrates biological activity without unacceptable irritation.</w:t>
      </w:r>
    </w:p>
    <w:p w14:paraId="19B6E1E5"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1.6.8 Limitations of Turmeric/Curcumin Delivery</w:t>
      </w:r>
    </w:p>
    <w:p w14:paraId="1804BD2D" w14:textId="77777777" w:rsidR="007F2C00" w:rsidRPr="002F3004" w:rsidRDefault="00000000" w:rsidP="00C17A09">
      <w:pPr>
        <w:ind w:firstLine="0"/>
        <w:jc w:val="both"/>
        <w:rPr>
          <w:rFonts w:cs="Times New Roman"/>
          <w:szCs w:val="24"/>
        </w:rPr>
      </w:pPr>
      <w:r w:rsidRPr="002F3004">
        <w:rPr>
          <w:rFonts w:cs="Times New Roman"/>
          <w:szCs w:val="24"/>
        </w:rPr>
        <w:t>The major limitations are poor aqueous solubility, chemical instability, sensitivity to environmental conditions, variable extract composition and limited predictability when results from pure curcumin are extrapolated to whole turmeric. These factors can cause precipitation, uneven dose distribution or degradation during storage. They also create a need for analytical monitoring during formulation development.</w:t>
      </w:r>
    </w:p>
    <w:p w14:paraId="08DA168E" w14:textId="77777777" w:rsidR="007F2C00" w:rsidRPr="002F3004" w:rsidRDefault="00000000" w:rsidP="00C17A09">
      <w:pPr>
        <w:ind w:firstLine="0"/>
        <w:jc w:val="both"/>
        <w:rPr>
          <w:rFonts w:cs="Times New Roman"/>
          <w:szCs w:val="24"/>
        </w:rPr>
      </w:pPr>
      <w:r w:rsidRPr="002F3004">
        <w:rPr>
          <w:rFonts w:cs="Times New Roman"/>
          <w:szCs w:val="24"/>
        </w:rPr>
        <w:t xml:space="preserve">For a topical product, the concept of bioavailability should be considered locally. The critical question is whether sufficient active material becomes available at the wound interface for a useful duration. </w:t>
      </w:r>
      <w:r w:rsidRPr="002F3004">
        <w:rPr>
          <w:rFonts w:cs="Times New Roman"/>
          <w:szCs w:val="24"/>
        </w:rPr>
        <w:lastRenderedPageBreak/>
        <w:t>A formulation may improve local exposure without producing high systemic concentrations, which can be advantageous when the intended action is confined to the wound. Ex-vivo skin deposition and release studies can therefore provide information complementary to conventional systemic pharmacokinetics.</w:t>
      </w:r>
    </w:p>
    <w:p w14:paraId="31A009B2"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1.7 Guggul (Commiphora wightii)</w:t>
      </w:r>
    </w:p>
    <w:p w14:paraId="63A0CFC6"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1.7.1 Botanical Profile and Pharmacognostic Importance</w:t>
      </w:r>
    </w:p>
    <w:p w14:paraId="2B4FBE2A" w14:textId="77777777" w:rsidR="007F2C00" w:rsidRPr="002F3004" w:rsidRDefault="00000000" w:rsidP="00C17A09">
      <w:pPr>
        <w:ind w:firstLine="0"/>
        <w:jc w:val="both"/>
        <w:rPr>
          <w:rFonts w:cs="Times New Roman"/>
          <w:szCs w:val="24"/>
        </w:rPr>
      </w:pPr>
      <w:r w:rsidRPr="002F3004">
        <w:rPr>
          <w:rFonts w:cs="Times New Roman"/>
          <w:szCs w:val="24"/>
        </w:rPr>
        <w:t>Guggul is the oleo-gum resin obtained from Commiphora wightii (Arnott) Bhandari, a member of the Burseraceae family. The resin is collected after tapping the bark and allowing the exudate to harden. The species is adapted to arid and semi-arid environments and has a long history in Ayurvedic medicine. Sarup et al. (2015) describe guggul as a chemically complex material containing volatile oil, terpenoids, steroids, flavonoids, lignans, sugars and amino acids, with guggulsterones among the characteristic constituents.</w:t>
      </w:r>
    </w:p>
    <w:p w14:paraId="2D3F25EE" w14:textId="77777777" w:rsidR="007F2C00" w:rsidRPr="002F3004" w:rsidRDefault="00000000" w:rsidP="00C17A09">
      <w:pPr>
        <w:ind w:firstLine="0"/>
        <w:jc w:val="both"/>
        <w:rPr>
          <w:rFonts w:cs="Times New Roman"/>
          <w:szCs w:val="24"/>
        </w:rPr>
      </w:pPr>
      <w:r w:rsidRPr="002F3004">
        <w:rPr>
          <w:rFonts w:cs="Times New Roman"/>
          <w:szCs w:val="24"/>
        </w:rPr>
        <w:t>Botanical conservation is also relevant. C. wightii has experienced population decline associated with habitat loss and intensive resin harvesting and has been assessed as critically endangered in the cited literature (Sarup et al., 2015). This creates a scientific and ethical imperative for authenticated sourcing, responsible procurement and avoidance of unnecessary material wastage during extraction and experimentation.</w:t>
      </w:r>
    </w:p>
    <w:p w14:paraId="6A9ED8AD" w14:textId="77777777" w:rsidR="007F2C00" w:rsidRPr="002F3004" w:rsidRDefault="00000000" w:rsidP="00C17A09">
      <w:pPr>
        <w:jc w:val="both"/>
        <w:rPr>
          <w:rFonts w:cs="Times New Roman"/>
          <w:szCs w:val="24"/>
        </w:rPr>
      </w:pPr>
      <w:r w:rsidRPr="002F3004">
        <w:rPr>
          <w:rFonts w:cs="Times New Roman"/>
          <w:szCs w:val="24"/>
        </w:rPr>
        <w:t>The resinous nature of guggul also creates formulation challenges. Unlike a simple water-soluble extract, an oleo-gum resin contains components with different polarity and physical behaviour. Extraction solvent, resin purification, marker content and compatibility with surfactants or polymers may influence the final dosage form. Consequently, guggul should be treated as a standardized botanical material rather than as a generic powder added directly to a formulation.</w:t>
      </w:r>
    </w:p>
    <w:p w14:paraId="6AEB4E0B"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1.7.2 Traditional Medicinal Uses</w:t>
      </w:r>
    </w:p>
    <w:p w14:paraId="601DFD19" w14:textId="77777777" w:rsidR="007F2C00" w:rsidRPr="002F3004" w:rsidRDefault="00000000" w:rsidP="00C17A09">
      <w:pPr>
        <w:jc w:val="both"/>
        <w:rPr>
          <w:rFonts w:cs="Times New Roman"/>
          <w:szCs w:val="24"/>
        </w:rPr>
      </w:pPr>
      <w:r w:rsidRPr="002F3004">
        <w:rPr>
          <w:rFonts w:cs="Times New Roman"/>
          <w:szCs w:val="24"/>
        </w:rPr>
        <w:t>Guggul has been traditionally used for inflammatory and musculoskeletal disorders, lipid disorders, obesity and a variety of other conditions. Historical use also includes topical applications involving ulcers and inflamed tissues, which provides conceptual relevance to wound management (Sarup et al., 2015). However, the traditional record is heterogeneous and should be considered a source of hypotheses rather than a substitute for controlled pharmacological evidence.</w:t>
      </w:r>
    </w:p>
    <w:p w14:paraId="798380B8"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lastRenderedPageBreak/>
        <w:t>1.7.3 Phytochemical Constituents and Guggulsterones</w:t>
      </w:r>
    </w:p>
    <w:p w14:paraId="44EE0E7A" w14:textId="77777777" w:rsidR="007F2C00" w:rsidRPr="002F3004" w:rsidRDefault="00000000" w:rsidP="00C17A09">
      <w:pPr>
        <w:ind w:firstLine="0"/>
        <w:jc w:val="both"/>
        <w:rPr>
          <w:rFonts w:cs="Times New Roman"/>
          <w:szCs w:val="24"/>
        </w:rPr>
      </w:pPr>
      <w:r w:rsidRPr="002F3004">
        <w:rPr>
          <w:rFonts w:cs="Times New Roman"/>
          <w:szCs w:val="24"/>
        </w:rPr>
        <w:t>Guggul contains a mixture of resinous and volatile constituents. Guggulsterone E and guggulsterone Z are frequently used as chemical markers because they are characteristic steroidal constituents and have been associated with several pharmacological activities. Contemporary reviews emphasize that the chemistry of Commiphora species is considerably broader than these two molecules, with numerous secondary metabolites contributing to the overall chemical profile (Maheshwari et al., 2012; Sarup et al., 2015).</w:t>
      </w:r>
    </w:p>
    <w:p w14:paraId="7BAE2D11" w14:textId="77777777" w:rsidR="007F2C00" w:rsidRPr="002F3004" w:rsidRDefault="00000000" w:rsidP="00C17A09">
      <w:pPr>
        <w:jc w:val="both"/>
        <w:rPr>
          <w:rFonts w:cs="Times New Roman"/>
          <w:szCs w:val="24"/>
        </w:rPr>
      </w:pPr>
      <w:r w:rsidRPr="002F3004">
        <w:rPr>
          <w:rFonts w:cs="Times New Roman"/>
          <w:szCs w:val="24"/>
        </w:rPr>
        <w:t>Standardization around guggulsterones provides an analytically tractable approach to batch control. HPLC or HPTLC can be used to quantify marker compounds, while chromatographic fingerprints can document broader consistency. Because guggulsterone content may vary according to source and processing, the actual experimental material should be characterized rather than assigned a theoretical composition.</w:t>
      </w:r>
    </w:p>
    <w:p w14:paraId="6403E1B4"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1.7.4 Anti-Inflammatory and Antioxidant Potential</w:t>
      </w:r>
    </w:p>
    <w:p w14:paraId="03F6B267" w14:textId="77777777" w:rsidR="007F2C00" w:rsidRPr="002F3004" w:rsidRDefault="00000000" w:rsidP="00C17A09">
      <w:pPr>
        <w:ind w:firstLine="0"/>
        <w:jc w:val="both"/>
        <w:rPr>
          <w:rFonts w:cs="Times New Roman"/>
          <w:szCs w:val="24"/>
        </w:rPr>
      </w:pPr>
      <w:r w:rsidRPr="002F3004">
        <w:rPr>
          <w:rFonts w:cs="Times New Roman"/>
          <w:szCs w:val="24"/>
        </w:rPr>
        <w:t>Guggul and guggulsterones have been investigated for anti-inflammatory effects involving transcriptional and nuclear receptor pathways. The literature describes modulation of NF-κB and other inflammatory signalling networks, although the majority of mechanistic evidence comes from non-wound models (Srinivasan et al., 2012; Dias et al., 2015). This distinction matters: anti-inflammatory activity in arthritis or cancer models supports biological plausibility but does not directly prove wound-healing efficacy.</w:t>
      </w:r>
    </w:p>
    <w:p w14:paraId="2A26BE22" w14:textId="77777777" w:rsidR="007F2C00" w:rsidRPr="002F3004" w:rsidRDefault="00000000" w:rsidP="00C17A09">
      <w:pPr>
        <w:jc w:val="both"/>
        <w:rPr>
          <w:rFonts w:cs="Times New Roman"/>
          <w:szCs w:val="24"/>
        </w:rPr>
      </w:pPr>
      <w:r w:rsidRPr="002F3004">
        <w:rPr>
          <w:rFonts w:cs="Times New Roman"/>
          <w:szCs w:val="24"/>
        </w:rPr>
        <w:t>The antioxidant potential of guggul preparations is similarly context dependent. Resin-associated constituents may reduce oxidative processes in experimental systems, but assay conditions, extraction solvent and concentration can produce substantially different results. In the proposed work, antioxidant evaluation should therefore be interpreted as one component of a pharmacological profile rather than as a stand-alone surrogate for wound healing.</w:t>
      </w:r>
    </w:p>
    <w:p w14:paraId="2B58F858"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1.7.5 Antimicrobial and Wound-Relevant Potential</w:t>
      </w:r>
    </w:p>
    <w:p w14:paraId="0F3C0138" w14:textId="77777777" w:rsidR="007F2C00" w:rsidRPr="002F3004" w:rsidRDefault="00000000" w:rsidP="00C17A09">
      <w:pPr>
        <w:ind w:firstLine="0"/>
        <w:jc w:val="both"/>
        <w:rPr>
          <w:rFonts w:cs="Times New Roman"/>
          <w:szCs w:val="24"/>
        </w:rPr>
      </w:pPr>
      <w:r w:rsidRPr="002F3004">
        <w:rPr>
          <w:rFonts w:cs="Times New Roman"/>
          <w:szCs w:val="24"/>
        </w:rPr>
        <w:t>Commiphora species and guggul-derived preparations have demonstrated antimicrobial activity in various experimental systems. This supports exploration of guggul as a contributor to the antimicrobial dimension of a polyherbal wound product. Nevertheless, direct evidence for a standardized C. wightii preparation in a non-propellant foam remains limited. This is precisely where the present study can add value by linking botanical standardization, formulation performance and biological testing within a single experimental framework.</w:t>
      </w:r>
    </w:p>
    <w:p w14:paraId="0C076C22"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lastRenderedPageBreak/>
        <w:t>1.7.6 Safety and Formulation Considerations</w:t>
      </w:r>
    </w:p>
    <w:p w14:paraId="13CBFCF7" w14:textId="77777777" w:rsidR="007F2C00" w:rsidRPr="002F3004" w:rsidRDefault="00000000" w:rsidP="00C17A09">
      <w:pPr>
        <w:ind w:firstLine="0"/>
        <w:jc w:val="both"/>
        <w:rPr>
          <w:rFonts w:cs="Times New Roman"/>
          <w:szCs w:val="24"/>
        </w:rPr>
      </w:pPr>
      <w:r w:rsidRPr="002F3004">
        <w:rPr>
          <w:rFonts w:cs="Times New Roman"/>
          <w:szCs w:val="24"/>
        </w:rPr>
        <w:t>The complexity of guggul creates two safety considerations. First, resinous materials may contain constituents capable of causing local irritation or sensitization in susceptible individuals. Second, variation in extraction and purification can alter the concentration of pharmacologically active compounds. A topical research product should therefore be evaluated for skin compatibility and should not be considered safe solely because the plant has a history of traditional use. Standardization, stability and irritation testing are integral to the formulation argument.</w:t>
      </w:r>
    </w:p>
    <w:p w14:paraId="13B45471"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1.8 Rationale for Combining Turmeric and Guggul</w:t>
      </w:r>
    </w:p>
    <w:p w14:paraId="08183C2F" w14:textId="77777777" w:rsidR="007F2C00" w:rsidRPr="002F3004" w:rsidRDefault="00000000" w:rsidP="00C17A09">
      <w:pPr>
        <w:ind w:firstLine="0"/>
        <w:jc w:val="both"/>
        <w:rPr>
          <w:rFonts w:cs="Times New Roman"/>
          <w:szCs w:val="24"/>
        </w:rPr>
      </w:pPr>
      <w:r w:rsidRPr="002F3004">
        <w:rPr>
          <w:rFonts w:cs="Times New Roman"/>
          <w:szCs w:val="24"/>
        </w:rPr>
        <w:t>The rationale for combining turmeric and guggul is based on pharmacological complementarity rather than an assumption of automatic synergy. Turmeric provides a well-characterized group of curcuminoids with substantial literature concerning inflammatory and oxidative pathways. Guggul contributes a chemically distinct resin fraction with guggulsterones and other terpenoid/steroidal constituents. Their different chemical profiles may allow the combination to influence several wound-relevant processes simultaneously.</w:t>
      </w:r>
    </w:p>
    <w:p w14:paraId="24C99557" w14:textId="77777777" w:rsidR="007F2C00" w:rsidRPr="002F3004" w:rsidRDefault="00000000" w:rsidP="00C17A09">
      <w:pPr>
        <w:ind w:firstLine="0"/>
        <w:jc w:val="both"/>
        <w:rPr>
          <w:rFonts w:cs="Times New Roman"/>
          <w:szCs w:val="24"/>
        </w:rPr>
      </w:pPr>
      <w:r w:rsidRPr="002F3004">
        <w:rPr>
          <w:rFonts w:cs="Times New Roman"/>
          <w:szCs w:val="24"/>
        </w:rPr>
        <w:t>A useful conceptual model is that wound repair requires control of three interacting pressures: microbial challenge, excessive inflammatory signalling and oxidative stress. Neither botanical should be expected to address all three equally. A combination may therefore be advantageous if one component contributes stronger antimicrobial or antioxidant effects while the other contributes complementary anti-inflammatory or matrix-related activity. This hypothesis must be tested experimentally rather than assumed from the presence of multiple bioactive molecules.</w:t>
      </w:r>
    </w:p>
    <w:p w14:paraId="64730245" w14:textId="77777777" w:rsidR="007F2C00" w:rsidRPr="002F3004" w:rsidRDefault="00000000" w:rsidP="00C17A09">
      <w:pPr>
        <w:ind w:firstLine="0"/>
        <w:jc w:val="both"/>
        <w:rPr>
          <w:rFonts w:cs="Times New Roman"/>
          <w:szCs w:val="24"/>
        </w:rPr>
      </w:pPr>
      <w:r w:rsidRPr="002F3004">
        <w:rPr>
          <w:rFonts w:cs="Times New Roman"/>
          <w:szCs w:val="24"/>
        </w:rPr>
        <w:t>Polyherbal research has increased in recent years, but systematic reviews note that many combination products remain at laboratory or animal-study stages and that clinical evidence is comparatively limited (Kumar et al., 2023). This gap creates an opportunity for a doctoral investigation that explicitly compares individual turmeric, individual guggul and the combined preparation using the same formulation platform and evaluation criteria.</w:t>
      </w:r>
    </w:p>
    <w:p w14:paraId="2B2AFED7" w14:textId="77777777" w:rsidR="007F2C00" w:rsidRPr="002F3004" w:rsidRDefault="00000000" w:rsidP="00C17A09">
      <w:pPr>
        <w:pStyle w:val="CaptionCustom"/>
        <w:jc w:val="both"/>
        <w:rPr>
          <w:rFonts w:cs="Times New Roman"/>
          <w:sz w:val="24"/>
          <w:szCs w:val="24"/>
        </w:rPr>
      </w:pPr>
      <w:r w:rsidRPr="002F3004">
        <w:rPr>
          <w:rFonts w:cs="Times New Roman"/>
          <w:b/>
          <w:sz w:val="24"/>
          <w:szCs w:val="24"/>
        </w:rPr>
        <w:t>Table 2. Complementary scientific rationale for the turmeric–guggul combination.</w:t>
      </w:r>
    </w:p>
    <w:tbl>
      <w:tblPr>
        <w:tblStyle w:val="TableGrid"/>
        <w:tblW w:w="0" w:type="auto"/>
        <w:jc w:val="center"/>
        <w:tblLook w:val="04A0" w:firstRow="1" w:lastRow="0" w:firstColumn="1" w:lastColumn="0" w:noHBand="0" w:noVBand="1"/>
      </w:tblPr>
      <w:tblGrid>
        <w:gridCol w:w="2341"/>
        <w:gridCol w:w="2353"/>
        <w:gridCol w:w="2368"/>
        <w:gridCol w:w="2576"/>
      </w:tblGrid>
      <w:tr w:rsidR="007F2C00" w:rsidRPr="002F3004" w14:paraId="248B52E7" w14:textId="77777777">
        <w:trPr>
          <w:jc w:val="center"/>
        </w:trPr>
        <w:tc>
          <w:tcPr>
            <w:tcW w:w="2412" w:type="dxa"/>
          </w:tcPr>
          <w:p w14:paraId="2B7F358E" w14:textId="77777777" w:rsidR="007F2C00" w:rsidRPr="002F3004" w:rsidRDefault="00000000" w:rsidP="00C17A09">
            <w:pPr>
              <w:jc w:val="both"/>
              <w:rPr>
                <w:rFonts w:cs="Times New Roman"/>
                <w:szCs w:val="24"/>
              </w:rPr>
            </w:pPr>
            <w:r w:rsidRPr="002F3004">
              <w:rPr>
                <w:rFonts w:cs="Times New Roman"/>
                <w:b/>
                <w:szCs w:val="24"/>
              </w:rPr>
              <w:t>Dimension</w:t>
            </w:r>
          </w:p>
        </w:tc>
        <w:tc>
          <w:tcPr>
            <w:tcW w:w="2412" w:type="dxa"/>
          </w:tcPr>
          <w:p w14:paraId="4A364BF2" w14:textId="77777777" w:rsidR="007F2C00" w:rsidRPr="002F3004" w:rsidRDefault="00000000" w:rsidP="00C17A09">
            <w:pPr>
              <w:jc w:val="both"/>
              <w:rPr>
                <w:rFonts w:cs="Times New Roman"/>
                <w:szCs w:val="24"/>
              </w:rPr>
            </w:pPr>
            <w:r w:rsidRPr="002F3004">
              <w:rPr>
                <w:rFonts w:cs="Times New Roman"/>
                <w:b/>
                <w:szCs w:val="24"/>
              </w:rPr>
              <w:t>Turmeric</w:t>
            </w:r>
          </w:p>
        </w:tc>
        <w:tc>
          <w:tcPr>
            <w:tcW w:w="2412" w:type="dxa"/>
          </w:tcPr>
          <w:p w14:paraId="200C6812" w14:textId="77777777" w:rsidR="007F2C00" w:rsidRPr="002F3004" w:rsidRDefault="00000000" w:rsidP="00C17A09">
            <w:pPr>
              <w:jc w:val="both"/>
              <w:rPr>
                <w:rFonts w:cs="Times New Roman"/>
                <w:szCs w:val="24"/>
              </w:rPr>
            </w:pPr>
            <w:r w:rsidRPr="002F3004">
              <w:rPr>
                <w:rFonts w:cs="Times New Roman"/>
                <w:b/>
                <w:szCs w:val="24"/>
              </w:rPr>
              <w:t>Guggul</w:t>
            </w:r>
          </w:p>
        </w:tc>
        <w:tc>
          <w:tcPr>
            <w:tcW w:w="2412" w:type="dxa"/>
          </w:tcPr>
          <w:p w14:paraId="17013642" w14:textId="77777777" w:rsidR="007F2C00" w:rsidRPr="002F3004" w:rsidRDefault="00000000" w:rsidP="00C17A09">
            <w:pPr>
              <w:jc w:val="both"/>
              <w:rPr>
                <w:rFonts w:cs="Times New Roman"/>
                <w:szCs w:val="24"/>
              </w:rPr>
            </w:pPr>
            <w:r w:rsidRPr="002F3004">
              <w:rPr>
                <w:rFonts w:cs="Times New Roman"/>
                <w:b/>
                <w:szCs w:val="24"/>
              </w:rPr>
              <w:t>Potential value of combination</w:t>
            </w:r>
          </w:p>
        </w:tc>
      </w:tr>
      <w:tr w:rsidR="007F2C00" w:rsidRPr="002F3004" w14:paraId="5B5257A0" w14:textId="77777777">
        <w:trPr>
          <w:jc w:val="center"/>
        </w:trPr>
        <w:tc>
          <w:tcPr>
            <w:tcW w:w="2412" w:type="dxa"/>
            <w:vAlign w:val="center"/>
          </w:tcPr>
          <w:p w14:paraId="0FF821FE" w14:textId="77777777" w:rsidR="007F2C00" w:rsidRPr="002F3004" w:rsidRDefault="00000000" w:rsidP="00C17A09">
            <w:pPr>
              <w:spacing w:after="0" w:line="240" w:lineRule="auto"/>
              <w:jc w:val="both"/>
              <w:rPr>
                <w:rFonts w:cs="Times New Roman"/>
                <w:szCs w:val="24"/>
              </w:rPr>
            </w:pPr>
            <w:r w:rsidRPr="002F3004">
              <w:rPr>
                <w:rFonts w:cs="Times New Roman"/>
                <w:szCs w:val="24"/>
              </w:rPr>
              <w:lastRenderedPageBreak/>
              <w:t>Principal marker class</w:t>
            </w:r>
          </w:p>
        </w:tc>
        <w:tc>
          <w:tcPr>
            <w:tcW w:w="2412" w:type="dxa"/>
            <w:vAlign w:val="center"/>
          </w:tcPr>
          <w:p w14:paraId="3D3CB7FC" w14:textId="77777777" w:rsidR="007F2C00" w:rsidRPr="002F3004" w:rsidRDefault="00000000" w:rsidP="00C17A09">
            <w:pPr>
              <w:spacing w:after="0" w:line="240" w:lineRule="auto"/>
              <w:jc w:val="both"/>
              <w:rPr>
                <w:rFonts w:cs="Times New Roman"/>
                <w:szCs w:val="24"/>
              </w:rPr>
            </w:pPr>
            <w:r w:rsidRPr="002F3004">
              <w:rPr>
                <w:rFonts w:cs="Times New Roman"/>
                <w:szCs w:val="24"/>
              </w:rPr>
              <w:t>Curcuminoids</w:t>
            </w:r>
          </w:p>
        </w:tc>
        <w:tc>
          <w:tcPr>
            <w:tcW w:w="2412" w:type="dxa"/>
            <w:vAlign w:val="center"/>
          </w:tcPr>
          <w:p w14:paraId="5D6B068D" w14:textId="77777777" w:rsidR="007F2C00" w:rsidRPr="002F3004" w:rsidRDefault="00000000" w:rsidP="00C17A09">
            <w:pPr>
              <w:spacing w:after="0" w:line="240" w:lineRule="auto"/>
              <w:jc w:val="both"/>
              <w:rPr>
                <w:rFonts w:cs="Times New Roman"/>
                <w:szCs w:val="24"/>
              </w:rPr>
            </w:pPr>
            <w:r w:rsidRPr="002F3004">
              <w:rPr>
                <w:rFonts w:cs="Times New Roman"/>
                <w:szCs w:val="24"/>
              </w:rPr>
              <w:t>Guggulsterones and resin-associated constituents</w:t>
            </w:r>
          </w:p>
        </w:tc>
        <w:tc>
          <w:tcPr>
            <w:tcW w:w="2412" w:type="dxa"/>
            <w:vAlign w:val="center"/>
          </w:tcPr>
          <w:p w14:paraId="6DE73E6A" w14:textId="77777777" w:rsidR="007F2C00" w:rsidRPr="002F3004" w:rsidRDefault="00000000" w:rsidP="00C17A09">
            <w:pPr>
              <w:spacing w:after="0" w:line="240" w:lineRule="auto"/>
              <w:jc w:val="both"/>
              <w:rPr>
                <w:rFonts w:cs="Times New Roman"/>
                <w:szCs w:val="24"/>
              </w:rPr>
            </w:pPr>
            <w:r w:rsidRPr="002F3004">
              <w:rPr>
                <w:rFonts w:cs="Times New Roman"/>
                <w:szCs w:val="24"/>
              </w:rPr>
              <w:t>Dual chemical standardization</w:t>
            </w:r>
          </w:p>
        </w:tc>
      </w:tr>
      <w:tr w:rsidR="007F2C00" w:rsidRPr="002F3004" w14:paraId="5C859A69" w14:textId="77777777">
        <w:trPr>
          <w:jc w:val="center"/>
        </w:trPr>
        <w:tc>
          <w:tcPr>
            <w:tcW w:w="2412" w:type="dxa"/>
            <w:vAlign w:val="center"/>
          </w:tcPr>
          <w:p w14:paraId="00F87D5B" w14:textId="77777777" w:rsidR="007F2C00" w:rsidRPr="002F3004" w:rsidRDefault="00000000" w:rsidP="00C17A09">
            <w:pPr>
              <w:spacing w:after="0" w:line="240" w:lineRule="auto"/>
              <w:jc w:val="both"/>
              <w:rPr>
                <w:rFonts w:cs="Times New Roman"/>
                <w:szCs w:val="24"/>
              </w:rPr>
            </w:pPr>
            <w:r w:rsidRPr="002F3004">
              <w:rPr>
                <w:rFonts w:cs="Times New Roman"/>
                <w:szCs w:val="24"/>
              </w:rPr>
              <w:t>Inflammatory modulation</w:t>
            </w:r>
          </w:p>
        </w:tc>
        <w:tc>
          <w:tcPr>
            <w:tcW w:w="2412" w:type="dxa"/>
            <w:vAlign w:val="center"/>
          </w:tcPr>
          <w:p w14:paraId="57EDB292" w14:textId="77777777" w:rsidR="007F2C00" w:rsidRPr="002F3004" w:rsidRDefault="00000000" w:rsidP="00C17A09">
            <w:pPr>
              <w:spacing w:after="0" w:line="240" w:lineRule="auto"/>
              <w:jc w:val="both"/>
              <w:rPr>
                <w:rFonts w:cs="Times New Roman"/>
                <w:szCs w:val="24"/>
              </w:rPr>
            </w:pPr>
            <w:r w:rsidRPr="002F3004">
              <w:rPr>
                <w:rFonts w:cs="Times New Roman"/>
                <w:szCs w:val="24"/>
              </w:rPr>
              <w:t>Strongly investigated; multiple signalling pathways</w:t>
            </w:r>
          </w:p>
        </w:tc>
        <w:tc>
          <w:tcPr>
            <w:tcW w:w="2412" w:type="dxa"/>
            <w:vAlign w:val="center"/>
          </w:tcPr>
          <w:p w14:paraId="54E872D1" w14:textId="77777777" w:rsidR="007F2C00" w:rsidRPr="002F3004" w:rsidRDefault="00000000" w:rsidP="00C17A09">
            <w:pPr>
              <w:spacing w:after="0" w:line="240" w:lineRule="auto"/>
              <w:jc w:val="both"/>
              <w:rPr>
                <w:rFonts w:cs="Times New Roman"/>
                <w:szCs w:val="24"/>
              </w:rPr>
            </w:pPr>
            <w:r w:rsidRPr="002F3004">
              <w:rPr>
                <w:rFonts w:cs="Times New Roman"/>
                <w:szCs w:val="24"/>
              </w:rPr>
              <w:t>Documented in several experimental models</w:t>
            </w:r>
          </w:p>
        </w:tc>
        <w:tc>
          <w:tcPr>
            <w:tcW w:w="2412" w:type="dxa"/>
            <w:vAlign w:val="center"/>
          </w:tcPr>
          <w:p w14:paraId="748990D1" w14:textId="77777777" w:rsidR="007F2C00" w:rsidRPr="002F3004" w:rsidRDefault="00000000" w:rsidP="00C17A09">
            <w:pPr>
              <w:spacing w:after="0" w:line="240" w:lineRule="auto"/>
              <w:jc w:val="both"/>
              <w:rPr>
                <w:rFonts w:cs="Times New Roman"/>
                <w:szCs w:val="24"/>
              </w:rPr>
            </w:pPr>
            <w:r w:rsidRPr="002F3004">
              <w:rPr>
                <w:rFonts w:cs="Times New Roman"/>
                <w:szCs w:val="24"/>
              </w:rPr>
              <w:t>Potentially complementary pathway coverage</w:t>
            </w:r>
          </w:p>
        </w:tc>
      </w:tr>
      <w:tr w:rsidR="007F2C00" w:rsidRPr="002F3004" w14:paraId="1A6C5E32" w14:textId="77777777">
        <w:trPr>
          <w:jc w:val="center"/>
        </w:trPr>
        <w:tc>
          <w:tcPr>
            <w:tcW w:w="2412" w:type="dxa"/>
            <w:vAlign w:val="center"/>
          </w:tcPr>
          <w:p w14:paraId="0C818AFC" w14:textId="77777777" w:rsidR="007F2C00" w:rsidRPr="002F3004" w:rsidRDefault="00000000" w:rsidP="00C17A09">
            <w:pPr>
              <w:spacing w:after="0" w:line="240" w:lineRule="auto"/>
              <w:jc w:val="both"/>
              <w:rPr>
                <w:rFonts w:cs="Times New Roman"/>
                <w:szCs w:val="24"/>
              </w:rPr>
            </w:pPr>
            <w:r w:rsidRPr="002F3004">
              <w:rPr>
                <w:rFonts w:cs="Times New Roman"/>
                <w:szCs w:val="24"/>
              </w:rPr>
              <w:t>Oxidative stress</w:t>
            </w:r>
          </w:p>
        </w:tc>
        <w:tc>
          <w:tcPr>
            <w:tcW w:w="2412" w:type="dxa"/>
            <w:vAlign w:val="center"/>
          </w:tcPr>
          <w:p w14:paraId="60BD9B0B" w14:textId="77777777" w:rsidR="007F2C00" w:rsidRPr="002F3004" w:rsidRDefault="00000000" w:rsidP="00C17A09">
            <w:pPr>
              <w:spacing w:after="0" w:line="240" w:lineRule="auto"/>
              <w:jc w:val="both"/>
              <w:rPr>
                <w:rFonts w:cs="Times New Roman"/>
                <w:szCs w:val="24"/>
              </w:rPr>
            </w:pPr>
            <w:r w:rsidRPr="002F3004">
              <w:rPr>
                <w:rFonts w:cs="Times New Roman"/>
                <w:szCs w:val="24"/>
              </w:rPr>
              <w:t>Well-established preclinical rationale</w:t>
            </w:r>
          </w:p>
        </w:tc>
        <w:tc>
          <w:tcPr>
            <w:tcW w:w="2412" w:type="dxa"/>
            <w:vAlign w:val="center"/>
          </w:tcPr>
          <w:p w14:paraId="64F1E95C" w14:textId="77777777" w:rsidR="007F2C00" w:rsidRPr="002F3004" w:rsidRDefault="00000000" w:rsidP="00C17A09">
            <w:pPr>
              <w:spacing w:after="0" w:line="240" w:lineRule="auto"/>
              <w:jc w:val="both"/>
              <w:rPr>
                <w:rFonts w:cs="Times New Roman"/>
                <w:szCs w:val="24"/>
              </w:rPr>
            </w:pPr>
            <w:r w:rsidRPr="002F3004">
              <w:rPr>
                <w:rFonts w:cs="Times New Roman"/>
                <w:szCs w:val="24"/>
              </w:rPr>
              <w:t>Reported antioxidant activity</w:t>
            </w:r>
          </w:p>
        </w:tc>
        <w:tc>
          <w:tcPr>
            <w:tcW w:w="2412" w:type="dxa"/>
            <w:vAlign w:val="center"/>
          </w:tcPr>
          <w:p w14:paraId="2F924BA2" w14:textId="77777777" w:rsidR="007F2C00" w:rsidRPr="002F3004" w:rsidRDefault="00000000" w:rsidP="00C17A09">
            <w:pPr>
              <w:spacing w:after="0" w:line="240" w:lineRule="auto"/>
              <w:jc w:val="both"/>
              <w:rPr>
                <w:rFonts w:cs="Times New Roman"/>
                <w:szCs w:val="24"/>
              </w:rPr>
            </w:pPr>
            <w:r w:rsidRPr="002F3004">
              <w:rPr>
                <w:rFonts w:cs="Times New Roman"/>
                <w:szCs w:val="24"/>
              </w:rPr>
              <w:t>Broader antioxidant profile</w:t>
            </w:r>
          </w:p>
        </w:tc>
      </w:tr>
      <w:tr w:rsidR="007F2C00" w:rsidRPr="002F3004" w14:paraId="3D474DD1" w14:textId="77777777">
        <w:trPr>
          <w:jc w:val="center"/>
        </w:trPr>
        <w:tc>
          <w:tcPr>
            <w:tcW w:w="2412" w:type="dxa"/>
            <w:vAlign w:val="center"/>
          </w:tcPr>
          <w:p w14:paraId="4A665D8F" w14:textId="77777777" w:rsidR="007F2C00" w:rsidRPr="002F3004" w:rsidRDefault="00000000" w:rsidP="00C17A09">
            <w:pPr>
              <w:spacing w:after="0" w:line="240" w:lineRule="auto"/>
              <w:jc w:val="both"/>
              <w:rPr>
                <w:rFonts w:cs="Times New Roman"/>
                <w:szCs w:val="24"/>
              </w:rPr>
            </w:pPr>
            <w:r w:rsidRPr="002F3004">
              <w:rPr>
                <w:rFonts w:cs="Times New Roman"/>
                <w:szCs w:val="24"/>
              </w:rPr>
              <w:t>Antimicrobial relevance</w:t>
            </w:r>
          </w:p>
        </w:tc>
        <w:tc>
          <w:tcPr>
            <w:tcW w:w="2412" w:type="dxa"/>
            <w:vAlign w:val="center"/>
          </w:tcPr>
          <w:p w14:paraId="54201608" w14:textId="77777777" w:rsidR="007F2C00" w:rsidRPr="002F3004" w:rsidRDefault="00000000" w:rsidP="00C17A09">
            <w:pPr>
              <w:spacing w:after="0" w:line="240" w:lineRule="auto"/>
              <w:jc w:val="both"/>
              <w:rPr>
                <w:rFonts w:cs="Times New Roman"/>
                <w:szCs w:val="24"/>
              </w:rPr>
            </w:pPr>
            <w:r w:rsidRPr="002F3004">
              <w:rPr>
                <w:rFonts w:cs="Times New Roman"/>
                <w:szCs w:val="24"/>
              </w:rPr>
              <w:t>Evidence including skin-associated organisms/biofilms</w:t>
            </w:r>
          </w:p>
        </w:tc>
        <w:tc>
          <w:tcPr>
            <w:tcW w:w="2412" w:type="dxa"/>
            <w:vAlign w:val="center"/>
          </w:tcPr>
          <w:p w14:paraId="6DFA1E00" w14:textId="77777777" w:rsidR="007F2C00" w:rsidRPr="002F3004" w:rsidRDefault="00000000" w:rsidP="00C17A09">
            <w:pPr>
              <w:spacing w:after="0" w:line="240" w:lineRule="auto"/>
              <w:jc w:val="both"/>
              <w:rPr>
                <w:rFonts w:cs="Times New Roman"/>
                <w:szCs w:val="24"/>
              </w:rPr>
            </w:pPr>
            <w:r w:rsidRPr="002F3004">
              <w:rPr>
                <w:rFonts w:cs="Times New Roman"/>
                <w:szCs w:val="24"/>
              </w:rPr>
              <w:t>Reported for Commiphora-derived preparations</w:t>
            </w:r>
          </w:p>
        </w:tc>
        <w:tc>
          <w:tcPr>
            <w:tcW w:w="2412" w:type="dxa"/>
            <w:vAlign w:val="center"/>
          </w:tcPr>
          <w:p w14:paraId="2F5DD1D3" w14:textId="77777777" w:rsidR="007F2C00" w:rsidRPr="002F3004" w:rsidRDefault="00000000" w:rsidP="00C17A09">
            <w:pPr>
              <w:spacing w:after="0" w:line="240" w:lineRule="auto"/>
              <w:jc w:val="both"/>
              <w:rPr>
                <w:rFonts w:cs="Times New Roman"/>
                <w:szCs w:val="24"/>
              </w:rPr>
            </w:pPr>
            <w:r w:rsidRPr="002F3004">
              <w:rPr>
                <w:rFonts w:cs="Times New Roman"/>
                <w:szCs w:val="24"/>
              </w:rPr>
              <w:t>Potential broader microbial coverage</w:t>
            </w:r>
          </w:p>
        </w:tc>
      </w:tr>
      <w:tr w:rsidR="007F2C00" w:rsidRPr="002F3004" w14:paraId="10AD461D" w14:textId="77777777">
        <w:trPr>
          <w:jc w:val="center"/>
        </w:trPr>
        <w:tc>
          <w:tcPr>
            <w:tcW w:w="2412" w:type="dxa"/>
            <w:vAlign w:val="center"/>
          </w:tcPr>
          <w:p w14:paraId="73810D4F" w14:textId="77777777" w:rsidR="007F2C00" w:rsidRPr="002F3004" w:rsidRDefault="00000000" w:rsidP="00C17A09">
            <w:pPr>
              <w:spacing w:after="0" w:line="240" w:lineRule="auto"/>
              <w:jc w:val="both"/>
              <w:rPr>
                <w:rFonts w:cs="Times New Roman"/>
                <w:szCs w:val="24"/>
              </w:rPr>
            </w:pPr>
            <w:r w:rsidRPr="002F3004">
              <w:rPr>
                <w:rFonts w:cs="Times New Roman"/>
                <w:szCs w:val="24"/>
              </w:rPr>
              <w:t>Formulation challenge</w:t>
            </w:r>
          </w:p>
        </w:tc>
        <w:tc>
          <w:tcPr>
            <w:tcW w:w="2412" w:type="dxa"/>
            <w:vAlign w:val="center"/>
          </w:tcPr>
          <w:p w14:paraId="38E88D5B" w14:textId="77777777" w:rsidR="007F2C00" w:rsidRPr="002F3004" w:rsidRDefault="00000000" w:rsidP="00C17A09">
            <w:pPr>
              <w:spacing w:after="0" w:line="240" w:lineRule="auto"/>
              <w:jc w:val="both"/>
              <w:rPr>
                <w:rFonts w:cs="Times New Roman"/>
                <w:szCs w:val="24"/>
              </w:rPr>
            </w:pPr>
            <w:r w:rsidRPr="002F3004">
              <w:rPr>
                <w:rFonts w:cs="Times New Roman"/>
                <w:szCs w:val="24"/>
              </w:rPr>
              <w:t>Low water solubility and chemical instability</w:t>
            </w:r>
          </w:p>
        </w:tc>
        <w:tc>
          <w:tcPr>
            <w:tcW w:w="2412" w:type="dxa"/>
            <w:vAlign w:val="center"/>
          </w:tcPr>
          <w:p w14:paraId="4C83A710" w14:textId="77777777" w:rsidR="007F2C00" w:rsidRPr="002F3004" w:rsidRDefault="00000000" w:rsidP="00C17A09">
            <w:pPr>
              <w:spacing w:after="0" w:line="240" w:lineRule="auto"/>
              <w:jc w:val="both"/>
              <w:rPr>
                <w:rFonts w:cs="Times New Roman"/>
                <w:szCs w:val="24"/>
              </w:rPr>
            </w:pPr>
            <w:r w:rsidRPr="002F3004">
              <w:rPr>
                <w:rFonts w:cs="Times New Roman"/>
                <w:szCs w:val="24"/>
              </w:rPr>
              <w:t>Resinous, chemically complex material</w:t>
            </w:r>
          </w:p>
        </w:tc>
        <w:tc>
          <w:tcPr>
            <w:tcW w:w="2412" w:type="dxa"/>
            <w:vAlign w:val="center"/>
          </w:tcPr>
          <w:p w14:paraId="71ACE3D5" w14:textId="77777777" w:rsidR="007F2C00" w:rsidRPr="002F3004" w:rsidRDefault="00000000" w:rsidP="00C17A09">
            <w:pPr>
              <w:spacing w:after="0" w:line="240" w:lineRule="auto"/>
              <w:jc w:val="both"/>
              <w:rPr>
                <w:rFonts w:cs="Times New Roman"/>
                <w:szCs w:val="24"/>
              </w:rPr>
            </w:pPr>
            <w:r w:rsidRPr="002F3004">
              <w:rPr>
                <w:rFonts w:cs="Times New Roman"/>
                <w:szCs w:val="24"/>
              </w:rPr>
              <w:t>Requires integrated solubilization/dispersion strategy</w:t>
            </w:r>
          </w:p>
        </w:tc>
      </w:tr>
      <w:tr w:rsidR="007F2C00" w:rsidRPr="002F3004" w14:paraId="07612BDF" w14:textId="77777777">
        <w:trPr>
          <w:jc w:val="center"/>
        </w:trPr>
        <w:tc>
          <w:tcPr>
            <w:tcW w:w="2412" w:type="dxa"/>
            <w:vAlign w:val="center"/>
          </w:tcPr>
          <w:p w14:paraId="62677105" w14:textId="77777777" w:rsidR="007F2C00" w:rsidRPr="002F3004" w:rsidRDefault="00000000" w:rsidP="00C17A09">
            <w:pPr>
              <w:spacing w:after="0" w:line="240" w:lineRule="auto"/>
              <w:jc w:val="both"/>
              <w:rPr>
                <w:rFonts w:cs="Times New Roman"/>
                <w:szCs w:val="24"/>
              </w:rPr>
            </w:pPr>
            <w:r w:rsidRPr="002F3004">
              <w:rPr>
                <w:rFonts w:cs="Times New Roman"/>
                <w:szCs w:val="24"/>
              </w:rPr>
              <w:t>Research need</w:t>
            </w:r>
          </w:p>
        </w:tc>
        <w:tc>
          <w:tcPr>
            <w:tcW w:w="2412" w:type="dxa"/>
            <w:vAlign w:val="center"/>
          </w:tcPr>
          <w:p w14:paraId="3567A648" w14:textId="77777777" w:rsidR="007F2C00" w:rsidRPr="002F3004" w:rsidRDefault="00000000" w:rsidP="00C17A09">
            <w:pPr>
              <w:spacing w:after="0" w:line="240" w:lineRule="auto"/>
              <w:jc w:val="both"/>
              <w:rPr>
                <w:rFonts w:cs="Times New Roman"/>
                <w:szCs w:val="24"/>
              </w:rPr>
            </w:pPr>
            <w:r w:rsidRPr="002F3004">
              <w:rPr>
                <w:rFonts w:cs="Times New Roman"/>
                <w:szCs w:val="24"/>
              </w:rPr>
              <w:t>Delivery and stability optimization</w:t>
            </w:r>
          </w:p>
        </w:tc>
        <w:tc>
          <w:tcPr>
            <w:tcW w:w="2412" w:type="dxa"/>
            <w:vAlign w:val="center"/>
          </w:tcPr>
          <w:p w14:paraId="6462ED59" w14:textId="77777777" w:rsidR="007F2C00" w:rsidRPr="002F3004" w:rsidRDefault="00000000" w:rsidP="00C17A09">
            <w:pPr>
              <w:spacing w:after="0" w:line="240" w:lineRule="auto"/>
              <w:jc w:val="both"/>
              <w:rPr>
                <w:rFonts w:cs="Times New Roman"/>
                <w:szCs w:val="24"/>
              </w:rPr>
            </w:pPr>
            <w:r w:rsidRPr="002F3004">
              <w:rPr>
                <w:rFonts w:cs="Times New Roman"/>
                <w:szCs w:val="24"/>
              </w:rPr>
              <w:t>Standardization and wound-specific validation</w:t>
            </w:r>
          </w:p>
        </w:tc>
        <w:tc>
          <w:tcPr>
            <w:tcW w:w="2412" w:type="dxa"/>
            <w:vAlign w:val="center"/>
          </w:tcPr>
          <w:p w14:paraId="42385D54" w14:textId="77777777" w:rsidR="007F2C00" w:rsidRPr="002F3004" w:rsidRDefault="00000000" w:rsidP="00C17A09">
            <w:pPr>
              <w:spacing w:after="0" w:line="240" w:lineRule="auto"/>
              <w:jc w:val="both"/>
              <w:rPr>
                <w:rFonts w:cs="Times New Roman"/>
                <w:szCs w:val="24"/>
              </w:rPr>
            </w:pPr>
            <w:r w:rsidRPr="002F3004">
              <w:rPr>
                <w:rFonts w:cs="Times New Roman"/>
                <w:szCs w:val="24"/>
              </w:rPr>
              <w:t>Formulation-specific comparative evidence</w:t>
            </w:r>
          </w:p>
        </w:tc>
      </w:tr>
    </w:tbl>
    <w:p w14:paraId="35DCC103" w14:textId="77777777" w:rsidR="007F2C00" w:rsidRPr="002F3004" w:rsidRDefault="007F2C00" w:rsidP="00C17A09">
      <w:pPr>
        <w:jc w:val="both"/>
        <w:rPr>
          <w:rFonts w:cs="Times New Roman"/>
          <w:szCs w:val="24"/>
        </w:rPr>
      </w:pPr>
    </w:p>
    <w:p w14:paraId="70E55000"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1.9 Topical Drug-Delivery Systems</w:t>
      </w:r>
    </w:p>
    <w:p w14:paraId="283B0DE2" w14:textId="77777777" w:rsidR="007F2C00" w:rsidRPr="002F3004" w:rsidRDefault="00000000" w:rsidP="00C17A09">
      <w:pPr>
        <w:ind w:firstLine="0"/>
        <w:jc w:val="both"/>
        <w:rPr>
          <w:rFonts w:cs="Times New Roman"/>
          <w:szCs w:val="24"/>
        </w:rPr>
      </w:pPr>
      <w:r w:rsidRPr="002F3004">
        <w:rPr>
          <w:rFonts w:cs="Times New Roman"/>
          <w:szCs w:val="24"/>
        </w:rPr>
        <w:t>Topical drug delivery aims to place a therapeutic agent at or near the site of action while minimizing unnecessary systemic exposure. For wound management, this objective is especially attractive because the lesion itself is accessible. The dosage form must, however, interact with a non-intact biological surface rather than normal stratum corneum. Consequently, conventional transdermal concepts cannot always be applied directly to wounds.</w:t>
      </w:r>
    </w:p>
    <w:p w14:paraId="7C905091" w14:textId="77777777" w:rsidR="007F2C00" w:rsidRPr="002F3004" w:rsidRDefault="00000000" w:rsidP="00C17A09">
      <w:pPr>
        <w:ind w:firstLine="0"/>
        <w:jc w:val="both"/>
        <w:rPr>
          <w:rFonts w:cs="Times New Roman"/>
          <w:szCs w:val="24"/>
        </w:rPr>
      </w:pPr>
      <w:r w:rsidRPr="002F3004">
        <w:rPr>
          <w:rFonts w:cs="Times New Roman"/>
          <w:szCs w:val="24"/>
        </w:rPr>
        <w:t>Topical wound systems include ointments, creams, gels, emulsions, films, hydrogels, foams, fibres and composite dressings. Each system offers a characteristic balance between retention, hydration, drug release, handling and mechanical protection. Hydrogels can maintain moisture and support local release; films may provide barrier function; fibres and scaffolds can provide structural support; and foams can combine high apparent volume with low material mass and rapid spreading (Saghazadeh et al., 2018; Tiwari &amp; Pathak, 2023).</w:t>
      </w:r>
    </w:p>
    <w:p w14:paraId="476FD717" w14:textId="77777777" w:rsidR="007F2C00" w:rsidRPr="002F3004" w:rsidRDefault="00000000" w:rsidP="00C17A09">
      <w:pPr>
        <w:ind w:firstLine="0"/>
        <w:jc w:val="both"/>
        <w:rPr>
          <w:rFonts w:cs="Times New Roman"/>
          <w:szCs w:val="24"/>
        </w:rPr>
      </w:pPr>
      <w:r w:rsidRPr="002F3004">
        <w:rPr>
          <w:rFonts w:cs="Times New Roman"/>
          <w:szCs w:val="24"/>
        </w:rPr>
        <w:t>The choice of dosage form should be driven by the desired clinical function. If prolonged occlusion is needed, a dressing or hydrogel may be preferable. If rapid, low-contact coverage is prioritized, a foam may be advantageous. For a botanical formulation containing poorly water-soluble constituents, the foam must also provide a vehicle that can accommodate the active fractions without excessive precipitation or instability.</w:t>
      </w:r>
    </w:p>
    <w:p w14:paraId="289B767B"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lastRenderedPageBreak/>
        <w:t>1.9.1 Desired Attributes of a Topical Wound Formulation</w:t>
      </w:r>
    </w:p>
    <w:p w14:paraId="6F1D2073" w14:textId="77777777" w:rsidR="007F2C00" w:rsidRPr="002F3004" w:rsidRDefault="00000000" w:rsidP="00C17A09">
      <w:pPr>
        <w:ind w:firstLine="0"/>
        <w:jc w:val="both"/>
        <w:rPr>
          <w:rFonts w:cs="Times New Roman"/>
          <w:szCs w:val="24"/>
        </w:rPr>
      </w:pPr>
      <w:r w:rsidRPr="002F3004">
        <w:rPr>
          <w:rFonts w:cs="Times New Roman"/>
          <w:szCs w:val="24"/>
        </w:rPr>
        <w:t>A scientifically defensible topical wound formulation should have acceptable pH, rheological behaviour, spreadability, physical stability and chemical stability. It should maintain dose uniformity, release the active constituents in a reproducible manner and remain compatible with the wound surface. If the formulation is intended for repeated use, packaging and in-use stability also become important. These quality attributes should be linked to the intended performance rather than measured as an unrelated list of tests.</w:t>
      </w:r>
    </w:p>
    <w:p w14:paraId="4B72DED4" w14:textId="77777777" w:rsidR="007F2C00" w:rsidRPr="002F3004" w:rsidRDefault="00000000" w:rsidP="00C17A09">
      <w:pPr>
        <w:ind w:firstLine="0"/>
        <w:jc w:val="both"/>
        <w:rPr>
          <w:rFonts w:cs="Times New Roman"/>
          <w:szCs w:val="24"/>
        </w:rPr>
      </w:pPr>
      <w:r w:rsidRPr="002F3004">
        <w:rPr>
          <w:rFonts w:cs="Times New Roman"/>
          <w:szCs w:val="24"/>
        </w:rPr>
        <w:t>The concept of critical quality attributes is particularly useful for the present study. Foam density, expansion ratio and collapse time are not merely cosmetic measurements; they may influence how much formulation is deposited and how rapidly the active constituents become available. Similarly, pH and viscosity may affect chemical stability and spreading. A quality-by-design approach therefore provides a rational bridge between formulation composition and biological performance.</w:t>
      </w:r>
    </w:p>
    <w:p w14:paraId="10DB3905"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1.10 Non-Propellant Foam Technology</w:t>
      </w:r>
    </w:p>
    <w:p w14:paraId="45272BAA" w14:textId="77777777" w:rsidR="007F2C00" w:rsidRPr="002F3004" w:rsidRDefault="00000000" w:rsidP="00C17A09">
      <w:pPr>
        <w:ind w:firstLine="0"/>
        <w:jc w:val="both"/>
        <w:rPr>
          <w:rFonts w:cs="Times New Roman"/>
          <w:szCs w:val="24"/>
        </w:rPr>
      </w:pPr>
      <w:r w:rsidRPr="002F3004">
        <w:rPr>
          <w:rFonts w:cs="Times New Roman"/>
          <w:szCs w:val="24"/>
        </w:rPr>
        <w:t>Pharmaceutical foams are dispersions in which a gas phase is distributed within a continuous liquid or semi-solid phase. Their behaviour is governed by interfacial phenomena, surfactant adsorption, viscosity, drainage, bubble coalescence and gas fraction. Pharmaceutical and cosmetic foams have been studied as alternatives to conventional semisolids because they can provide rapid spreading, a light sensory profile and convenient application (Arzhavitina &amp; Steckel, 2010; Parsa et al., 2019).</w:t>
      </w:r>
    </w:p>
    <w:p w14:paraId="0AC2F11A" w14:textId="77777777" w:rsidR="007F2C00" w:rsidRPr="002F3004" w:rsidRDefault="00000000" w:rsidP="00C17A09">
      <w:pPr>
        <w:jc w:val="both"/>
        <w:rPr>
          <w:rFonts w:cs="Times New Roman"/>
          <w:szCs w:val="24"/>
        </w:rPr>
      </w:pPr>
      <w:r w:rsidRPr="002F3004">
        <w:rPr>
          <w:rFonts w:cs="Times New Roman"/>
          <w:szCs w:val="24"/>
        </w:rPr>
        <w:t>In a non-propellant system, foam generation is achieved without a conventional pressurized volatile propellant. Mechanical energy, air incorporation, pumping or other dispensing mechanisms can generate the foam structure. The absence of a propellant should not be equated automatically with superior safety: the surfactant system, preservatives, packaging, pressure generation and user handling still determine the product's overall safety profile. Nevertheless, a non-propellant approach can simplify the conceptual formulation and may avoid dependence on volatile propellant systems.</w:t>
      </w:r>
    </w:p>
    <w:p w14:paraId="73A82BD6" w14:textId="77777777" w:rsidR="007F2C00" w:rsidRPr="002F3004" w:rsidRDefault="00000000" w:rsidP="00C17A09">
      <w:pPr>
        <w:jc w:val="both"/>
        <w:rPr>
          <w:rFonts w:cs="Times New Roman"/>
          <w:szCs w:val="24"/>
        </w:rPr>
      </w:pPr>
      <w:r w:rsidRPr="002F3004">
        <w:rPr>
          <w:rFonts w:cs="Times New Roman"/>
          <w:szCs w:val="24"/>
        </w:rPr>
        <w:t>Foam stability represents a controlled compromise. A foam that collapses immediately may fail to provide uniform coverage, whereas a foam that remains excessively stable may retard spreading or release. Surfactants facilitate bubble formation by reducing interfacial tension, while polymers and other stabilizers can reduce drainage and coalescence. Mixed surfactant–polymer systems can exhibit nonlinear behaviour, so formulation variables must be evaluated experimentally rather than optimized independently (Bureiko et al., 2015).</w:t>
      </w:r>
    </w:p>
    <w:p w14:paraId="15A6B631" w14:textId="77777777" w:rsidR="007F2C00" w:rsidRPr="002F3004" w:rsidRDefault="00000000" w:rsidP="00C17A09">
      <w:pPr>
        <w:jc w:val="both"/>
        <w:rPr>
          <w:rFonts w:cs="Times New Roman"/>
          <w:szCs w:val="24"/>
        </w:rPr>
      </w:pPr>
      <w:r w:rsidRPr="002F3004">
        <w:rPr>
          <w:rFonts w:cs="Times New Roman"/>
          <w:szCs w:val="24"/>
        </w:rPr>
        <w:lastRenderedPageBreak/>
        <w:t>For the present project, the foam is intended to act as a delivery matrix rather than as the therapeutic agent itself. Its scientific value will therefore be judged by whether it preserves the chemical identity of turmeric and guggul markers, permits appropriate local release, spreads effectively over the wound surface and remains stable enough for storage and use.</w:t>
      </w:r>
    </w:p>
    <w:p w14:paraId="37A83C9C"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1.10.1 Components of a Non-Propellant Foam</w:t>
      </w:r>
    </w:p>
    <w:p w14:paraId="4C29F919" w14:textId="77777777" w:rsidR="007F2C00" w:rsidRPr="002F3004" w:rsidRDefault="00000000" w:rsidP="00C17A09">
      <w:pPr>
        <w:ind w:firstLine="0"/>
        <w:jc w:val="both"/>
        <w:rPr>
          <w:rFonts w:cs="Times New Roman"/>
          <w:szCs w:val="24"/>
        </w:rPr>
      </w:pPr>
      <w:r w:rsidRPr="002F3004">
        <w:rPr>
          <w:rFonts w:cs="Times New Roman"/>
          <w:szCs w:val="24"/>
        </w:rPr>
        <w:t>Surfactants are central to foam formation because they influence interfacial tension and bubble-film stability. Non-ionic surfactants may be attractive where mildness and compatibility are priorities, while amphoteric or anionic systems can provide different foaming profiles. The choice should be based on concentration, irritancy potential, compatibility with plant constituents and the desired foam characteristics rather than on foaming power alone.</w:t>
      </w:r>
    </w:p>
    <w:p w14:paraId="0146186A" w14:textId="77777777" w:rsidR="007F2C00" w:rsidRPr="002F3004" w:rsidRDefault="00000000" w:rsidP="00C17A09">
      <w:pPr>
        <w:ind w:firstLine="0"/>
        <w:jc w:val="both"/>
        <w:rPr>
          <w:rFonts w:cs="Times New Roman"/>
          <w:szCs w:val="24"/>
        </w:rPr>
      </w:pPr>
      <w:r w:rsidRPr="002F3004">
        <w:rPr>
          <w:rFonts w:cs="Times New Roman"/>
          <w:szCs w:val="24"/>
        </w:rPr>
        <w:t>Polymers and stabilizers can modify viscosity and drainage. A modest increase in continuous-phase viscosity may increase foam lifetime, but excessive viscosity can reduce dispensing efficiency and impair spreading. Humectants can influence water activity and skin feel, while emollients may improve handling and reduce the perception of dryness. Preservatives may be required where the aqueous formulation is susceptible to microbial contamination, but their concentration must remain compatible with the wound environment.</w:t>
      </w:r>
    </w:p>
    <w:p w14:paraId="7923564C" w14:textId="77777777" w:rsidR="007F2C00" w:rsidRPr="002F3004" w:rsidRDefault="00000000" w:rsidP="00C17A09">
      <w:pPr>
        <w:ind w:firstLine="0"/>
        <w:jc w:val="both"/>
        <w:rPr>
          <w:rFonts w:cs="Times New Roman"/>
          <w:szCs w:val="24"/>
        </w:rPr>
      </w:pPr>
      <w:r w:rsidRPr="002F3004">
        <w:rPr>
          <w:rFonts w:cs="Times New Roman"/>
          <w:szCs w:val="24"/>
        </w:rPr>
        <w:t>The vehicle is particularly important for turmeric and guggul. The vehicle must support dispersion or solubilization of poorly water-soluble constituents while maintaining chemical stability. Co-solvents, emulsification strategies, phospholipidic components or other solubilizing approaches may be considered during preformulation, provided their safety and compatibility are established.</w:t>
      </w:r>
    </w:p>
    <w:p w14:paraId="5BB29FDD"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1.10.2 Foam Quality Attributes</w:t>
      </w:r>
    </w:p>
    <w:p w14:paraId="6EABC935" w14:textId="77777777" w:rsidR="007F2C00" w:rsidRPr="002F3004" w:rsidRDefault="00000000" w:rsidP="00C17A09">
      <w:pPr>
        <w:ind w:firstLine="0"/>
        <w:jc w:val="both"/>
        <w:rPr>
          <w:rFonts w:cs="Times New Roman"/>
          <w:szCs w:val="24"/>
        </w:rPr>
      </w:pPr>
      <w:r w:rsidRPr="002F3004">
        <w:rPr>
          <w:rFonts w:cs="Times New Roman"/>
          <w:szCs w:val="24"/>
        </w:rPr>
        <w:t>Key foam attributes include foamability, expansion ratio, density, collapse time, viscosity, spreadability, bubble structure and content uniformity. Foamability reflects the ease with which a stable foam can be generated. Expansion ratio describes the relationship between the volume of the foam and the volume of the original liquid. Density is inversely related to the apparent gas fraction under defined conditions. Collapse time provides an empirical measure of structural persistence.</w:t>
      </w:r>
    </w:p>
    <w:p w14:paraId="4F52F3FC" w14:textId="77777777" w:rsidR="007F2C00" w:rsidRPr="002F3004" w:rsidRDefault="00000000" w:rsidP="00C17A09">
      <w:pPr>
        <w:ind w:firstLine="0"/>
        <w:jc w:val="both"/>
        <w:rPr>
          <w:rFonts w:cs="Times New Roman"/>
          <w:szCs w:val="24"/>
        </w:rPr>
      </w:pPr>
      <w:r w:rsidRPr="002F3004">
        <w:rPr>
          <w:rFonts w:cs="Times New Roman"/>
          <w:szCs w:val="24"/>
        </w:rPr>
        <w:t xml:space="preserve">These parameters should be interpreted together. A formulation with a high expansion ratio but very short collapse time may be visually impressive but functionally poor. Conversely, a dense, long-lived foam may be physically stable but difficult to spread. The optimal formulation is therefore not the </w:t>
      </w:r>
      <w:r w:rsidRPr="002F3004">
        <w:rPr>
          <w:rFonts w:cs="Times New Roman"/>
          <w:szCs w:val="24"/>
        </w:rPr>
        <w:lastRenderedPageBreak/>
        <w:t>one that maximizes a single parameter; it is the one that satisfies the predefined quality target profile while maintaining chemical and biological acceptability.</w:t>
      </w:r>
    </w:p>
    <w:p w14:paraId="3C66DC98"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1.10.3 Formulation Optimization and Design of Experiments</w:t>
      </w:r>
    </w:p>
    <w:p w14:paraId="51298916" w14:textId="77777777" w:rsidR="007F2C00" w:rsidRPr="002F3004" w:rsidRDefault="00000000" w:rsidP="00C17A09">
      <w:pPr>
        <w:ind w:firstLine="0"/>
        <w:jc w:val="both"/>
        <w:rPr>
          <w:rFonts w:cs="Times New Roman"/>
          <w:szCs w:val="24"/>
        </w:rPr>
      </w:pPr>
      <w:r w:rsidRPr="002F3004">
        <w:rPr>
          <w:rFonts w:cs="Times New Roman"/>
          <w:szCs w:val="24"/>
        </w:rPr>
        <w:t>Optimization is a central element of the doctoral formulation strategy. Conventional one-factor-at-a-time experiments can identify broad effects but are inefficient when several variables interact. A design-of-experiments approach allows the effects of multiple factors and their interactions to be estimated systematically. Candidate variables may include surfactant concentration, polymer concentration, humectant level, extract concentration or processing conditions, while responses may include foam density, collapse time, viscosity, pH, marker content and release behaviour.</w:t>
      </w:r>
    </w:p>
    <w:p w14:paraId="417CF0FA" w14:textId="77777777" w:rsidR="007F2C00" w:rsidRPr="002F3004" w:rsidRDefault="00000000" w:rsidP="00C17A09">
      <w:pPr>
        <w:jc w:val="both"/>
        <w:rPr>
          <w:rFonts w:cs="Times New Roman"/>
          <w:szCs w:val="24"/>
        </w:rPr>
      </w:pPr>
      <w:r w:rsidRPr="002F3004">
        <w:rPr>
          <w:rFonts w:cs="Times New Roman"/>
          <w:szCs w:val="24"/>
        </w:rPr>
        <w:t>The scientific advantage of DoE is not simply a reduction in the number of batches. It permits formulation scientists to model the response surface and identify a design space in which multiple quality attributes are simultaneously acceptable. This is particularly relevant to a polyherbal system because an excipient that improves foam stability may alter curcumin dispersion, while a solvent that improves guggul dispersion may change foam structure. Optimization must therefore consider the formulation as a system.</w:t>
      </w:r>
    </w:p>
    <w:p w14:paraId="71357471" w14:textId="77777777" w:rsidR="007F2C00" w:rsidRPr="002F3004" w:rsidRDefault="00000000" w:rsidP="00C17A09">
      <w:pPr>
        <w:pStyle w:val="Heading2"/>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1.10.4 In-Vitro Release and Ex-Vivo Deposition</w:t>
      </w:r>
    </w:p>
    <w:p w14:paraId="2AC11A26" w14:textId="77777777" w:rsidR="007F2C00" w:rsidRPr="002F3004" w:rsidRDefault="00000000" w:rsidP="00C17A09">
      <w:pPr>
        <w:ind w:firstLine="0"/>
        <w:jc w:val="both"/>
        <w:rPr>
          <w:rFonts w:cs="Times New Roman"/>
          <w:szCs w:val="24"/>
        </w:rPr>
      </w:pPr>
      <w:r w:rsidRPr="002F3004">
        <w:rPr>
          <w:rFonts w:cs="Times New Roman"/>
          <w:szCs w:val="24"/>
        </w:rPr>
        <w:t>In-vitro release testing provides information on how the formulation makes its marker compounds available over time. It does not directly prove wound efficacy, but it can reveal whether the system produces immediate, sustained or biphasic release and whether formulation changes alter release kinetics. Mathematical models may be applied where justified, but model selection should be based on mechanistic plausibility rather than choosing the equation with the highest statistical fit.</w:t>
      </w:r>
    </w:p>
    <w:p w14:paraId="4D14EA76" w14:textId="77777777" w:rsidR="007F2C00" w:rsidRPr="002F3004" w:rsidRDefault="00000000" w:rsidP="00C17A09">
      <w:pPr>
        <w:jc w:val="both"/>
        <w:rPr>
          <w:rFonts w:cs="Times New Roman"/>
          <w:szCs w:val="24"/>
        </w:rPr>
      </w:pPr>
      <w:r w:rsidRPr="002F3004">
        <w:rPr>
          <w:rFonts w:cs="Times New Roman"/>
          <w:szCs w:val="24"/>
        </w:rPr>
        <w:t>Ex-vivo skin deposition and permeation studies add a biological barrier to the analysis. For wound applications, the goal may be local deposition rather than deep systemic permeation. Therefore, an ideal formulation may show high retention within the relevant tissue compartment and limited unnecessary transdermal passage. Modern natural-product delivery research emphasizes that the therapeutic benefit of a plant extract depends strongly on the delivery system used to overcome physicochemical barriers (Li et al., 2022).</w:t>
      </w:r>
    </w:p>
    <w:p w14:paraId="367395B9" w14:textId="1E3DB0BE" w:rsidR="007F2C00" w:rsidRPr="002F3004" w:rsidRDefault="0082582D" w:rsidP="00C17A09">
      <w:pPr>
        <w:jc w:val="both"/>
        <w:rPr>
          <w:rFonts w:cs="Times New Roman"/>
          <w:szCs w:val="24"/>
        </w:rPr>
      </w:pPr>
      <w:r w:rsidRPr="002F3004">
        <w:rPr>
          <w:rFonts w:cs="Times New Roman"/>
          <w:szCs w:val="24"/>
        </w:rPr>
        <w:lastRenderedPageBreak/>
        <w:drawing>
          <wp:inline distT="0" distB="0" distL="0" distR="0" wp14:anchorId="3FB22EDB" wp14:editId="4B0C5F95">
            <wp:extent cx="6126480" cy="4415155"/>
            <wp:effectExtent l="0" t="0" r="7620" b="4445"/>
            <wp:docPr id="88699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4592" name=""/>
                    <pic:cNvPicPr/>
                  </pic:nvPicPr>
                  <pic:blipFill>
                    <a:blip r:embed="rId9"/>
                    <a:stretch>
                      <a:fillRect/>
                    </a:stretch>
                  </pic:blipFill>
                  <pic:spPr>
                    <a:xfrm>
                      <a:off x="0" y="0"/>
                      <a:ext cx="6126480" cy="4415155"/>
                    </a:xfrm>
                    <a:prstGeom prst="rect">
                      <a:avLst/>
                    </a:prstGeom>
                  </pic:spPr>
                </pic:pic>
              </a:graphicData>
            </a:graphic>
          </wp:inline>
        </w:drawing>
      </w:r>
    </w:p>
    <w:p w14:paraId="0B43A06B" w14:textId="77777777" w:rsidR="007F2C00" w:rsidRPr="002F3004" w:rsidRDefault="00000000" w:rsidP="00C17A09">
      <w:pPr>
        <w:pStyle w:val="CaptionCustom"/>
        <w:jc w:val="both"/>
        <w:rPr>
          <w:rFonts w:cs="Times New Roman"/>
          <w:sz w:val="24"/>
          <w:szCs w:val="24"/>
        </w:rPr>
      </w:pPr>
      <w:r w:rsidRPr="002F3004">
        <w:rPr>
          <w:rFonts w:cs="Times New Roman"/>
          <w:sz w:val="24"/>
          <w:szCs w:val="24"/>
        </w:rPr>
        <w:t>Figure 2. Proposed research framework linking botanical standardization, formulation development, optimization and biological validation.</w:t>
      </w:r>
    </w:p>
    <w:p w14:paraId="3C6DE3EA" w14:textId="77777777" w:rsidR="007F2C00" w:rsidRPr="002F3004" w:rsidRDefault="00000000" w:rsidP="00C17A09">
      <w:pPr>
        <w:pStyle w:val="Heading1"/>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1.11 Research Gap</w:t>
      </w:r>
    </w:p>
    <w:p w14:paraId="5ECD66F1" w14:textId="77777777" w:rsidR="007F2C00" w:rsidRPr="002F3004" w:rsidRDefault="00000000" w:rsidP="00C17A09">
      <w:pPr>
        <w:jc w:val="both"/>
        <w:rPr>
          <w:rFonts w:cs="Times New Roman"/>
          <w:szCs w:val="24"/>
        </w:rPr>
      </w:pPr>
      <w:r w:rsidRPr="002F3004">
        <w:rPr>
          <w:rFonts w:cs="Times New Roman"/>
          <w:szCs w:val="24"/>
        </w:rPr>
        <w:t>The literature establishes strong but separate evidence streams. First, wound healing is a highly coordinated process in which inflammation, oxidative stress, microbial burden, angiogenesis, epithelialization and matrix remodelling interact. Second, turmeric and curcumin have substantial preclinical evidence supporting anti-inflammatory, antioxidant, antimicrobial and wound-related activity. Third, guggul and guggulsterones possess documented anti-inflammatory, antioxidant and antimicrobial properties. Fourth, pharmaceutical foams have been explored as topical delivery systems with useful application characteristics (Akbik et al., 2014; Sarup et al., 2015; Arzhavitina &amp; Steckel, 2010; Parsa et al., 2019).</w:t>
      </w:r>
    </w:p>
    <w:p w14:paraId="08F30AB7" w14:textId="77777777" w:rsidR="007F2C00" w:rsidRPr="002F3004" w:rsidRDefault="00000000" w:rsidP="00C17A09">
      <w:pPr>
        <w:jc w:val="both"/>
        <w:rPr>
          <w:rFonts w:cs="Times New Roman"/>
          <w:szCs w:val="24"/>
        </w:rPr>
      </w:pPr>
      <w:r w:rsidRPr="002F3004">
        <w:rPr>
          <w:rFonts w:cs="Times New Roman"/>
          <w:szCs w:val="24"/>
        </w:rPr>
        <w:t xml:space="preserve">What is less well established is the integration of these evidence streams into a standardized polyherbal non-propellant foam for external wound management. In particular, there is a lack of formulation-specific comparative evidence in which turmeric alone, guggul alone and their </w:t>
      </w:r>
      <w:r w:rsidRPr="002F3004">
        <w:rPr>
          <w:rFonts w:cs="Times New Roman"/>
          <w:szCs w:val="24"/>
        </w:rPr>
        <w:lastRenderedPageBreak/>
        <w:t>combination are developed and evaluated under the same experimental conditions. Such comparison is necessary to distinguish a genuine combination advantage from the intrinsic effect of either botanical.</w:t>
      </w:r>
    </w:p>
    <w:p w14:paraId="6EEEB5D1" w14:textId="77777777" w:rsidR="007F2C00" w:rsidRPr="002F3004" w:rsidRDefault="00000000" w:rsidP="00C17A09">
      <w:pPr>
        <w:jc w:val="both"/>
        <w:rPr>
          <w:rFonts w:cs="Times New Roman"/>
          <w:szCs w:val="24"/>
        </w:rPr>
      </w:pPr>
      <w:r w:rsidRPr="002F3004">
        <w:rPr>
          <w:rFonts w:cs="Times New Roman"/>
          <w:szCs w:val="24"/>
        </w:rPr>
        <w:t>A second gap concerns chemical–pharmaceutical linkage. Botanical studies frequently report biological activity without sufficiently defining the chemical composition of the material used. Conversely, formulation studies may report acceptable physical properties without demonstrating that the botanical markers remain stable. The present thesis addresses this problem by linking authentication, extraction, standardization and analytical characterization with formulation development and stability testing.</w:t>
      </w:r>
    </w:p>
    <w:p w14:paraId="56C1FAA0" w14:textId="77777777" w:rsidR="007F2C00" w:rsidRPr="002F3004" w:rsidRDefault="00000000" w:rsidP="00C17A09">
      <w:pPr>
        <w:jc w:val="both"/>
        <w:rPr>
          <w:rFonts w:cs="Times New Roman"/>
          <w:szCs w:val="24"/>
        </w:rPr>
      </w:pPr>
      <w:r w:rsidRPr="002F3004">
        <w:rPr>
          <w:rFonts w:cs="Times New Roman"/>
          <w:szCs w:val="24"/>
        </w:rPr>
        <w:t>A third gap is the incomplete integration of performance testing. Release, ex-vivo deposition, antimicrobial activity, antioxidant activity, anti-inflammatory effects, safety and wound closure are often reported separately. A doctoral-level study can contribute more if it examines the relationship among these levels: whether a formulation with superior foam characteristics also produces superior local marker availability, whether marker stability predicts biological activity, and whether the combination provides an advantage over individual extracts.</w:t>
      </w:r>
    </w:p>
    <w:p w14:paraId="6AB8B4F3" w14:textId="77777777" w:rsidR="007F2C00" w:rsidRPr="002F3004" w:rsidRDefault="00000000" w:rsidP="00C17A09">
      <w:pPr>
        <w:jc w:val="both"/>
        <w:rPr>
          <w:rFonts w:cs="Times New Roman"/>
          <w:szCs w:val="24"/>
        </w:rPr>
      </w:pPr>
      <w:r w:rsidRPr="002F3004">
        <w:rPr>
          <w:rFonts w:cs="Times New Roman"/>
          <w:szCs w:val="24"/>
        </w:rPr>
        <w:t>Finally, the translation gap remains important. Promising preclinical evidence does not guarantee clinical utility. The proposed study therefore should not overstate its conclusions. Its contribution is to generate a coherent preclinical formulation package that can justify future development, not to claim clinical efficacy before controlled human studies are performed.</w:t>
      </w:r>
    </w:p>
    <w:p w14:paraId="4B02AC89" w14:textId="77777777" w:rsidR="007F2C00" w:rsidRPr="002F3004" w:rsidRDefault="00000000" w:rsidP="00C17A09">
      <w:pPr>
        <w:pStyle w:val="Heading1"/>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1.12 Problem Statement</w:t>
      </w:r>
    </w:p>
    <w:p w14:paraId="40A1F0F1" w14:textId="77777777" w:rsidR="007F2C00" w:rsidRPr="002F3004" w:rsidRDefault="00000000" w:rsidP="00C17A09">
      <w:pPr>
        <w:jc w:val="both"/>
        <w:rPr>
          <w:rFonts w:cs="Times New Roman"/>
          <w:szCs w:val="24"/>
        </w:rPr>
      </w:pPr>
      <w:r w:rsidRPr="002F3004">
        <w:rPr>
          <w:rFonts w:cs="Times New Roman"/>
          <w:szCs w:val="24"/>
        </w:rPr>
        <w:t>Despite the recognized wound-related pharmacological potential of turmeric and the complementary anti-inflammatory and antimicrobial profile of guggul, there remains insufficient formulation-specific evidence for a standardized combination delivered through a non-propellant foam. The central problem is therefore the absence of a reproducible topical system that can accommodate the physicochemical characteristics of both botanicals, preserve their selected chemical markers, provide acceptable foam and application properties, deliver the actives locally, and demonstrate biological effectiveness with an acceptable safety and stability profile. The proposed research addresses this problem by integrating botanical standardization, formulation science, analytical characterization and pharmacological evaluation within a single experimental framework.</w:t>
      </w:r>
    </w:p>
    <w:p w14:paraId="1FA519FB" w14:textId="77777777" w:rsidR="007F2C00" w:rsidRPr="002F3004" w:rsidRDefault="00000000" w:rsidP="00C17A09">
      <w:pPr>
        <w:pStyle w:val="Heading1"/>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lastRenderedPageBreak/>
        <w:t>1.13 Aim of the Study</w:t>
      </w:r>
    </w:p>
    <w:p w14:paraId="1BE27027" w14:textId="77777777" w:rsidR="007F2C00" w:rsidRPr="002F3004" w:rsidRDefault="00000000" w:rsidP="00C17A09">
      <w:pPr>
        <w:jc w:val="both"/>
        <w:rPr>
          <w:rFonts w:cs="Times New Roman"/>
          <w:szCs w:val="24"/>
        </w:rPr>
      </w:pPr>
      <w:r w:rsidRPr="002F3004">
        <w:rPr>
          <w:rFonts w:cs="Times New Roman"/>
          <w:szCs w:val="24"/>
        </w:rPr>
        <w:t>To develop, optimize and scientifically evaluate a standardized polyherbal non-propellant foam containing turmeric (Curcuma longa) and guggul (Commiphora wightii) extracts for external wound management, with emphasis on chemical standardization, formulation performance, local delivery, biological activity, safety and stability.</w:t>
      </w:r>
    </w:p>
    <w:p w14:paraId="58F543F6" w14:textId="77777777" w:rsidR="007F2C00" w:rsidRPr="002F3004" w:rsidRDefault="00000000" w:rsidP="00C17A09">
      <w:pPr>
        <w:pStyle w:val="Heading1"/>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1.14 Objectives of the Study</w:t>
      </w:r>
    </w:p>
    <w:p w14:paraId="543D0C42" w14:textId="77777777" w:rsidR="007F2C00" w:rsidRPr="002F3004" w:rsidRDefault="00000000" w:rsidP="00C17A09">
      <w:pPr>
        <w:ind w:left="432" w:firstLine="0"/>
        <w:jc w:val="both"/>
        <w:rPr>
          <w:rFonts w:cs="Times New Roman"/>
          <w:szCs w:val="24"/>
        </w:rPr>
      </w:pPr>
      <w:r w:rsidRPr="002F3004">
        <w:rPr>
          <w:rFonts w:cs="Times New Roman"/>
          <w:szCs w:val="24"/>
        </w:rPr>
        <w:t>1. To authenticate and characterize the selected plant materials of Curcuma longa and Commiphora wightii.</w:t>
      </w:r>
    </w:p>
    <w:p w14:paraId="450C1C4A" w14:textId="77777777" w:rsidR="007F2C00" w:rsidRPr="002F3004" w:rsidRDefault="00000000" w:rsidP="00C17A09">
      <w:pPr>
        <w:ind w:left="432" w:firstLine="0"/>
        <w:jc w:val="both"/>
        <w:rPr>
          <w:rFonts w:cs="Times New Roman"/>
          <w:szCs w:val="24"/>
        </w:rPr>
      </w:pPr>
      <w:r w:rsidRPr="002F3004">
        <w:rPr>
          <w:rFonts w:cs="Times New Roman"/>
          <w:szCs w:val="24"/>
        </w:rPr>
        <w:t>2. To develop suitable extraction procedures and determine extraction yields and relevant phytochemical characteristics.</w:t>
      </w:r>
    </w:p>
    <w:p w14:paraId="7CA61454" w14:textId="77777777" w:rsidR="007F2C00" w:rsidRPr="002F3004" w:rsidRDefault="00000000" w:rsidP="00C17A09">
      <w:pPr>
        <w:ind w:left="432" w:firstLine="0"/>
        <w:jc w:val="both"/>
        <w:rPr>
          <w:rFonts w:cs="Times New Roman"/>
          <w:szCs w:val="24"/>
        </w:rPr>
      </w:pPr>
      <w:r w:rsidRPr="002F3004">
        <w:rPr>
          <w:rFonts w:cs="Times New Roman"/>
          <w:szCs w:val="24"/>
        </w:rPr>
        <w:t>3. To standardize turmeric extract using selected curcuminoid/curcumin markers and guggul extract using selected guggulsterone markers.</w:t>
      </w:r>
    </w:p>
    <w:p w14:paraId="0A66C55E" w14:textId="77777777" w:rsidR="007F2C00" w:rsidRPr="002F3004" w:rsidRDefault="00000000" w:rsidP="00C17A09">
      <w:pPr>
        <w:ind w:left="432" w:firstLine="0"/>
        <w:jc w:val="both"/>
        <w:rPr>
          <w:rFonts w:cs="Times New Roman"/>
          <w:szCs w:val="24"/>
        </w:rPr>
      </w:pPr>
      <w:r w:rsidRPr="002F3004">
        <w:rPr>
          <w:rFonts w:cs="Times New Roman"/>
          <w:szCs w:val="24"/>
        </w:rPr>
        <w:t>4. To characterize the botanical extracts using suitable analytical tools such as HPLC/HPTLC, FTIR and, where appropriate, LC-MS/MS.</w:t>
      </w:r>
    </w:p>
    <w:p w14:paraId="23AE5B86" w14:textId="77777777" w:rsidR="007F2C00" w:rsidRPr="002F3004" w:rsidRDefault="00000000" w:rsidP="00C17A09">
      <w:pPr>
        <w:ind w:left="432" w:firstLine="0"/>
        <w:jc w:val="both"/>
        <w:rPr>
          <w:rFonts w:cs="Times New Roman"/>
          <w:szCs w:val="24"/>
        </w:rPr>
      </w:pPr>
      <w:r w:rsidRPr="002F3004">
        <w:rPr>
          <w:rFonts w:cs="Times New Roman"/>
          <w:szCs w:val="24"/>
        </w:rPr>
        <w:t>5. To conduct preformulation studies addressing solubility, compatibility, pH, physical stability and interaction with selected excipients.</w:t>
      </w:r>
    </w:p>
    <w:p w14:paraId="72F9FC3E" w14:textId="77777777" w:rsidR="007F2C00" w:rsidRPr="002F3004" w:rsidRDefault="00000000" w:rsidP="00C17A09">
      <w:pPr>
        <w:ind w:left="432" w:firstLine="0"/>
        <w:jc w:val="both"/>
        <w:rPr>
          <w:rFonts w:cs="Times New Roman"/>
          <w:szCs w:val="24"/>
        </w:rPr>
      </w:pPr>
      <w:r w:rsidRPr="002F3004">
        <w:rPr>
          <w:rFonts w:cs="Times New Roman"/>
          <w:szCs w:val="24"/>
        </w:rPr>
        <w:t>6. To develop turmeric-only, guggul-only and turmeric–guggul polyherbal non-propellant foam formulations.</w:t>
      </w:r>
    </w:p>
    <w:p w14:paraId="7B4ECB2F" w14:textId="77777777" w:rsidR="007F2C00" w:rsidRPr="002F3004" w:rsidRDefault="00000000" w:rsidP="00C17A09">
      <w:pPr>
        <w:ind w:left="432" w:firstLine="0"/>
        <w:jc w:val="both"/>
        <w:rPr>
          <w:rFonts w:cs="Times New Roman"/>
          <w:szCs w:val="24"/>
        </w:rPr>
      </w:pPr>
      <w:r w:rsidRPr="002F3004">
        <w:rPr>
          <w:rFonts w:cs="Times New Roman"/>
          <w:szCs w:val="24"/>
        </w:rPr>
        <w:t>7. To optimize the formulation using an appropriate design-of-experiments strategy and predefined critical quality attributes.</w:t>
      </w:r>
    </w:p>
    <w:p w14:paraId="18D5C33C" w14:textId="77777777" w:rsidR="007F2C00" w:rsidRPr="002F3004" w:rsidRDefault="00000000" w:rsidP="00C17A09">
      <w:pPr>
        <w:ind w:left="432" w:firstLine="0"/>
        <w:jc w:val="both"/>
        <w:rPr>
          <w:rFonts w:cs="Times New Roman"/>
          <w:szCs w:val="24"/>
        </w:rPr>
      </w:pPr>
      <w:r w:rsidRPr="002F3004">
        <w:rPr>
          <w:rFonts w:cs="Times New Roman"/>
          <w:szCs w:val="24"/>
        </w:rPr>
        <w:t>8. To evaluate physicochemical and foam characteristics including pH, viscosity, density, foamability, expansion, collapse behaviour and spreadability.</w:t>
      </w:r>
    </w:p>
    <w:p w14:paraId="5BAFA3B2" w14:textId="77777777" w:rsidR="007F2C00" w:rsidRPr="002F3004" w:rsidRDefault="00000000" w:rsidP="00C17A09">
      <w:pPr>
        <w:ind w:left="432" w:firstLine="0"/>
        <w:jc w:val="both"/>
        <w:rPr>
          <w:rFonts w:cs="Times New Roman"/>
          <w:szCs w:val="24"/>
        </w:rPr>
      </w:pPr>
      <w:r w:rsidRPr="002F3004">
        <w:rPr>
          <w:rFonts w:cs="Times New Roman"/>
          <w:szCs w:val="24"/>
        </w:rPr>
        <w:t>9. To quantify the selected botanical marker compounds in the optimized formulation and assess their chemical stability.</w:t>
      </w:r>
    </w:p>
    <w:p w14:paraId="7C27C7C4" w14:textId="77777777" w:rsidR="007F2C00" w:rsidRPr="002F3004" w:rsidRDefault="00000000" w:rsidP="00C17A09">
      <w:pPr>
        <w:ind w:left="432" w:firstLine="0"/>
        <w:jc w:val="both"/>
        <w:rPr>
          <w:rFonts w:cs="Times New Roman"/>
          <w:szCs w:val="24"/>
        </w:rPr>
      </w:pPr>
      <w:r w:rsidRPr="002F3004">
        <w:rPr>
          <w:rFonts w:cs="Times New Roman"/>
          <w:szCs w:val="24"/>
        </w:rPr>
        <w:t>10. To investigate in-vitro release of relevant marker compounds from the optimized foam.</w:t>
      </w:r>
    </w:p>
    <w:p w14:paraId="1D279DD2" w14:textId="77777777" w:rsidR="007F2C00" w:rsidRPr="002F3004" w:rsidRDefault="00000000" w:rsidP="00C17A09">
      <w:pPr>
        <w:ind w:left="432" w:firstLine="0"/>
        <w:jc w:val="both"/>
        <w:rPr>
          <w:rFonts w:cs="Times New Roman"/>
          <w:szCs w:val="24"/>
        </w:rPr>
      </w:pPr>
      <w:r w:rsidRPr="002F3004">
        <w:rPr>
          <w:rFonts w:cs="Times New Roman"/>
          <w:szCs w:val="24"/>
        </w:rPr>
        <w:t>11. To determine ex-vivo skin permeation and/or tissue deposition behaviour where appropriate to the approved experimental design.</w:t>
      </w:r>
    </w:p>
    <w:p w14:paraId="13DE3F42" w14:textId="77777777" w:rsidR="007F2C00" w:rsidRPr="002F3004" w:rsidRDefault="00000000" w:rsidP="00C17A09">
      <w:pPr>
        <w:ind w:left="432" w:firstLine="0"/>
        <w:jc w:val="both"/>
        <w:rPr>
          <w:rFonts w:cs="Times New Roman"/>
          <w:szCs w:val="24"/>
        </w:rPr>
      </w:pPr>
      <w:r w:rsidRPr="002F3004">
        <w:rPr>
          <w:rFonts w:cs="Times New Roman"/>
          <w:szCs w:val="24"/>
        </w:rPr>
        <w:lastRenderedPageBreak/>
        <w:t>12. To evaluate antimicrobial, antioxidant and anti-inflammatory activities of individual and combined formulations.</w:t>
      </w:r>
    </w:p>
    <w:p w14:paraId="502D82C5" w14:textId="77777777" w:rsidR="007F2C00" w:rsidRPr="002F3004" w:rsidRDefault="00000000" w:rsidP="00C17A09">
      <w:pPr>
        <w:ind w:left="432" w:firstLine="0"/>
        <w:jc w:val="both"/>
        <w:rPr>
          <w:rFonts w:cs="Times New Roman"/>
          <w:szCs w:val="24"/>
        </w:rPr>
      </w:pPr>
      <w:r w:rsidRPr="002F3004">
        <w:rPr>
          <w:rFonts w:cs="Times New Roman"/>
          <w:szCs w:val="24"/>
        </w:rPr>
        <w:t>13. To assess topical safety and skin-irritation potential of the optimized formulation.</w:t>
      </w:r>
    </w:p>
    <w:p w14:paraId="7CFE9774" w14:textId="77777777" w:rsidR="007F2C00" w:rsidRPr="002F3004" w:rsidRDefault="00000000" w:rsidP="00C17A09">
      <w:pPr>
        <w:ind w:left="432" w:firstLine="0"/>
        <w:jc w:val="both"/>
        <w:rPr>
          <w:rFonts w:cs="Times New Roman"/>
          <w:szCs w:val="24"/>
        </w:rPr>
      </w:pPr>
      <w:r w:rsidRPr="002F3004">
        <w:rPr>
          <w:rFonts w:cs="Times New Roman"/>
          <w:szCs w:val="24"/>
        </w:rPr>
        <w:t>14. To evaluate the stability of the optimized formulation under defined storage conditions.</w:t>
      </w:r>
    </w:p>
    <w:p w14:paraId="4E053FD1" w14:textId="77777777" w:rsidR="007F2C00" w:rsidRPr="002F3004" w:rsidRDefault="00000000" w:rsidP="00C17A09">
      <w:pPr>
        <w:ind w:left="432" w:firstLine="0"/>
        <w:jc w:val="both"/>
        <w:rPr>
          <w:rFonts w:cs="Times New Roman"/>
          <w:szCs w:val="24"/>
        </w:rPr>
      </w:pPr>
      <w:r w:rsidRPr="002F3004">
        <w:rPr>
          <w:rFonts w:cs="Times New Roman"/>
          <w:szCs w:val="24"/>
        </w:rPr>
        <w:t>15. To investigate wound-healing activity in an appropriate validated in-vivo model, including wound contraction and histopathological assessment.</w:t>
      </w:r>
    </w:p>
    <w:p w14:paraId="3A6E0660" w14:textId="77777777" w:rsidR="007F2C00" w:rsidRPr="002F3004" w:rsidRDefault="00000000" w:rsidP="00C17A09">
      <w:pPr>
        <w:ind w:left="432" w:firstLine="0"/>
        <w:jc w:val="both"/>
        <w:rPr>
          <w:rFonts w:cs="Times New Roman"/>
          <w:szCs w:val="24"/>
        </w:rPr>
      </w:pPr>
      <w:r w:rsidRPr="002F3004">
        <w:rPr>
          <w:rFonts w:cs="Times New Roman"/>
          <w:szCs w:val="24"/>
        </w:rPr>
        <w:t>16. To compare turmeric, guggul, their combination and the selected standard treatment using predefined outcome measures.</w:t>
      </w:r>
    </w:p>
    <w:p w14:paraId="29F7555C" w14:textId="77777777" w:rsidR="007F2C00" w:rsidRPr="002F3004" w:rsidRDefault="00000000" w:rsidP="00C17A09">
      <w:pPr>
        <w:ind w:left="432" w:firstLine="0"/>
        <w:jc w:val="both"/>
        <w:rPr>
          <w:rFonts w:cs="Times New Roman"/>
          <w:szCs w:val="24"/>
        </w:rPr>
      </w:pPr>
      <w:r w:rsidRPr="002F3004">
        <w:rPr>
          <w:rFonts w:cs="Times New Roman"/>
          <w:szCs w:val="24"/>
        </w:rPr>
        <w:t>17. To determine whether the combined formulation provides evidence of additive or potentially synergistic performance relative to the individual botanical formulations.</w:t>
      </w:r>
    </w:p>
    <w:p w14:paraId="10928503" w14:textId="77777777" w:rsidR="007F2C00" w:rsidRPr="002F3004" w:rsidRDefault="00000000" w:rsidP="00C17A09">
      <w:pPr>
        <w:pStyle w:val="Heading1"/>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1.15 Research Hypothesis</w:t>
      </w:r>
    </w:p>
    <w:p w14:paraId="60058EB7" w14:textId="77777777" w:rsidR="007F2C00" w:rsidRPr="002F3004" w:rsidRDefault="00000000" w:rsidP="00C17A09">
      <w:pPr>
        <w:jc w:val="both"/>
        <w:rPr>
          <w:rFonts w:cs="Times New Roman"/>
          <w:szCs w:val="24"/>
        </w:rPr>
      </w:pPr>
      <w:r w:rsidRPr="002F3004">
        <w:rPr>
          <w:rFonts w:cs="Times New Roman"/>
          <w:szCs w:val="24"/>
        </w:rPr>
        <w:t>The primary hypothesis is that a standardized polyherbal non-propellant foam containing turmeric and guggul can be formulated with acceptable physicochemical and foam characteristics while preserving the selected botanical marker compounds and providing biologically relevant local activity.</w:t>
      </w:r>
    </w:p>
    <w:p w14:paraId="5040FF63" w14:textId="77777777" w:rsidR="007F2C00" w:rsidRPr="002F3004" w:rsidRDefault="00000000" w:rsidP="00C17A09">
      <w:pPr>
        <w:jc w:val="both"/>
        <w:rPr>
          <w:rFonts w:cs="Times New Roman"/>
          <w:szCs w:val="24"/>
        </w:rPr>
      </w:pPr>
      <w:r w:rsidRPr="002F3004">
        <w:rPr>
          <w:rFonts w:cs="Times New Roman"/>
          <w:szCs w:val="24"/>
        </w:rPr>
        <w:t>The comparative hypothesis is that the optimized turmeric–guggul combination will demonstrate greater overall wound-healing performance than turmeric-only or guggul-only formulations because of complementary antimicrobial, antioxidant and anti-inflammatory effects. This will be considered supported only if the combined formulation produces statistically and biologically meaningful improvements across predefined endpoints and not merely because one isolated assay shows a higher value.</w:t>
      </w:r>
    </w:p>
    <w:p w14:paraId="68924AEF" w14:textId="77777777" w:rsidR="007F2C00" w:rsidRPr="002F3004" w:rsidRDefault="00000000" w:rsidP="00C17A09">
      <w:pPr>
        <w:jc w:val="both"/>
        <w:rPr>
          <w:rFonts w:cs="Times New Roman"/>
          <w:szCs w:val="24"/>
        </w:rPr>
      </w:pPr>
      <w:r w:rsidRPr="002F3004">
        <w:rPr>
          <w:rFonts w:cs="Times New Roman"/>
          <w:szCs w:val="24"/>
        </w:rPr>
        <w:t>A secondary formulation hypothesis is that optimized foam characteristics and marker stability will be associated with improved local release/deposition and, consequently, better biological performance. Testing this relationship provides a bridge between pharmaceutical quality attributes and pharmacological outcomes.</w:t>
      </w:r>
    </w:p>
    <w:p w14:paraId="4F51A816" w14:textId="77777777" w:rsidR="007F2C00" w:rsidRPr="002F3004" w:rsidRDefault="00000000" w:rsidP="00C17A09">
      <w:pPr>
        <w:pStyle w:val="Heading1"/>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1.16 Significance of the Study</w:t>
      </w:r>
    </w:p>
    <w:p w14:paraId="0AAA381A" w14:textId="77777777" w:rsidR="007F2C00" w:rsidRPr="002F3004" w:rsidRDefault="00000000" w:rsidP="00C17A09">
      <w:pPr>
        <w:jc w:val="both"/>
        <w:rPr>
          <w:rFonts w:cs="Times New Roman"/>
          <w:szCs w:val="24"/>
        </w:rPr>
      </w:pPr>
      <w:r w:rsidRPr="002F3004">
        <w:rPr>
          <w:rFonts w:cs="Times New Roman"/>
          <w:szCs w:val="24"/>
        </w:rPr>
        <w:t xml:space="preserve">The scientific significance of the study lies in integrating pharmacognosy, natural-product chemistry, pharmaceutics and wound pharmacology. Rather than treating the botanical extracts as </w:t>
      </w:r>
      <w:r w:rsidRPr="002F3004">
        <w:rPr>
          <w:rFonts w:cs="Times New Roman"/>
          <w:szCs w:val="24"/>
        </w:rPr>
        <w:lastRenderedPageBreak/>
        <w:t>fixed materials, the research establishes a chain of evidence from authentication to chemical standardization, formulation, delivery and biological validation. Such integration is essential for converting traditional medicinal knowledge into a reproducible pharmaceutical research platform.</w:t>
      </w:r>
    </w:p>
    <w:p w14:paraId="3F36E455" w14:textId="77777777" w:rsidR="007F2C00" w:rsidRPr="002F3004" w:rsidRDefault="00000000" w:rsidP="00C17A09">
      <w:pPr>
        <w:jc w:val="both"/>
        <w:rPr>
          <w:rFonts w:cs="Times New Roman"/>
          <w:szCs w:val="24"/>
        </w:rPr>
      </w:pPr>
      <w:r w:rsidRPr="002F3004">
        <w:rPr>
          <w:rFonts w:cs="Times New Roman"/>
          <w:szCs w:val="24"/>
        </w:rPr>
        <w:t>The pharmaceutical significance lies in investigating a non-propellant foam for a wound-care application. Pharmaceutical foams can offer rapid spreading and a light application profile, while the non-propellant approach provides an alternative to conventional propellant-based systems. The project will clarify whether this dosage form can accommodate chemically complex botanical extracts without sacrificing stability or biological activity.</w:t>
      </w:r>
    </w:p>
    <w:p w14:paraId="37E27522" w14:textId="77777777" w:rsidR="007F2C00" w:rsidRPr="002F3004" w:rsidRDefault="00000000" w:rsidP="00C17A09">
      <w:pPr>
        <w:jc w:val="both"/>
        <w:rPr>
          <w:rFonts w:cs="Times New Roman"/>
          <w:szCs w:val="24"/>
        </w:rPr>
      </w:pPr>
      <w:r w:rsidRPr="002F3004">
        <w:rPr>
          <w:rFonts w:cs="Times New Roman"/>
          <w:szCs w:val="24"/>
        </w:rPr>
        <w:t>The therapeutic significance is the possibility of achieving a broader local pharmacological effect through complementary botanical constituents. If the combination outperforms the individual extracts in well-controlled studies, it would support further development of polyherbal systems designed around mechanistic complementarity rather than traditional combination alone.</w:t>
      </w:r>
    </w:p>
    <w:p w14:paraId="05B4748B" w14:textId="77777777" w:rsidR="007F2C00" w:rsidRPr="002F3004" w:rsidRDefault="00000000" w:rsidP="00C17A09">
      <w:pPr>
        <w:jc w:val="both"/>
        <w:rPr>
          <w:rFonts w:cs="Times New Roman"/>
          <w:szCs w:val="24"/>
        </w:rPr>
      </w:pPr>
      <w:r w:rsidRPr="002F3004">
        <w:rPr>
          <w:rFonts w:cs="Times New Roman"/>
          <w:szCs w:val="24"/>
        </w:rPr>
        <w:t>The methodological significance is equally important. By comparing turmeric-only, guggul-only and combined formulations using a common formulation platform, the study can generate evidence about whether the observed benefit is attributable to the combination, to a formulation effect, or simply to one dominant botanical component.</w:t>
      </w:r>
    </w:p>
    <w:p w14:paraId="76E7AE24" w14:textId="77777777" w:rsidR="007F2C00" w:rsidRPr="002F3004" w:rsidRDefault="00000000" w:rsidP="00C17A09">
      <w:pPr>
        <w:pStyle w:val="Heading1"/>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1.17 Scope of the Study</w:t>
      </w:r>
    </w:p>
    <w:p w14:paraId="31109D61" w14:textId="77777777" w:rsidR="007F2C00" w:rsidRPr="002F3004" w:rsidRDefault="00000000" w:rsidP="00C17A09">
      <w:pPr>
        <w:jc w:val="both"/>
        <w:rPr>
          <w:rFonts w:cs="Times New Roman"/>
          <w:szCs w:val="24"/>
        </w:rPr>
      </w:pPr>
      <w:r w:rsidRPr="002F3004">
        <w:rPr>
          <w:rFonts w:cs="Times New Roman"/>
          <w:szCs w:val="24"/>
        </w:rPr>
        <w:t>The scope encompasses authenticated turmeric and guggul materials, standardized extraction, phytochemical characterization, preformulation, development of non-propellant foam formulations, optimization, physicochemical and foam evaluation, marker-compound analysis, release testing, ex-vivo deposition/permeation where appropriate, antimicrobial/antioxidant/anti-inflammatory evaluation, topical safety, stability and in-vivo wound-healing assessment. The study also includes comparison of individual and combined formulations and a selected standard treatment, consistent with the approved research framework.</w:t>
      </w:r>
    </w:p>
    <w:p w14:paraId="65726748" w14:textId="77777777" w:rsidR="007F2C00" w:rsidRPr="002F3004" w:rsidRDefault="00000000" w:rsidP="00C17A09">
      <w:pPr>
        <w:jc w:val="both"/>
        <w:rPr>
          <w:rFonts w:cs="Times New Roman"/>
          <w:szCs w:val="24"/>
        </w:rPr>
      </w:pPr>
      <w:r w:rsidRPr="002F3004">
        <w:rPr>
          <w:rFonts w:cs="Times New Roman"/>
          <w:szCs w:val="24"/>
        </w:rPr>
        <w:t>The study is intentionally focused on external wound management. It does not attempt to establish systemic therapeutic indications for guggul or turmeric, nor does it attempt to replace established wound-care principles. Clinical translation, commercial scale-up, regulatory approval and human efficacy remain beyond the immediate experimental scope and should be treated as future development stages.</w:t>
      </w:r>
    </w:p>
    <w:p w14:paraId="70F11536" w14:textId="77777777" w:rsidR="007F2C00" w:rsidRPr="002F3004" w:rsidRDefault="00000000" w:rsidP="00C17A09">
      <w:pPr>
        <w:pStyle w:val="Heading1"/>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lastRenderedPageBreak/>
        <w:t>1.18 Limitations of the Study</w:t>
      </w:r>
    </w:p>
    <w:p w14:paraId="6BC7B392" w14:textId="77777777" w:rsidR="007F2C00" w:rsidRPr="002F3004" w:rsidRDefault="00000000" w:rsidP="00C17A09">
      <w:pPr>
        <w:jc w:val="both"/>
        <w:rPr>
          <w:rFonts w:cs="Times New Roman"/>
          <w:szCs w:val="24"/>
        </w:rPr>
      </w:pPr>
      <w:r w:rsidRPr="002F3004">
        <w:rPr>
          <w:rFonts w:cs="Times New Roman"/>
          <w:szCs w:val="24"/>
        </w:rPr>
        <w:t>Several limitations should be acknowledged at the outset. First, botanical extracts are inherently complex and cannot be fully represented by a small number of marker compounds. Standardization improves reproducibility but does not prove that the marker is the sole active constituent. Second, in-vitro antioxidant and antimicrobial assays provide mechanistic information but may not predict the magnitude of activity in a living wound.</w:t>
      </w:r>
    </w:p>
    <w:p w14:paraId="6740EB16" w14:textId="77777777" w:rsidR="007F2C00" w:rsidRPr="002F3004" w:rsidRDefault="00000000" w:rsidP="00C17A09">
      <w:pPr>
        <w:jc w:val="both"/>
        <w:rPr>
          <w:rFonts w:cs="Times New Roman"/>
          <w:szCs w:val="24"/>
        </w:rPr>
      </w:pPr>
      <w:r w:rsidRPr="002F3004">
        <w:rPr>
          <w:rFonts w:cs="Times New Roman"/>
          <w:szCs w:val="24"/>
        </w:rPr>
        <w:t>Third, animal wound models reproduce selected aspects of human healing but cannot capture the full complexity of human chronic wounds, comorbidities, behaviour and clinical treatment. Fourth, ex-vivo permeation models provide useful information on tissue deposition but cannot reproduce blood flow, immune recruitment or dynamic wound exudate. Fifth, a non-propellant foam may demonstrate excellent laboratory performance while still requiring additional optimization for packaging, manufacturing, microbiological preservation and long-term storage.</w:t>
      </w:r>
    </w:p>
    <w:p w14:paraId="40879F5B" w14:textId="77777777" w:rsidR="007F2C00" w:rsidRPr="002F3004" w:rsidRDefault="00000000" w:rsidP="00C17A09">
      <w:pPr>
        <w:jc w:val="both"/>
        <w:rPr>
          <w:rFonts w:cs="Times New Roman"/>
          <w:szCs w:val="24"/>
        </w:rPr>
      </w:pPr>
      <w:r w:rsidRPr="002F3004">
        <w:rPr>
          <w:rFonts w:cs="Times New Roman"/>
          <w:szCs w:val="24"/>
        </w:rPr>
        <w:t>Finally, evidence of statistical difference should not automatically be interpreted as evidence of therapeutic superiority. Effect size, biological relevance, reproducibility and consistency across endpoints should be considered together. These limitations are not weaknesses unique to the present project; rather, they define the boundaries within which its conclusions should be interpreted.</w:t>
      </w:r>
    </w:p>
    <w:p w14:paraId="2DF94345" w14:textId="77777777" w:rsidR="007F2C00" w:rsidRPr="002F3004" w:rsidRDefault="00000000" w:rsidP="00C17A09">
      <w:pPr>
        <w:pStyle w:val="CaptionCustom"/>
        <w:jc w:val="both"/>
        <w:rPr>
          <w:rFonts w:cs="Times New Roman"/>
          <w:sz w:val="24"/>
          <w:szCs w:val="24"/>
        </w:rPr>
      </w:pPr>
      <w:r w:rsidRPr="002F3004">
        <w:rPr>
          <w:rFonts w:cs="Times New Roman"/>
          <w:b/>
          <w:sz w:val="24"/>
          <w:szCs w:val="24"/>
        </w:rPr>
        <w:t>Table 3. Sequential logic of the proposed doctoral research program.</w:t>
      </w:r>
    </w:p>
    <w:tbl>
      <w:tblPr>
        <w:tblStyle w:val="TableGrid"/>
        <w:tblW w:w="0" w:type="auto"/>
        <w:jc w:val="center"/>
        <w:tblLook w:val="04A0" w:firstRow="1" w:lastRow="0" w:firstColumn="1" w:lastColumn="0" w:noHBand="0" w:noVBand="1"/>
      </w:tblPr>
      <w:tblGrid>
        <w:gridCol w:w="2327"/>
        <w:gridCol w:w="2207"/>
        <w:gridCol w:w="2888"/>
        <w:gridCol w:w="2216"/>
      </w:tblGrid>
      <w:tr w:rsidR="007F2C00" w:rsidRPr="002F3004" w14:paraId="0659A7AC" w14:textId="77777777">
        <w:trPr>
          <w:jc w:val="center"/>
        </w:trPr>
        <w:tc>
          <w:tcPr>
            <w:tcW w:w="2412" w:type="dxa"/>
          </w:tcPr>
          <w:p w14:paraId="4E968668" w14:textId="77777777" w:rsidR="007F2C00" w:rsidRPr="002F3004" w:rsidRDefault="00000000" w:rsidP="00C17A09">
            <w:pPr>
              <w:jc w:val="both"/>
              <w:rPr>
                <w:rFonts w:cs="Times New Roman"/>
                <w:szCs w:val="24"/>
              </w:rPr>
            </w:pPr>
            <w:r w:rsidRPr="002F3004">
              <w:rPr>
                <w:rFonts w:cs="Times New Roman"/>
                <w:b/>
                <w:szCs w:val="24"/>
              </w:rPr>
              <w:t>Research stage</w:t>
            </w:r>
          </w:p>
        </w:tc>
        <w:tc>
          <w:tcPr>
            <w:tcW w:w="2412" w:type="dxa"/>
          </w:tcPr>
          <w:p w14:paraId="7FAF2389" w14:textId="77777777" w:rsidR="007F2C00" w:rsidRPr="002F3004" w:rsidRDefault="00000000" w:rsidP="00C17A09">
            <w:pPr>
              <w:jc w:val="both"/>
              <w:rPr>
                <w:rFonts w:cs="Times New Roman"/>
                <w:szCs w:val="24"/>
              </w:rPr>
            </w:pPr>
            <w:r w:rsidRPr="002F3004">
              <w:rPr>
                <w:rFonts w:cs="Times New Roman"/>
                <w:b/>
                <w:szCs w:val="24"/>
              </w:rPr>
              <w:t>Primary question</w:t>
            </w:r>
          </w:p>
        </w:tc>
        <w:tc>
          <w:tcPr>
            <w:tcW w:w="2412" w:type="dxa"/>
          </w:tcPr>
          <w:p w14:paraId="7CF34437" w14:textId="77777777" w:rsidR="007F2C00" w:rsidRPr="002F3004" w:rsidRDefault="00000000" w:rsidP="00C17A09">
            <w:pPr>
              <w:jc w:val="both"/>
              <w:rPr>
                <w:rFonts w:cs="Times New Roman"/>
                <w:szCs w:val="24"/>
              </w:rPr>
            </w:pPr>
            <w:r w:rsidRPr="002F3004">
              <w:rPr>
                <w:rFonts w:cs="Times New Roman"/>
                <w:b/>
                <w:szCs w:val="24"/>
              </w:rPr>
              <w:t>Representative outputs</w:t>
            </w:r>
          </w:p>
        </w:tc>
        <w:tc>
          <w:tcPr>
            <w:tcW w:w="2412" w:type="dxa"/>
          </w:tcPr>
          <w:p w14:paraId="1B8CDF27" w14:textId="77777777" w:rsidR="007F2C00" w:rsidRPr="002F3004" w:rsidRDefault="00000000" w:rsidP="00C17A09">
            <w:pPr>
              <w:jc w:val="both"/>
              <w:rPr>
                <w:rFonts w:cs="Times New Roman"/>
                <w:szCs w:val="24"/>
              </w:rPr>
            </w:pPr>
            <w:r w:rsidRPr="002F3004">
              <w:rPr>
                <w:rFonts w:cs="Times New Roman"/>
                <w:b/>
                <w:szCs w:val="24"/>
              </w:rPr>
              <w:t>How it informs the next stage</w:t>
            </w:r>
          </w:p>
        </w:tc>
      </w:tr>
      <w:tr w:rsidR="007F2C00" w:rsidRPr="002F3004" w14:paraId="519D3A40" w14:textId="77777777">
        <w:trPr>
          <w:jc w:val="center"/>
        </w:trPr>
        <w:tc>
          <w:tcPr>
            <w:tcW w:w="2412" w:type="dxa"/>
            <w:vAlign w:val="center"/>
          </w:tcPr>
          <w:p w14:paraId="3882366B" w14:textId="77777777" w:rsidR="007F2C00" w:rsidRPr="002F3004" w:rsidRDefault="00000000" w:rsidP="00C17A09">
            <w:pPr>
              <w:spacing w:after="0" w:line="240" w:lineRule="auto"/>
              <w:jc w:val="both"/>
              <w:rPr>
                <w:rFonts w:cs="Times New Roman"/>
                <w:szCs w:val="24"/>
              </w:rPr>
            </w:pPr>
            <w:r w:rsidRPr="002F3004">
              <w:rPr>
                <w:rFonts w:cs="Times New Roman"/>
                <w:szCs w:val="24"/>
              </w:rPr>
              <w:t>Authentication &amp; extraction</w:t>
            </w:r>
          </w:p>
        </w:tc>
        <w:tc>
          <w:tcPr>
            <w:tcW w:w="2412" w:type="dxa"/>
            <w:vAlign w:val="center"/>
          </w:tcPr>
          <w:p w14:paraId="766E84E7" w14:textId="77777777" w:rsidR="007F2C00" w:rsidRPr="002F3004" w:rsidRDefault="00000000" w:rsidP="00C17A09">
            <w:pPr>
              <w:spacing w:after="0" w:line="240" w:lineRule="auto"/>
              <w:jc w:val="both"/>
              <w:rPr>
                <w:rFonts w:cs="Times New Roman"/>
                <w:szCs w:val="24"/>
              </w:rPr>
            </w:pPr>
            <w:r w:rsidRPr="002F3004">
              <w:rPr>
                <w:rFonts w:cs="Times New Roman"/>
                <w:szCs w:val="24"/>
              </w:rPr>
              <w:t>Are the botanical starting materials authentic and reproducible?</w:t>
            </w:r>
          </w:p>
        </w:tc>
        <w:tc>
          <w:tcPr>
            <w:tcW w:w="2412" w:type="dxa"/>
            <w:vAlign w:val="center"/>
          </w:tcPr>
          <w:p w14:paraId="08ED908D" w14:textId="77777777" w:rsidR="007F2C00" w:rsidRPr="002F3004" w:rsidRDefault="00000000" w:rsidP="00C17A09">
            <w:pPr>
              <w:spacing w:after="0" w:line="240" w:lineRule="auto"/>
              <w:jc w:val="both"/>
              <w:rPr>
                <w:rFonts w:cs="Times New Roman"/>
                <w:szCs w:val="24"/>
              </w:rPr>
            </w:pPr>
            <w:r w:rsidRPr="002F3004">
              <w:rPr>
                <w:rFonts w:cs="Times New Roman"/>
                <w:szCs w:val="24"/>
              </w:rPr>
              <w:t>Voucher identity, extraction yield, preliminary phytochemistry</w:t>
            </w:r>
          </w:p>
        </w:tc>
        <w:tc>
          <w:tcPr>
            <w:tcW w:w="2412" w:type="dxa"/>
            <w:vAlign w:val="center"/>
          </w:tcPr>
          <w:p w14:paraId="1CCF23CD" w14:textId="77777777" w:rsidR="007F2C00" w:rsidRPr="002F3004" w:rsidRDefault="00000000" w:rsidP="00C17A09">
            <w:pPr>
              <w:spacing w:after="0" w:line="240" w:lineRule="auto"/>
              <w:jc w:val="both"/>
              <w:rPr>
                <w:rFonts w:cs="Times New Roman"/>
                <w:szCs w:val="24"/>
              </w:rPr>
            </w:pPr>
            <w:r w:rsidRPr="002F3004">
              <w:rPr>
                <w:rFonts w:cs="Times New Roman"/>
                <w:szCs w:val="24"/>
              </w:rPr>
              <w:t>Defines material quality</w:t>
            </w:r>
          </w:p>
        </w:tc>
      </w:tr>
      <w:tr w:rsidR="007F2C00" w:rsidRPr="002F3004" w14:paraId="39E50BE0" w14:textId="77777777">
        <w:trPr>
          <w:jc w:val="center"/>
        </w:trPr>
        <w:tc>
          <w:tcPr>
            <w:tcW w:w="2412" w:type="dxa"/>
            <w:vAlign w:val="center"/>
          </w:tcPr>
          <w:p w14:paraId="17D08DBB" w14:textId="77777777" w:rsidR="007F2C00" w:rsidRPr="002F3004" w:rsidRDefault="00000000" w:rsidP="00C17A09">
            <w:pPr>
              <w:spacing w:after="0" w:line="240" w:lineRule="auto"/>
              <w:jc w:val="both"/>
              <w:rPr>
                <w:rFonts w:cs="Times New Roman"/>
                <w:szCs w:val="24"/>
              </w:rPr>
            </w:pPr>
            <w:r w:rsidRPr="002F3004">
              <w:rPr>
                <w:rFonts w:cs="Times New Roman"/>
                <w:szCs w:val="24"/>
              </w:rPr>
              <w:t>Standardization</w:t>
            </w:r>
          </w:p>
        </w:tc>
        <w:tc>
          <w:tcPr>
            <w:tcW w:w="2412" w:type="dxa"/>
            <w:vAlign w:val="center"/>
          </w:tcPr>
          <w:p w14:paraId="36DA08AA" w14:textId="77777777" w:rsidR="007F2C00" w:rsidRPr="002F3004" w:rsidRDefault="00000000" w:rsidP="00C17A09">
            <w:pPr>
              <w:spacing w:after="0" w:line="240" w:lineRule="auto"/>
              <w:jc w:val="both"/>
              <w:rPr>
                <w:rFonts w:cs="Times New Roman"/>
                <w:szCs w:val="24"/>
              </w:rPr>
            </w:pPr>
            <w:r w:rsidRPr="002F3004">
              <w:rPr>
                <w:rFonts w:cs="Times New Roman"/>
                <w:szCs w:val="24"/>
              </w:rPr>
              <w:t>Can selected chemical markers be quantified consistently?</w:t>
            </w:r>
          </w:p>
        </w:tc>
        <w:tc>
          <w:tcPr>
            <w:tcW w:w="2412" w:type="dxa"/>
            <w:vAlign w:val="center"/>
          </w:tcPr>
          <w:p w14:paraId="658B3168" w14:textId="77777777" w:rsidR="007F2C00" w:rsidRPr="002F3004" w:rsidRDefault="00000000" w:rsidP="00C17A09">
            <w:pPr>
              <w:spacing w:after="0" w:line="240" w:lineRule="auto"/>
              <w:jc w:val="both"/>
              <w:rPr>
                <w:rFonts w:cs="Times New Roman"/>
                <w:szCs w:val="24"/>
              </w:rPr>
            </w:pPr>
            <w:r w:rsidRPr="002F3004">
              <w:rPr>
                <w:rFonts w:cs="Times New Roman"/>
                <w:szCs w:val="24"/>
              </w:rPr>
              <w:t>Curcuminoid/curcumin and guggulsterone content, chromatographic fingerprints</w:t>
            </w:r>
          </w:p>
        </w:tc>
        <w:tc>
          <w:tcPr>
            <w:tcW w:w="2412" w:type="dxa"/>
            <w:vAlign w:val="center"/>
          </w:tcPr>
          <w:p w14:paraId="27F33FD8" w14:textId="77777777" w:rsidR="007F2C00" w:rsidRPr="002F3004" w:rsidRDefault="00000000" w:rsidP="00C17A09">
            <w:pPr>
              <w:spacing w:after="0" w:line="240" w:lineRule="auto"/>
              <w:jc w:val="both"/>
              <w:rPr>
                <w:rFonts w:cs="Times New Roman"/>
                <w:szCs w:val="24"/>
              </w:rPr>
            </w:pPr>
            <w:r w:rsidRPr="002F3004">
              <w:rPr>
                <w:rFonts w:cs="Times New Roman"/>
                <w:szCs w:val="24"/>
              </w:rPr>
              <w:t>Provides chemical identity and batch control</w:t>
            </w:r>
          </w:p>
        </w:tc>
      </w:tr>
      <w:tr w:rsidR="007F2C00" w:rsidRPr="002F3004" w14:paraId="12EC6A6B" w14:textId="77777777">
        <w:trPr>
          <w:jc w:val="center"/>
        </w:trPr>
        <w:tc>
          <w:tcPr>
            <w:tcW w:w="2412" w:type="dxa"/>
            <w:vAlign w:val="center"/>
          </w:tcPr>
          <w:p w14:paraId="23055204" w14:textId="77777777" w:rsidR="007F2C00" w:rsidRPr="002F3004" w:rsidRDefault="00000000" w:rsidP="00C17A09">
            <w:pPr>
              <w:spacing w:after="0" w:line="240" w:lineRule="auto"/>
              <w:jc w:val="both"/>
              <w:rPr>
                <w:rFonts w:cs="Times New Roman"/>
                <w:szCs w:val="24"/>
              </w:rPr>
            </w:pPr>
            <w:r w:rsidRPr="002F3004">
              <w:rPr>
                <w:rFonts w:cs="Times New Roman"/>
                <w:szCs w:val="24"/>
              </w:rPr>
              <w:t>Preformulation</w:t>
            </w:r>
          </w:p>
        </w:tc>
        <w:tc>
          <w:tcPr>
            <w:tcW w:w="2412" w:type="dxa"/>
            <w:vAlign w:val="center"/>
          </w:tcPr>
          <w:p w14:paraId="1E281B6D" w14:textId="77777777" w:rsidR="007F2C00" w:rsidRPr="002F3004" w:rsidRDefault="00000000" w:rsidP="00C17A09">
            <w:pPr>
              <w:spacing w:after="0" w:line="240" w:lineRule="auto"/>
              <w:jc w:val="both"/>
              <w:rPr>
                <w:rFonts w:cs="Times New Roman"/>
                <w:szCs w:val="24"/>
              </w:rPr>
            </w:pPr>
            <w:r w:rsidRPr="002F3004">
              <w:rPr>
                <w:rFonts w:cs="Times New Roman"/>
                <w:szCs w:val="24"/>
              </w:rPr>
              <w:t>Can the extracts be incorporated without unacceptable instability or incompatibility?</w:t>
            </w:r>
          </w:p>
        </w:tc>
        <w:tc>
          <w:tcPr>
            <w:tcW w:w="2412" w:type="dxa"/>
            <w:vAlign w:val="center"/>
          </w:tcPr>
          <w:p w14:paraId="03B0F261" w14:textId="77777777" w:rsidR="007F2C00" w:rsidRPr="002F3004" w:rsidRDefault="00000000" w:rsidP="00C17A09">
            <w:pPr>
              <w:spacing w:after="0" w:line="240" w:lineRule="auto"/>
              <w:jc w:val="both"/>
              <w:rPr>
                <w:rFonts w:cs="Times New Roman"/>
                <w:szCs w:val="24"/>
              </w:rPr>
            </w:pPr>
            <w:r w:rsidRPr="002F3004">
              <w:rPr>
                <w:rFonts w:cs="Times New Roman"/>
                <w:szCs w:val="24"/>
              </w:rPr>
              <w:t>Solubility, compatibility, pH, physical behaviour</w:t>
            </w:r>
          </w:p>
        </w:tc>
        <w:tc>
          <w:tcPr>
            <w:tcW w:w="2412" w:type="dxa"/>
            <w:vAlign w:val="center"/>
          </w:tcPr>
          <w:p w14:paraId="364F152F" w14:textId="77777777" w:rsidR="007F2C00" w:rsidRPr="002F3004" w:rsidRDefault="00000000" w:rsidP="00C17A09">
            <w:pPr>
              <w:spacing w:after="0" w:line="240" w:lineRule="auto"/>
              <w:jc w:val="both"/>
              <w:rPr>
                <w:rFonts w:cs="Times New Roman"/>
                <w:szCs w:val="24"/>
              </w:rPr>
            </w:pPr>
            <w:r w:rsidRPr="002F3004">
              <w:rPr>
                <w:rFonts w:cs="Times New Roman"/>
                <w:szCs w:val="24"/>
              </w:rPr>
              <w:t>Selects excipient strategy</w:t>
            </w:r>
          </w:p>
        </w:tc>
      </w:tr>
      <w:tr w:rsidR="007F2C00" w:rsidRPr="002F3004" w14:paraId="391DDBF9" w14:textId="77777777">
        <w:trPr>
          <w:jc w:val="center"/>
        </w:trPr>
        <w:tc>
          <w:tcPr>
            <w:tcW w:w="2412" w:type="dxa"/>
            <w:vAlign w:val="center"/>
          </w:tcPr>
          <w:p w14:paraId="12BB4325" w14:textId="77777777" w:rsidR="007F2C00" w:rsidRPr="002F3004" w:rsidRDefault="00000000" w:rsidP="00C17A09">
            <w:pPr>
              <w:spacing w:after="0" w:line="240" w:lineRule="auto"/>
              <w:jc w:val="both"/>
              <w:rPr>
                <w:rFonts w:cs="Times New Roman"/>
                <w:szCs w:val="24"/>
              </w:rPr>
            </w:pPr>
            <w:r w:rsidRPr="002F3004">
              <w:rPr>
                <w:rFonts w:cs="Times New Roman"/>
                <w:szCs w:val="24"/>
              </w:rPr>
              <w:t>Foam development</w:t>
            </w:r>
          </w:p>
        </w:tc>
        <w:tc>
          <w:tcPr>
            <w:tcW w:w="2412" w:type="dxa"/>
            <w:vAlign w:val="center"/>
          </w:tcPr>
          <w:p w14:paraId="350BA5BA" w14:textId="77777777" w:rsidR="007F2C00" w:rsidRPr="002F3004" w:rsidRDefault="00000000" w:rsidP="00C17A09">
            <w:pPr>
              <w:spacing w:after="0" w:line="240" w:lineRule="auto"/>
              <w:jc w:val="both"/>
              <w:rPr>
                <w:rFonts w:cs="Times New Roman"/>
                <w:szCs w:val="24"/>
              </w:rPr>
            </w:pPr>
            <w:r w:rsidRPr="002F3004">
              <w:rPr>
                <w:rFonts w:cs="Times New Roman"/>
                <w:szCs w:val="24"/>
              </w:rPr>
              <w:t>Can a stable and usable non-</w:t>
            </w:r>
            <w:r w:rsidRPr="002F3004">
              <w:rPr>
                <w:rFonts w:cs="Times New Roman"/>
                <w:szCs w:val="24"/>
              </w:rPr>
              <w:lastRenderedPageBreak/>
              <w:t>propellant foam be generated?</w:t>
            </w:r>
          </w:p>
        </w:tc>
        <w:tc>
          <w:tcPr>
            <w:tcW w:w="2412" w:type="dxa"/>
            <w:vAlign w:val="center"/>
          </w:tcPr>
          <w:p w14:paraId="1AE1AEC2" w14:textId="77777777" w:rsidR="007F2C00" w:rsidRPr="002F3004" w:rsidRDefault="00000000" w:rsidP="00C17A09">
            <w:pPr>
              <w:spacing w:after="0" w:line="240" w:lineRule="auto"/>
              <w:jc w:val="both"/>
              <w:rPr>
                <w:rFonts w:cs="Times New Roman"/>
                <w:szCs w:val="24"/>
              </w:rPr>
            </w:pPr>
            <w:r w:rsidRPr="002F3004">
              <w:rPr>
                <w:rFonts w:cs="Times New Roman"/>
                <w:szCs w:val="24"/>
              </w:rPr>
              <w:lastRenderedPageBreak/>
              <w:t>Foamability, density, collapse time, spreadability</w:t>
            </w:r>
          </w:p>
        </w:tc>
        <w:tc>
          <w:tcPr>
            <w:tcW w:w="2412" w:type="dxa"/>
            <w:vAlign w:val="center"/>
          </w:tcPr>
          <w:p w14:paraId="5EFA0850" w14:textId="77777777" w:rsidR="007F2C00" w:rsidRPr="002F3004" w:rsidRDefault="00000000" w:rsidP="00C17A09">
            <w:pPr>
              <w:spacing w:after="0" w:line="240" w:lineRule="auto"/>
              <w:jc w:val="both"/>
              <w:rPr>
                <w:rFonts w:cs="Times New Roman"/>
                <w:szCs w:val="24"/>
              </w:rPr>
            </w:pPr>
            <w:r w:rsidRPr="002F3004">
              <w:rPr>
                <w:rFonts w:cs="Times New Roman"/>
                <w:szCs w:val="24"/>
              </w:rPr>
              <w:t>Identifies feasible formulation region</w:t>
            </w:r>
          </w:p>
        </w:tc>
      </w:tr>
      <w:tr w:rsidR="007F2C00" w:rsidRPr="002F3004" w14:paraId="3916BC8F" w14:textId="77777777">
        <w:trPr>
          <w:jc w:val="center"/>
        </w:trPr>
        <w:tc>
          <w:tcPr>
            <w:tcW w:w="2412" w:type="dxa"/>
            <w:vAlign w:val="center"/>
          </w:tcPr>
          <w:p w14:paraId="498CC369" w14:textId="77777777" w:rsidR="007F2C00" w:rsidRPr="002F3004" w:rsidRDefault="00000000" w:rsidP="00C17A09">
            <w:pPr>
              <w:spacing w:after="0" w:line="240" w:lineRule="auto"/>
              <w:jc w:val="both"/>
              <w:rPr>
                <w:rFonts w:cs="Times New Roman"/>
                <w:szCs w:val="24"/>
              </w:rPr>
            </w:pPr>
            <w:r w:rsidRPr="002F3004">
              <w:rPr>
                <w:rFonts w:cs="Times New Roman"/>
                <w:szCs w:val="24"/>
              </w:rPr>
              <w:t>Optimization</w:t>
            </w:r>
          </w:p>
        </w:tc>
        <w:tc>
          <w:tcPr>
            <w:tcW w:w="2412" w:type="dxa"/>
            <w:vAlign w:val="center"/>
          </w:tcPr>
          <w:p w14:paraId="383178D3" w14:textId="77777777" w:rsidR="007F2C00" w:rsidRPr="002F3004" w:rsidRDefault="00000000" w:rsidP="00C17A09">
            <w:pPr>
              <w:spacing w:after="0" w:line="240" w:lineRule="auto"/>
              <w:jc w:val="both"/>
              <w:rPr>
                <w:rFonts w:cs="Times New Roman"/>
                <w:szCs w:val="24"/>
              </w:rPr>
            </w:pPr>
            <w:r w:rsidRPr="002F3004">
              <w:rPr>
                <w:rFonts w:cs="Times New Roman"/>
                <w:szCs w:val="24"/>
              </w:rPr>
              <w:t>Which composition best balances competing quality attributes?</w:t>
            </w:r>
          </w:p>
        </w:tc>
        <w:tc>
          <w:tcPr>
            <w:tcW w:w="2412" w:type="dxa"/>
            <w:vAlign w:val="center"/>
          </w:tcPr>
          <w:p w14:paraId="5CF4FCC9" w14:textId="77777777" w:rsidR="007F2C00" w:rsidRPr="002F3004" w:rsidRDefault="00000000" w:rsidP="00C17A09">
            <w:pPr>
              <w:spacing w:after="0" w:line="240" w:lineRule="auto"/>
              <w:jc w:val="both"/>
              <w:rPr>
                <w:rFonts w:cs="Times New Roman"/>
                <w:szCs w:val="24"/>
              </w:rPr>
            </w:pPr>
            <w:r w:rsidRPr="002F3004">
              <w:rPr>
                <w:rFonts w:cs="Times New Roman"/>
                <w:szCs w:val="24"/>
              </w:rPr>
              <w:t>DoE model, optimized batch, design space</w:t>
            </w:r>
          </w:p>
        </w:tc>
        <w:tc>
          <w:tcPr>
            <w:tcW w:w="2412" w:type="dxa"/>
            <w:vAlign w:val="center"/>
          </w:tcPr>
          <w:p w14:paraId="3D928575" w14:textId="77777777" w:rsidR="007F2C00" w:rsidRPr="002F3004" w:rsidRDefault="00000000" w:rsidP="00C17A09">
            <w:pPr>
              <w:spacing w:after="0" w:line="240" w:lineRule="auto"/>
              <w:jc w:val="both"/>
              <w:rPr>
                <w:rFonts w:cs="Times New Roman"/>
                <w:szCs w:val="24"/>
              </w:rPr>
            </w:pPr>
            <w:r w:rsidRPr="002F3004">
              <w:rPr>
                <w:rFonts w:cs="Times New Roman"/>
                <w:szCs w:val="24"/>
              </w:rPr>
              <w:t>Defines candidate formulation</w:t>
            </w:r>
          </w:p>
        </w:tc>
      </w:tr>
      <w:tr w:rsidR="007F2C00" w:rsidRPr="002F3004" w14:paraId="6A09A2D6" w14:textId="77777777">
        <w:trPr>
          <w:jc w:val="center"/>
        </w:trPr>
        <w:tc>
          <w:tcPr>
            <w:tcW w:w="2412" w:type="dxa"/>
            <w:vAlign w:val="center"/>
          </w:tcPr>
          <w:p w14:paraId="384C98BC" w14:textId="77777777" w:rsidR="007F2C00" w:rsidRPr="002F3004" w:rsidRDefault="00000000" w:rsidP="00C17A09">
            <w:pPr>
              <w:spacing w:after="0" w:line="240" w:lineRule="auto"/>
              <w:jc w:val="both"/>
              <w:rPr>
                <w:rFonts w:cs="Times New Roman"/>
                <w:szCs w:val="24"/>
              </w:rPr>
            </w:pPr>
            <w:r w:rsidRPr="002F3004">
              <w:rPr>
                <w:rFonts w:cs="Times New Roman"/>
                <w:szCs w:val="24"/>
              </w:rPr>
              <w:t>Delivery performance</w:t>
            </w:r>
          </w:p>
        </w:tc>
        <w:tc>
          <w:tcPr>
            <w:tcW w:w="2412" w:type="dxa"/>
            <w:vAlign w:val="center"/>
          </w:tcPr>
          <w:p w14:paraId="6D8C3584" w14:textId="77777777" w:rsidR="007F2C00" w:rsidRPr="002F3004" w:rsidRDefault="00000000" w:rsidP="00C17A09">
            <w:pPr>
              <w:spacing w:after="0" w:line="240" w:lineRule="auto"/>
              <w:jc w:val="both"/>
              <w:rPr>
                <w:rFonts w:cs="Times New Roman"/>
                <w:szCs w:val="24"/>
              </w:rPr>
            </w:pPr>
            <w:r w:rsidRPr="002F3004">
              <w:rPr>
                <w:rFonts w:cs="Times New Roman"/>
                <w:szCs w:val="24"/>
              </w:rPr>
              <w:t>Does the formulation release and deposit the markers appropriately?</w:t>
            </w:r>
          </w:p>
        </w:tc>
        <w:tc>
          <w:tcPr>
            <w:tcW w:w="2412" w:type="dxa"/>
            <w:vAlign w:val="center"/>
          </w:tcPr>
          <w:p w14:paraId="36EE0543" w14:textId="77777777" w:rsidR="007F2C00" w:rsidRPr="002F3004" w:rsidRDefault="00000000" w:rsidP="00C17A09">
            <w:pPr>
              <w:spacing w:after="0" w:line="240" w:lineRule="auto"/>
              <w:jc w:val="both"/>
              <w:rPr>
                <w:rFonts w:cs="Times New Roman"/>
                <w:szCs w:val="24"/>
              </w:rPr>
            </w:pPr>
            <w:r w:rsidRPr="002F3004">
              <w:rPr>
                <w:rFonts w:cs="Times New Roman"/>
                <w:szCs w:val="24"/>
              </w:rPr>
              <w:t>Release profile, ex-vivo deposition/permeation</w:t>
            </w:r>
          </w:p>
        </w:tc>
        <w:tc>
          <w:tcPr>
            <w:tcW w:w="2412" w:type="dxa"/>
            <w:vAlign w:val="center"/>
          </w:tcPr>
          <w:p w14:paraId="644C9C00" w14:textId="77777777" w:rsidR="007F2C00" w:rsidRPr="002F3004" w:rsidRDefault="00000000" w:rsidP="00C17A09">
            <w:pPr>
              <w:spacing w:after="0" w:line="240" w:lineRule="auto"/>
              <w:jc w:val="both"/>
              <w:rPr>
                <w:rFonts w:cs="Times New Roman"/>
                <w:szCs w:val="24"/>
              </w:rPr>
            </w:pPr>
            <w:r w:rsidRPr="002F3004">
              <w:rPr>
                <w:rFonts w:cs="Times New Roman"/>
                <w:szCs w:val="24"/>
              </w:rPr>
              <w:t>Links formulation to local exposure</w:t>
            </w:r>
          </w:p>
        </w:tc>
      </w:tr>
      <w:tr w:rsidR="007F2C00" w:rsidRPr="002F3004" w14:paraId="082FE5D8" w14:textId="77777777">
        <w:trPr>
          <w:jc w:val="center"/>
        </w:trPr>
        <w:tc>
          <w:tcPr>
            <w:tcW w:w="2412" w:type="dxa"/>
            <w:vAlign w:val="center"/>
          </w:tcPr>
          <w:p w14:paraId="0EB8C8BB" w14:textId="77777777" w:rsidR="007F2C00" w:rsidRPr="002F3004" w:rsidRDefault="00000000" w:rsidP="00C17A09">
            <w:pPr>
              <w:spacing w:after="0" w:line="240" w:lineRule="auto"/>
              <w:jc w:val="both"/>
              <w:rPr>
                <w:rFonts w:cs="Times New Roman"/>
                <w:szCs w:val="24"/>
              </w:rPr>
            </w:pPr>
            <w:r w:rsidRPr="002F3004">
              <w:rPr>
                <w:rFonts w:cs="Times New Roman"/>
                <w:szCs w:val="24"/>
              </w:rPr>
              <w:t>Biological evaluation</w:t>
            </w:r>
          </w:p>
        </w:tc>
        <w:tc>
          <w:tcPr>
            <w:tcW w:w="2412" w:type="dxa"/>
            <w:vAlign w:val="center"/>
          </w:tcPr>
          <w:p w14:paraId="61F9715E" w14:textId="77777777" w:rsidR="007F2C00" w:rsidRPr="002F3004" w:rsidRDefault="00000000" w:rsidP="00C17A09">
            <w:pPr>
              <w:spacing w:after="0" w:line="240" w:lineRule="auto"/>
              <w:jc w:val="both"/>
              <w:rPr>
                <w:rFonts w:cs="Times New Roman"/>
                <w:szCs w:val="24"/>
              </w:rPr>
            </w:pPr>
            <w:r w:rsidRPr="002F3004">
              <w:rPr>
                <w:rFonts w:cs="Times New Roman"/>
                <w:szCs w:val="24"/>
              </w:rPr>
              <w:t>Does the formulation express wound-relevant activity?</w:t>
            </w:r>
          </w:p>
        </w:tc>
        <w:tc>
          <w:tcPr>
            <w:tcW w:w="2412" w:type="dxa"/>
            <w:vAlign w:val="center"/>
          </w:tcPr>
          <w:p w14:paraId="397F0F45" w14:textId="77777777" w:rsidR="007F2C00" w:rsidRPr="002F3004" w:rsidRDefault="00000000" w:rsidP="00C17A09">
            <w:pPr>
              <w:spacing w:after="0" w:line="240" w:lineRule="auto"/>
              <w:jc w:val="both"/>
              <w:rPr>
                <w:rFonts w:cs="Times New Roman"/>
                <w:szCs w:val="24"/>
              </w:rPr>
            </w:pPr>
            <w:r w:rsidRPr="002F3004">
              <w:rPr>
                <w:rFonts w:cs="Times New Roman"/>
                <w:szCs w:val="24"/>
              </w:rPr>
              <w:t>Antimicrobial, antioxidant, anti-inflammatory and wound-healing outcomes</w:t>
            </w:r>
          </w:p>
        </w:tc>
        <w:tc>
          <w:tcPr>
            <w:tcW w:w="2412" w:type="dxa"/>
            <w:vAlign w:val="center"/>
          </w:tcPr>
          <w:p w14:paraId="5A79A806" w14:textId="77777777" w:rsidR="007F2C00" w:rsidRPr="002F3004" w:rsidRDefault="00000000" w:rsidP="00C17A09">
            <w:pPr>
              <w:spacing w:after="0" w:line="240" w:lineRule="auto"/>
              <w:jc w:val="both"/>
              <w:rPr>
                <w:rFonts w:cs="Times New Roman"/>
                <w:szCs w:val="24"/>
              </w:rPr>
            </w:pPr>
            <w:r w:rsidRPr="002F3004">
              <w:rPr>
                <w:rFonts w:cs="Times New Roman"/>
                <w:szCs w:val="24"/>
              </w:rPr>
              <w:t>Tests pharmacological hypothesis</w:t>
            </w:r>
          </w:p>
        </w:tc>
      </w:tr>
      <w:tr w:rsidR="007F2C00" w:rsidRPr="002F3004" w14:paraId="4FDDD265" w14:textId="77777777">
        <w:trPr>
          <w:jc w:val="center"/>
        </w:trPr>
        <w:tc>
          <w:tcPr>
            <w:tcW w:w="2412" w:type="dxa"/>
            <w:vAlign w:val="center"/>
          </w:tcPr>
          <w:p w14:paraId="30914605" w14:textId="77777777" w:rsidR="007F2C00" w:rsidRPr="002F3004" w:rsidRDefault="00000000" w:rsidP="00C17A09">
            <w:pPr>
              <w:spacing w:after="0" w:line="240" w:lineRule="auto"/>
              <w:jc w:val="both"/>
              <w:rPr>
                <w:rFonts w:cs="Times New Roman"/>
                <w:szCs w:val="24"/>
              </w:rPr>
            </w:pPr>
            <w:r w:rsidRPr="002F3004">
              <w:rPr>
                <w:rFonts w:cs="Times New Roman"/>
                <w:szCs w:val="24"/>
              </w:rPr>
              <w:t>Safety/stability</w:t>
            </w:r>
          </w:p>
        </w:tc>
        <w:tc>
          <w:tcPr>
            <w:tcW w:w="2412" w:type="dxa"/>
            <w:vAlign w:val="center"/>
          </w:tcPr>
          <w:p w14:paraId="5037EA48" w14:textId="77777777" w:rsidR="007F2C00" w:rsidRPr="002F3004" w:rsidRDefault="00000000" w:rsidP="00C17A09">
            <w:pPr>
              <w:spacing w:after="0" w:line="240" w:lineRule="auto"/>
              <w:jc w:val="both"/>
              <w:rPr>
                <w:rFonts w:cs="Times New Roman"/>
                <w:szCs w:val="24"/>
              </w:rPr>
            </w:pPr>
            <w:r w:rsidRPr="002F3004">
              <w:rPr>
                <w:rFonts w:cs="Times New Roman"/>
                <w:szCs w:val="24"/>
              </w:rPr>
              <w:t>Is the candidate acceptable and stable?</w:t>
            </w:r>
          </w:p>
        </w:tc>
        <w:tc>
          <w:tcPr>
            <w:tcW w:w="2412" w:type="dxa"/>
            <w:vAlign w:val="center"/>
          </w:tcPr>
          <w:p w14:paraId="0C23BC67" w14:textId="77777777" w:rsidR="007F2C00" w:rsidRPr="002F3004" w:rsidRDefault="00000000" w:rsidP="00C17A09">
            <w:pPr>
              <w:spacing w:after="0" w:line="240" w:lineRule="auto"/>
              <w:jc w:val="both"/>
              <w:rPr>
                <w:rFonts w:cs="Times New Roman"/>
                <w:szCs w:val="24"/>
              </w:rPr>
            </w:pPr>
            <w:r w:rsidRPr="002F3004">
              <w:rPr>
                <w:rFonts w:cs="Times New Roman"/>
                <w:szCs w:val="24"/>
              </w:rPr>
              <w:t>Irritation/safety findings, marker retention, physical stability</w:t>
            </w:r>
          </w:p>
        </w:tc>
        <w:tc>
          <w:tcPr>
            <w:tcW w:w="2412" w:type="dxa"/>
            <w:vAlign w:val="center"/>
          </w:tcPr>
          <w:p w14:paraId="51FF72A4" w14:textId="77777777" w:rsidR="007F2C00" w:rsidRPr="002F3004" w:rsidRDefault="00000000" w:rsidP="00C17A09">
            <w:pPr>
              <w:spacing w:after="0" w:line="240" w:lineRule="auto"/>
              <w:jc w:val="both"/>
              <w:rPr>
                <w:rFonts w:cs="Times New Roman"/>
                <w:szCs w:val="24"/>
              </w:rPr>
            </w:pPr>
            <w:r w:rsidRPr="002F3004">
              <w:rPr>
                <w:rFonts w:cs="Times New Roman"/>
                <w:szCs w:val="24"/>
              </w:rPr>
              <w:t>Supports translational readiness</w:t>
            </w:r>
          </w:p>
        </w:tc>
      </w:tr>
    </w:tbl>
    <w:p w14:paraId="4673F836" w14:textId="77777777" w:rsidR="007F2C00" w:rsidRPr="002F3004" w:rsidRDefault="00000000" w:rsidP="00C17A09">
      <w:pPr>
        <w:pStyle w:val="Heading1"/>
        <w:ind w:firstLine="0"/>
        <w:jc w:val="both"/>
        <w:rPr>
          <w:rFonts w:ascii="Times New Roman" w:hAnsi="Times New Roman" w:cs="Times New Roman"/>
          <w:color w:val="auto"/>
          <w:sz w:val="24"/>
          <w:szCs w:val="24"/>
        </w:rPr>
      </w:pPr>
      <w:r w:rsidRPr="002F3004">
        <w:rPr>
          <w:rFonts w:ascii="Times New Roman" w:hAnsi="Times New Roman" w:cs="Times New Roman"/>
          <w:color w:val="auto"/>
          <w:sz w:val="24"/>
          <w:szCs w:val="24"/>
        </w:rPr>
        <w:t>1.19 Chapter Summary and Transition to the Literature Review</w:t>
      </w:r>
    </w:p>
    <w:p w14:paraId="6B1F9E0A" w14:textId="77777777" w:rsidR="005528FA" w:rsidRPr="002F3004" w:rsidRDefault="005528FA" w:rsidP="00C17A09">
      <w:pPr>
        <w:ind w:firstLine="0"/>
        <w:jc w:val="both"/>
        <w:rPr>
          <w:rFonts w:cs="Times New Roman"/>
          <w:b/>
          <w:bCs/>
          <w:szCs w:val="24"/>
          <w:lang w:val="en-IN"/>
        </w:rPr>
      </w:pPr>
      <w:r w:rsidRPr="002F3004">
        <w:rPr>
          <w:rFonts w:cs="Times New Roman"/>
          <w:b/>
          <w:bCs/>
          <w:szCs w:val="24"/>
          <w:lang w:val="en-IN"/>
        </w:rPr>
        <w:t>Chapter 1 – Introduction</w:t>
      </w:r>
    </w:p>
    <w:p w14:paraId="36FED547" w14:textId="77777777" w:rsidR="005528FA" w:rsidRPr="002F3004" w:rsidRDefault="005528FA" w:rsidP="00C17A09">
      <w:pPr>
        <w:ind w:firstLine="0"/>
        <w:jc w:val="both"/>
        <w:rPr>
          <w:rFonts w:cs="Times New Roman"/>
          <w:szCs w:val="24"/>
          <w:lang w:val="en-IN"/>
        </w:rPr>
      </w:pPr>
      <w:r w:rsidRPr="002F3004">
        <w:rPr>
          <w:rFonts w:cs="Times New Roman"/>
          <w:szCs w:val="24"/>
          <w:lang w:val="en-IN"/>
        </w:rPr>
        <w:t xml:space="preserve">This chapter presents the background of wound healing, limitations of conventional wound-care approaches, therapeutic potential of </w:t>
      </w:r>
      <w:r w:rsidRPr="002F3004">
        <w:rPr>
          <w:rFonts w:cs="Times New Roman"/>
          <w:i/>
          <w:iCs/>
          <w:szCs w:val="24"/>
          <w:lang w:val="en-IN"/>
        </w:rPr>
        <w:t>Curcuma longa</w:t>
      </w:r>
      <w:r w:rsidRPr="002F3004">
        <w:rPr>
          <w:rFonts w:cs="Times New Roman"/>
          <w:szCs w:val="24"/>
          <w:lang w:val="en-IN"/>
        </w:rPr>
        <w:t xml:space="preserve"> (turmeric) and </w:t>
      </w:r>
      <w:r w:rsidRPr="002F3004">
        <w:rPr>
          <w:rFonts w:cs="Times New Roman"/>
          <w:i/>
          <w:iCs/>
          <w:szCs w:val="24"/>
          <w:lang w:val="en-IN"/>
        </w:rPr>
        <w:t xml:space="preserve">Commiphora </w:t>
      </w:r>
      <w:proofErr w:type="spellStart"/>
      <w:r w:rsidRPr="002F3004">
        <w:rPr>
          <w:rFonts w:cs="Times New Roman"/>
          <w:i/>
          <w:iCs/>
          <w:szCs w:val="24"/>
          <w:lang w:val="en-IN"/>
        </w:rPr>
        <w:t>wightii</w:t>
      </w:r>
      <w:proofErr w:type="spellEnd"/>
      <w:r w:rsidRPr="002F3004">
        <w:rPr>
          <w:rFonts w:cs="Times New Roman"/>
          <w:szCs w:val="24"/>
          <w:lang w:val="en-IN"/>
        </w:rPr>
        <w:t xml:space="preserve"> (guggul), and the rationale for their combination. It also introduces the non-propellant topical foam approach, research gap, hypothesis, aim and objectives of the study.</w:t>
      </w:r>
    </w:p>
    <w:p w14:paraId="6948D125" w14:textId="77777777" w:rsidR="005528FA" w:rsidRPr="002F3004" w:rsidRDefault="005528FA" w:rsidP="00C17A09">
      <w:pPr>
        <w:ind w:firstLine="0"/>
        <w:jc w:val="both"/>
        <w:rPr>
          <w:rFonts w:cs="Times New Roman"/>
          <w:b/>
          <w:bCs/>
          <w:szCs w:val="24"/>
          <w:lang w:val="en-IN"/>
        </w:rPr>
      </w:pPr>
      <w:r w:rsidRPr="002F3004">
        <w:rPr>
          <w:rFonts w:cs="Times New Roman"/>
          <w:b/>
          <w:bCs/>
          <w:szCs w:val="24"/>
          <w:lang w:val="en-IN"/>
        </w:rPr>
        <w:t>Chapter 2 – Review of Literature</w:t>
      </w:r>
    </w:p>
    <w:p w14:paraId="298C55CE" w14:textId="77777777" w:rsidR="005528FA" w:rsidRPr="002F3004" w:rsidRDefault="005528FA" w:rsidP="00C17A09">
      <w:pPr>
        <w:ind w:firstLine="0"/>
        <w:jc w:val="both"/>
        <w:rPr>
          <w:rFonts w:cs="Times New Roman"/>
          <w:szCs w:val="24"/>
          <w:lang w:val="en-IN"/>
        </w:rPr>
      </w:pPr>
      <w:r w:rsidRPr="002F3004">
        <w:rPr>
          <w:rFonts w:cs="Times New Roman"/>
          <w:szCs w:val="24"/>
          <w:lang w:val="en-IN"/>
        </w:rPr>
        <w:t>This chapter critically reviews the existing literature on wound healing, herbal medicines, turmeric, guggul, their phytoconstituents and pharmacological activities, topical drug-delivery systems, pharmaceutical foams, and formulation optimization. The chapter identifies the existing research gaps that justify the present investigation.</w:t>
      </w:r>
    </w:p>
    <w:p w14:paraId="07C47FC1" w14:textId="77777777" w:rsidR="005528FA" w:rsidRPr="002F3004" w:rsidRDefault="005528FA" w:rsidP="00C17A09">
      <w:pPr>
        <w:ind w:firstLine="0"/>
        <w:jc w:val="both"/>
        <w:rPr>
          <w:rFonts w:cs="Times New Roman"/>
          <w:b/>
          <w:bCs/>
          <w:szCs w:val="24"/>
          <w:lang w:val="en-IN"/>
        </w:rPr>
      </w:pPr>
      <w:r w:rsidRPr="002F3004">
        <w:rPr>
          <w:rFonts w:cs="Times New Roman"/>
          <w:b/>
          <w:bCs/>
          <w:szCs w:val="24"/>
          <w:lang w:val="en-IN"/>
        </w:rPr>
        <w:t>Chapter 3 – Materials and Methods</w:t>
      </w:r>
    </w:p>
    <w:p w14:paraId="1865C045" w14:textId="77777777" w:rsidR="005528FA" w:rsidRPr="002F3004" w:rsidRDefault="005528FA" w:rsidP="00C17A09">
      <w:pPr>
        <w:ind w:firstLine="0"/>
        <w:jc w:val="both"/>
        <w:rPr>
          <w:rFonts w:cs="Times New Roman"/>
          <w:szCs w:val="24"/>
          <w:lang w:val="en-IN"/>
        </w:rPr>
      </w:pPr>
      <w:r w:rsidRPr="002F3004">
        <w:rPr>
          <w:rFonts w:cs="Times New Roman"/>
          <w:szCs w:val="24"/>
          <w:lang w:val="en-IN"/>
        </w:rPr>
        <w:t>This chapter describes the materials, authentication and standardization of herbal drugs, extraction procedures, phytochemical and chromatographic evaluation, biological screening, formulation development and optimization of the turmeric–guggul non-propellant foam, along with its physicochemical, in-vitro, ex-vivo, biological, stability and statistical evaluation methods.</w:t>
      </w:r>
    </w:p>
    <w:p w14:paraId="128DD08A" w14:textId="77777777" w:rsidR="005528FA" w:rsidRPr="002F3004" w:rsidRDefault="005528FA" w:rsidP="00C17A09">
      <w:pPr>
        <w:ind w:firstLine="0"/>
        <w:jc w:val="both"/>
        <w:rPr>
          <w:rFonts w:cs="Times New Roman"/>
          <w:b/>
          <w:bCs/>
          <w:szCs w:val="24"/>
          <w:lang w:val="en-IN"/>
        </w:rPr>
      </w:pPr>
      <w:r w:rsidRPr="002F3004">
        <w:rPr>
          <w:rFonts w:cs="Times New Roman"/>
          <w:b/>
          <w:bCs/>
          <w:szCs w:val="24"/>
          <w:lang w:val="en-IN"/>
        </w:rPr>
        <w:t>Chapter 4 – Results and Discussion</w:t>
      </w:r>
    </w:p>
    <w:p w14:paraId="6585FDD2" w14:textId="77777777" w:rsidR="005528FA" w:rsidRPr="002F3004" w:rsidRDefault="005528FA" w:rsidP="00C17A09">
      <w:pPr>
        <w:ind w:firstLine="0"/>
        <w:jc w:val="both"/>
        <w:rPr>
          <w:rFonts w:cs="Times New Roman"/>
          <w:szCs w:val="24"/>
          <w:lang w:val="en-IN"/>
        </w:rPr>
      </w:pPr>
      <w:r w:rsidRPr="002F3004">
        <w:rPr>
          <w:rFonts w:cs="Times New Roman"/>
          <w:szCs w:val="24"/>
          <w:lang w:val="en-IN"/>
        </w:rPr>
        <w:lastRenderedPageBreak/>
        <w:t>This chapter presents and critically discusses the experimental findings obtained during standardization of the herbal materials, evaluation of their biological activities, selection of the turmeric–guggul combination, development and optimization of the non-propellant foam, formulation characterization, drug-release/deposition studies, wound-healing evaluation and stability studies. The findings are correlated with previously published literature.</w:t>
      </w:r>
    </w:p>
    <w:p w14:paraId="60674A43" w14:textId="77777777" w:rsidR="005528FA" w:rsidRPr="002F3004" w:rsidRDefault="005528FA" w:rsidP="00C17A09">
      <w:pPr>
        <w:ind w:firstLine="0"/>
        <w:jc w:val="both"/>
        <w:rPr>
          <w:rFonts w:cs="Times New Roman"/>
          <w:b/>
          <w:bCs/>
          <w:szCs w:val="24"/>
          <w:lang w:val="en-IN"/>
        </w:rPr>
      </w:pPr>
      <w:r w:rsidRPr="002F3004">
        <w:rPr>
          <w:rFonts w:cs="Times New Roman"/>
          <w:b/>
          <w:bCs/>
          <w:szCs w:val="24"/>
          <w:lang w:val="en-IN"/>
        </w:rPr>
        <w:t>Chapter 5 – Summary, Conclusion and Future Perspectives</w:t>
      </w:r>
    </w:p>
    <w:p w14:paraId="260248D8" w14:textId="03B7E4B4" w:rsidR="005528FA" w:rsidRPr="002F3004" w:rsidRDefault="005528FA" w:rsidP="00C17A09">
      <w:pPr>
        <w:ind w:firstLine="0"/>
        <w:jc w:val="both"/>
        <w:rPr>
          <w:rFonts w:cs="Times New Roman"/>
          <w:szCs w:val="24"/>
          <w:lang w:val="en-IN"/>
        </w:rPr>
      </w:pPr>
      <w:r w:rsidRPr="002F3004">
        <w:rPr>
          <w:rFonts w:cs="Times New Roman"/>
          <w:szCs w:val="24"/>
          <w:lang w:val="en-IN"/>
        </w:rPr>
        <w:t>This chapter summarizes the major findings of the research in relation to the stated objectives and presents the overall conclusion of the study. It highlights the scientific contribution and potential significance of the optimized turmeric–guggul topical foam, discusses the limitations of the investigation, and proposes future research and translational possibilities.</w:t>
      </w:r>
    </w:p>
    <w:p w14:paraId="6A060B1A" w14:textId="77777777" w:rsidR="007F2C00" w:rsidRPr="002F3004" w:rsidRDefault="00000000" w:rsidP="00C17A09">
      <w:pPr>
        <w:ind w:firstLine="0"/>
        <w:jc w:val="both"/>
        <w:rPr>
          <w:rFonts w:cs="Times New Roman"/>
          <w:szCs w:val="24"/>
        </w:rPr>
      </w:pPr>
      <w:r w:rsidRPr="002F3004">
        <w:rPr>
          <w:rFonts w:cs="Times New Roman"/>
          <w:szCs w:val="24"/>
        </w:rPr>
        <w:t>Wound healing is a dynamic and highly regulated process in which successful tissue repair depends on appropriate coordination of haemostasis, inflammation, proliferation and remodelling. Infection, excessive oxidative stress, persistent inflammation, impaired perfusion and systemic disease can disrupt this progression. Consequently, wound-care formulations should be designed around the biological environment rather than around a single pharmacological endpoint.</w:t>
      </w:r>
    </w:p>
    <w:p w14:paraId="04E4DC56" w14:textId="77777777" w:rsidR="007F2C00" w:rsidRPr="002F3004" w:rsidRDefault="00000000" w:rsidP="00C17A09">
      <w:pPr>
        <w:ind w:firstLine="0"/>
        <w:jc w:val="both"/>
        <w:rPr>
          <w:rFonts w:cs="Times New Roman"/>
          <w:szCs w:val="24"/>
        </w:rPr>
      </w:pPr>
      <w:r w:rsidRPr="002F3004">
        <w:rPr>
          <w:rFonts w:cs="Times New Roman"/>
          <w:szCs w:val="24"/>
        </w:rPr>
        <w:t>Turmeric provides a scientifically credible botanical candidate because curcuminoids and related constituents have been extensively investigated for antioxidant, anti-inflammatory, antimicrobial and wound-related effects. Its major pharmaceutical limitation is not absence of biological activity but the difficulty of achieving adequate and stable local availability. Guggul provides a complementary chemical and pharmacological profile, including guggulsterones and other resin-associated constituents, but its complex composition and variable raw-material quality require careful standardization.</w:t>
      </w:r>
    </w:p>
    <w:p w14:paraId="5AE57455" w14:textId="77777777" w:rsidR="007F2C00" w:rsidRPr="002F3004" w:rsidRDefault="00000000" w:rsidP="00C17A09">
      <w:pPr>
        <w:jc w:val="both"/>
        <w:rPr>
          <w:rFonts w:cs="Times New Roman"/>
          <w:szCs w:val="24"/>
        </w:rPr>
      </w:pPr>
      <w:r w:rsidRPr="002F3004">
        <w:rPr>
          <w:rFonts w:cs="Times New Roman"/>
          <w:szCs w:val="24"/>
        </w:rPr>
        <w:t>A polyherbal non-propellant foam offers a rational platform for addressing these challenges. The dosage form can potentially provide rapid spreading, local residence and a convenient application profile, while formulation optimization can be used to manage the competing requirements of foam stability, chemical stability, marker release and tissue compatibility. The proposed research therefore moves beyond the question of whether turmeric or guggul is biologically active and asks whether their standardized combination can be engineered into a reproducible topical system with demonstrable wound-healing value.</w:t>
      </w:r>
    </w:p>
    <w:p w14:paraId="2FACB759" w14:textId="77777777" w:rsidR="007F2C00" w:rsidRPr="002F3004" w:rsidRDefault="00000000" w:rsidP="00C17A09">
      <w:pPr>
        <w:jc w:val="both"/>
        <w:rPr>
          <w:rFonts w:cs="Times New Roman"/>
          <w:szCs w:val="24"/>
        </w:rPr>
      </w:pPr>
      <w:r w:rsidRPr="002F3004">
        <w:rPr>
          <w:rFonts w:cs="Times New Roman"/>
          <w:szCs w:val="24"/>
        </w:rPr>
        <w:lastRenderedPageBreak/>
        <w:t>The following literature review will critically examine the evidence supporting each component of this framework in greater depth, including skin structure, wound pathophysiology, conventional wound therapy, turmeric and guggul pharmacology, polyherbal formulation science, extraction and standardization, topical delivery, foam technology, release and permeation testing, biological evaluation, safety, stability and the specific knowledge gaps that justify the experimental program.</w:t>
      </w:r>
    </w:p>
    <w:p w14:paraId="205B61F0" w14:textId="77777777" w:rsidR="0082582D" w:rsidRPr="001268D0" w:rsidRDefault="0082582D" w:rsidP="00C17A09">
      <w:pPr>
        <w:jc w:val="both"/>
        <w:rPr>
          <w:rFonts w:cs="Times New Roman"/>
          <w:szCs w:val="24"/>
        </w:rPr>
      </w:pPr>
    </w:p>
    <w:p w14:paraId="10029C57" w14:textId="77777777" w:rsidR="007F2C00" w:rsidRPr="001268D0" w:rsidRDefault="00000000" w:rsidP="00C17A09">
      <w:pPr>
        <w:jc w:val="both"/>
        <w:rPr>
          <w:rFonts w:cs="Times New Roman"/>
          <w:szCs w:val="24"/>
        </w:rPr>
      </w:pPr>
      <w:r w:rsidRPr="001268D0">
        <w:rPr>
          <w:rFonts w:cs="Times New Roman"/>
          <w:szCs w:val="24"/>
        </w:rPr>
        <w:br w:type="page"/>
      </w:r>
    </w:p>
    <w:p w14:paraId="4F346243" w14:textId="77777777" w:rsidR="007F2C00" w:rsidRPr="001268D0" w:rsidRDefault="00000000" w:rsidP="00C17A09">
      <w:pPr>
        <w:pStyle w:val="Heading1"/>
        <w:ind w:firstLine="0"/>
        <w:jc w:val="both"/>
        <w:rPr>
          <w:rFonts w:ascii="Times New Roman" w:hAnsi="Times New Roman" w:cs="Times New Roman"/>
          <w:sz w:val="24"/>
          <w:szCs w:val="24"/>
        </w:rPr>
      </w:pPr>
      <w:r w:rsidRPr="001268D0">
        <w:rPr>
          <w:rFonts w:ascii="Times New Roman" w:hAnsi="Times New Roman" w:cs="Times New Roman"/>
          <w:sz w:val="24"/>
          <w:szCs w:val="24"/>
        </w:rPr>
        <w:lastRenderedPageBreak/>
        <w:t>References</w:t>
      </w:r>
    </w:p>
    <w:p w14:paraId="27AA8812" w14:textId="2B7E1CF7" w:rsidR="007F2C00" w:rsidRPr="001268D0" w:rsidRDefault="0082582D" w:rsidP="00C17A09">
      <w:pPr>
        <w:spacing w:after="80"/>
        <w:ind w:left="432" w:hanging="432"/>
        <w:jc w:val="both"/>
        <w:rPr>
          <w:rFonts w:cs="Times New Roman"/>
          <w:szCs w:val="24"/>
        </w:rPr>
      </w:pPr>
      <w:r>
        <w:rPr>
          <w:rFonts w:cs="Times New Roman"/>
          <w:szCs w:val="24"/>
        </w:rPr>
        <w:t xml:space="preserve">      </w:t>
      </w:r>
      <w:proofErr w:type="spellStart"/>
      <w:r w:rsidR="00000000" w:rsidRPr="001268D0">
        <w:rPr>
          <w:rFonts w:cs="Times New Roman"/>
          <w:szCs w:val="24"/>
        </w:rPr>
        <w:t>Akbik</w:t>
      </w:r>
      <w:proofErr w:type="spellEnd"/>
      <w:r w:rsidR="00000000" w:rsidRPr="001268D0">
        <w:rPr>
          <w:rFonts w:cs="Times New Roman"/>
          <w:szCs w:val="24"/>
        </w:rPr>
        <w:t>, D., Ghadiri, M., Chrzanowski, W., &amp; Rohanizadeh, R. (2014). Curcumin as a wound healing</w:t>
      </w:r>
      <w:r>
        <w:rPr>
          <w:rFonts w:cs="Times New Roman"/>
          <w:szCs w:val="24"/>
        </w:rPr>
        <w:t xml:space="preserve"> </w:t>
      </w:r>
      <w:r w:rsidR="00000000" w:rsidRPr="001268D0">
        <w:rPr>
          <w:rFonts w:cs="Times New Roman"/>
          <w:szCs w:val="24"/>
        </w:rPr>
        <w:t>agent. Life Sciences, 116(1), 1–7. https://doi.org/10.1016/j.lfs.2014.08.016</w:t>
      </w:r>
    </w:p>
    <w:p w14:paraId="5432EB50" w14:textId="54D91B7B" w:rsidR="007F2C00" w:rsidRPr="001268D0" w:rsidRDefault="0082582D" w:rsidP="00C17A09">
      <w:pPr>
        <w:spacing w:after="80"/>
        <w:ind w:left="432" w:hanging="432"/>
        <w:jc w:val="both"/>
        <w:rPr>
          <w:rFonts w:cs="Times New Roman"/>
          <w:szCs w:val="24"/>
        </w:rPr>
      </w:pPr>
      <w:r>
        <w:rPr>
          <w:rFonts w:cs="Times New Roman"/>
          <w:szCs w:val="24"/>
        </w:rPr>
        <w:t xml:space="preserve">       </w:t>
      </w:r>
      <w:proofErr w:type="spellStart"/>
      <w:r w:rsidR="00000000" w:rsidRPr="001268D0">
        <w:rPr>
          <w:rFonts w:cs="Times New Roman"/>
          <w:szCs w:val="24"/>
        </w:rPr>
        <w:t>Arzhavitina</w:t>
      </w:r>
      <w:proofErr w:type="spellEnd"/>
      <w:r w:rsidR="00000000" w:rsidRPr="001268D0">
        <w:rPr>
          <w:rFonts w:cs="Times New Roman"/>
          <w:szCs w:val="24"/>
        </w:rPr>
        <w:t>, A., &amp; Steckel, H. (2010). Foams for pharmaceutical and cosmetic application. International Journal of Pharmaceutics, 394(1–2), 1–17. https://doi.org/10.1016/j.ijpharm.2010.04.028</w:t>
      </w:r>
    </w:p>
    <w:p w14:paraId="407A2E8F" w14:textId="04B3655A"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Boateng, J. S., Matthews, K. H., Stevens, H. N. E., &amp; Eccleston, G. M. (2008). Wound healing dressings and drug delivery systems: A review. Journal of Pharmaceutical Sciences, 97(8), 2892–2923. https://doi.org/10.1002/jps.21210</w:t>
      </w:r>
    </w:p>
    <w:p w14:paraId="2A58FD44" w14:textId="3768928E"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Broughton, G., 2nd, Janis, J. E., &amp; Attinger, C. E. (2006). The basic science of wound healing. Plastic and Reconstructive Surgery, 117(7 Suppl), 12S–34S. https://doi.org/10.1097/01.prs.0000225430.42531.c2</w:t>
      </w:r>
    </w:p>
    <w:p w14:paraId="32F8E0F6" w14:textId="050E4232" w:rsidR="007F2C00" w:rsidRPr="001268D0" w:rsidRDefault="0082582D" w:rsidP="00C17A09">
      <w:pPr>
        <w:spacing w:after="80"/>
        <w:ind w:left="432" w:hanging="432"/>
        <w:jc w:val="both"/>
        <w:rPr>
          <w:rFonts w:cs="Times New Roman"/>
          <w:szCs w:val="24"/>
        </w:rPr>
      </w:pPr>
      <w:r>
        <w:rPr>
          <w:rFonts w:cs="Times New Roman"/>
          <w:szCs w:val="24"/>
        </w:rPr>
        <w:t xml:space="preserve">        </w:t>
      </w:r>
      <w:proofErr w:type="spellStart"/>
      <w:r w:rsidR="00000000" w:rsidRPr="001268D0">
        <w:rPr>
          <w:rFonts w:cs="Times New Roman"/>
          <w:szCs w:val="24"/>
        </w:rPr>
        <w:t>Bureiko</w:t>
      </w:r>
      <w:proofErr w:type="spellEnd"/>
      <w:r w:rsidR="00000000" w:rsidRPr="001268D0">
        <w:rPr>
          <w:rFonts w:cs="Times New Roman"/>
          <w:szCs w:val="24"/>
        </w:rPr>
        <w:t>, A., Trybala, A., Kovalchuk, N., &amp; Starov, V. (2015). Current applications of foams formed from mixed surfactant–polymer solutions. Advances in Colloid and Interface Science, 222, 670–677. https://doi.org/10.1016/j.cis.2014.10.001</w:t>
      </w:r>
    </w:p>
    <w:p w14:paraId="10DB0D3E" w14:textId="276BFD6B"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Chaurasia, S., Chourasia, M. K., Jain, N. K., &amp; others. (2019). Advances in curcumin delivery systems and their therapeutic applications. [Review literature on curcumin delivery systems].</w:t>
      </w:r>
    </w:p>
    <w:p w14:paraId="3E97CF20" w14:textId="0AFC81E7"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Ebrahimi Fana, S., Ahmadpour, F., Rasouli, H. R., Samavarchi Tehrani, S., &amp; Maniati, M. (2021). The effects of natural compounds on wound healing in Iranian traditional medicine: A comprehensive review. Complementary Therapies in Clinical Practice, 42, 101275. https://doi.org/10.1016/j.ctcp.2020.101275</w:t>
      </w:r>
    </w:p>
    <w:p w14:paraId="60F1E307" w14:textId="1D4F53F9" w:rsidR="007F2C00" w:rsidRPr="001268D0" w:rsidRDefault="0082582D" w:rsidP="00C17A09">
      <w:pPr>
        <w:spacing w:after="80"/>
        <w:ind w:left="432" w:hanging="432"/>
        <w:jc w:val="both"/>
        <w:rPr>
          <w:rFonts w:cs="Times New Roman"/>
          <w:szCs w:val="24"/>
        </w:rPr>
      </w:pPr>
      <w:r>
        <w:rPr>
          <w:rFonts w:cs="Times New Roman"/>
          <w:szCs w:val="24"/>
        </w:rPr>
        <w:t xml:space="preserve">        </w:t>
      </w:r>
      <w:proofErr w:type="spellStart"/>
      <w:r w:rsidR="00000000" w:rsidRPr="001268D0">
        <w:rPr>
          <w:rFonts w:cs="Times New Roman"/>
          <w:szCs w:val="24"/>
        </w:rPr>
        <w:t>Eming</w:t>
      </w:r>
      <w:proofErr w:type="spellEnd"/>
      <w:r w:rsidR="00000000" w:rsidRPr="001268D0">
        <w:rPr>
          <w:rFonts w:cs="Times New Roman"/>
          <w:szCs w:val="24"/>
        </w:rPr>
        <w:t>, S. A., Martin, P., &amp; Tomic-Canic, M. (2014). Wound repair and regeneration: Mechanisms, signaling, and translation. Science Translational Medicine, 6(265), 265sr6. https://doi.org/10.1126/scitranslmed.3009337</w:t>
      </w:r>
    </w:p>
    <w:p w14:paraId="3A9F6CAB" w14:textId="3360EB82"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Guo, S., &amp; DiPietro, L. A. (2010). Factors affecting wound healing. Journal of Dental Research, 89(3), 219–229. https://doi.org/10.1177/0022034509359125</w:t>
      </w:r>
    </w:p>
    <w:p w14:paraId="1118AFE5" w14:textId="21372E2E" w:rsidR="007F2C00" w:rsidRPr="001268D0" w:rsidRDefault="0082582D" w:rsidP="00C17A09">
      <w:pPr>
        <w:spacing w:after="80"/>
        <w:ind w:left="432" w:hanging="432"/>
        <w:jc w:val="both"/>
        <w:rPr>
          <w:rFonts w:cs="Times New Roman"/>
          <w:szCs w:val="24"/>
        </w:rPr>
      </w:pPr>
      <w:r>
        <w:rPr>
          <w:rFonts w:cs="Times New Roman"/>
          <w:szCs w:val="24"/>
        </w:rPr>
        <w:t xml:space="preserve">       </w:t>
      </w:r>
      <w:proofErr w:type="spellStart"/>
      <w:r w:rsidR="00000000" w:rsidRPr="001268D0">
        <w:rPr>
          <w:rFonts w:cs="Times New Roman"/>
          <w:szCs w:val="24"/>
        </w:rPr>
        <w:t>Hewlings</w:t>
      </w:r>
      <w:proofErr w:type="spellEnd"/>
      <w:r w:rsidR="00000000" w:rsidRPr="001268D0">
        <w:rPr>
          <w:rFonts w:cs="Times New Roman"/>
          <w:szCs w:val="24"/>
        </w:rPr>
        <w:t>, S. J., &amp; Kalman, D. S. (2017). Curcumin: A review of its effects on human health. Foods, 6(10), 92. https://doi.org/10.3390/foods6100092</w:t>
      </w:r>
    </w:p>
    <w:p w14:paraId="7B209A83" w14:textId="2ADB1C80"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Jia, S., Du, Z., Song, C., Jin, S., Zhang, Y., Feng, Y., Xiong, C., &amp; Jiang, H. (2017). Identification and characterization of curcuminoids in turmeric using ultra-</w:t>
      </w:r>
      <w:proofErr w:type="gramStart"/>
      <w:r w:rsidR="00000000" w:rsidRPr="001268D0">
        <w:rPr>
          <w:rFonts w:cs="Times New Roman"/>
          <w:szCs w:val="24"/>
        </w:rPr>
        <w:t>high performance</w:t>
      </w:r>
      <w:proofErr w:type="gramEnd"/>
      <w:r w:rsidR="00000000" w:rsidRPr="001268D0">
        <w:rPr>
          <w:rFonts w:cs="Times New Roman"/>
          <w:szCs w:val="24"/>
        </w:rPr>
        <w:t xml:space="preserve"> liquid </w:t>
      </w:r>
      <w:r w:rsidR="00000000" w:rsidRPr="001268D0">
        <w:rPr>
          <w:rFonts w:cs="Times New Roman"/>
          <w:szCs w:val="24"/>
        </w:rPr>
        <w:lastRenderedPageBreak/>
        <w:t>chromatography–quadrupole time of flight tandem mass spectrometry. Journal of Chromatography A, 1521, 110–122. https://doi.org/10.1016/j.chroma.2017.09.032</w:t>
      </w:r>
    </w:p>
    <w:p w14:paraId="2CD487E1" w14:textId="7511823F"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Korting, H. C., Schöllmann, C., &amp; White, R. J. (2011). Management of minor acute cutaneous wounds: Importance of wound healing in a moist environment. Journal of the European Academy of Dermatology and Venereology, 25(2), 130–137. https://doi.org/10.1111/j.1468-3083.2010.03775.x</w:t>
      </w:r>
    </w:p>
    <w:p w14:paraId="706D98FA" w14:textId="6E640891"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Lao, C. D., Ruffin, M. T., Normolle, D., Heath, D. D., Murray, S. I., Bailey, J. M., &amp; Brenner, D. E. (2006). Dose escalation of a curcuminoid formulation. BMC Complementary and Alternative Medicine, 6, 10. https://doi.org/10.1186/1472-6882-6-10</w:t>
      </w:r>
    </w:p>
    <w:p w14:paraId="3792B1A5" w14:textId="3FBD50CD"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Li, L., Braiteh, F. S., &amp; others. (2022). Advancements in skin delivery of natural bioactive products for wound management: A brief review of two decades. Pharmaceutics, 14(5), 1072. https://doi.org/10.3390/pharmaceutics14051072</w:t>
      </w:r>
    </w:p>
    <w:p w14:paraId="11B5E67A" w14:textId="70258C25"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Maheshwari, D., Mittal, B., &amp; others. (2012). The genus Commiphora: A review of its traditional uses, phytochemistry and pharmacology. Phytotherapy Research, 26(9), 1313–1325. https://doi.org/10.1002/ptr.3669</w:t>
      </w:r>
    </w:p>
    <w:p w14:paraId="0A57A081" w14:textId="6B41A285"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Parsa, M., Trybala, A., Malik, D. J., &amp; Starov, V. (2019). Foam in pharmaceutical and medical applications. Current Opinion in Colloid &amp; Interface Science, 44, 153–167. https://doi.org/10.1016/j.cocis.2019.10.007</w:t>
      </w:r>
    </w:p>
    <w:p w14:paraId="5EB52198" w14:textId="642BE77D"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Pereira, R. F., Mendes, A., &amp; Bártolo, P. J. (2016). Novel hydrogel-based drug delivery systems for wound healing applications. Materials Science and Engineering: C, 68, 532–546.</w:t>
      </w:r>
    </w:p>
    <w:p w14:paraId="65D6AEEA" w14:textId="1D52F2A6" w:rsidR="007F2C00" w:rsidRPr="001268D0" w:rsidRDefault="0082582D" w:rsidP="00C17A09">
      <w:pPr>
        <w:spacing w:after="80"/>
        <w:ind w:left="432" w:hanging="432"/>
        <w:jc w:val="both"/>
        <w:rPr>
          <w:rFonts w:cs="Times New Roman"/>
          <w:szCs w:val="24"/>
        </w:rPr>
      </w:pPr>
      <w:r>
        <w:rPr>
          <w:rFonts w:cs="Times New Roman"/>
          <w:szCs w:val="24"/>
        </w:rPr>
        <w:t xml:space="preserve">       </w:t>
      </w:r>
      <w:proofErr w:type="spellStart"/>
      <w:r w:rsidR="00000000" w:rsidRPr="001268D0">
        <w:rPr>
          <w:rFonts w:cs="Times New Roman"/>
          <w:szCs w:val="24"/>
        </w:rPr>
        <w:t>Saghazadeh</w:t>
      </w:r>
      <w:proofErr w:type="spellEnd"/>
      <w:r w:rsidR="00000000" w:rsidRPr="001268D0">
        <w:rPr>
          <w:rFonts w:cs="Times New Roman"/>
          <w:szCs w:val="24"/>
        </w:rPr>
        <w:t>, S., Rinoldi, C., Schot, M., Saheb Kashaf, S., Sharifi, F., Jalilian, E., Nuutila, K., Giatsidis, G., Mostafalu, P., Derakhshandeh, H., Yue, K., Swieszkowski, W., Memic, A., Tamayol, A., &amp; Khademhosseini, A. (2018). Drug delivery systems and materials for wound healing applications. Advanced Drug Delivery Reviews, 127, 138–166. https://doi.org/10.1016/j.addr.2018.04.008</w:t>
      </w:r>
    </w:p>
    <w:p w14:paraId="78013A05" w14:textId="1707845E"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Sarup, P., Bala, S., &amp; Kamboj, S. (2015). Pharmacology and phytochemistry of oleo-gum resin of Commiphora wightii (Guggulu). Scientifica, 2015, 138039. https://doi.org/10.1155/2015/138039</w:t>
      </w:r>
    </w:p>
    <w:p w14:paraId="621BCB0C" w14:textId="0705B8F2"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 xml:space="preserve">Tejada, S., Manayi, A., Daglia, M., Nabavi, S. F., Sureda, A., Hajheydari, Z., Gortzi, O., Pazoki-Toroudi, H., &amp; Nabavi, S. M. (2016). Wound healing effects of curcumin: A short review. </w:t>
      </w:r>
      <w:r w:rsidR="00000000" w:rsidRPr="001268D0">
        <w:rPr>
          <w:rFonts w:cs="Times New Roman"/>
          <w:szCs w:val="24"/>
        </w:rPr>
        <w:lastRenderedPageBreak/>
        <w:t>Current Pharmaceutical Biotechnology, 17(11), 1002–1007. https://doi.org/10.2174/1389201017666160721123109</w:t>
      </w:r>
    </w:p>
    <w:p w14:paraId="5F4987AA" w14:textId="7204F18B"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Tiwari, R., &amp; Pathak, K. (2023). Local drug delivery strategies towards wound healing. Pharmaceutics, 15(2), 634. https://doi.org/10.3390/pharmaceutics15020634</w:t>
      </w:r>
    </w:p>
    <w:p w14:paraId="22E66BB6" w14:textId="7D602FF8"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Vaughn, A. R., Haas, K. N., Burney, W., Andersen, E., Clark, A. K., Crawford, R., &amp; Sivamani, R. K. (2017). Potential role of curcumin against biofilm-producing organisms on the skin: A review. Phytotherapy Research, 31(12), 1807–1816. https://doi.org/10.1002/ptr.5912</w:t>
      </w:r>
    </w:p>
    <w:p w14:paraId="7CBEEE9E" w14:textId="1B95D6B2" w:rsidR="007F2C00" w:rsidRPr="001268D0" w:rsidRDefault="0082582D" w:rsidP="00C17A09">
      <w:pPr>
        <w:spacing w:after="80"/>
        <w:ind w:left="432" w:hanging="432"/>
        <w:jc w:val="both"/>
        <w:rPr>
          <w:rFonts w:cs="Times New Roman"/>
          <w:szCs w:val="24"/>
        </w:rPr>
      </w:pPr>
      <w:r>
        <w:rPr>
          <w:rFonts w:cs="Times New Roman"/>
          <w:szCs w:val="24"/>
        </w:rPr>
        <w:t xml:space="preserve">       </w:t>
      </w:r>
      <w:proofErr w:type="spellStart"/>
      <w:r w:rsidR="00000000" w:rsidRPr="001268D0">
        <w:rPr>
          <w:rFonts w:cs="Times New Roman"/>
          <w:szCs w:val="24"/>
        </w:rPr>
        <w:t>Yazarlu</w:t>
      </w:r>
      <w:proofErr w:type="spellEnd"/>
      <w:r w:rsidR="00000000" w:rsidRPr="001268D0">
        <w:rPr>
          <w:rFonts w:cs="Times New Roman"/>
          <w:szCs w:val="24"/>
        </w:rPr>
        <w:t>, O., Iranshahi, M., Khayat Kashani, H. R., Reshadat, S., Habtemariam, S., Iranshahy, M., &amp; Hasanpour, M. (2021). Perspective on the application of medicinal plants and natural products in wound healing: A mechanistic review. Pharmacological Research, 174, 105841. https://doi.org/10.1016/j.phrs.2021.105841</w:t>
      </w:r>
    </w:p>
    <w:p w14:paraId="43D52ADE" w14:textId="60ADCE75"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Zhao, X., Wu, H., Guo, B., Dong, R., Qiu, Y., &amp; Ma, P. X. (2017). Antibacterial anti-oxidant electroactive injectable hydrogel as self-healing wound dressing with hemostasis and adhesiveness for cutaneous wound healing. Biomaterials, 122, 34–47. https://doi.org/10.1016/j.biomaterials.2017.01.011</w:t>
      </w:r>
    </w:p>
    <w:p w14:paraId="63DA7012" w14:textId="43D99381"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Zhou, J., Sun, X., &amp; others. (2018). Responsive triggering systems for delivery in chronic wound healing. Advanced Drug Delivery Reviews, 129, 127–145.</w:t>
      </w:r>
    </w:p>
    <w:p w14:paraId="4E0A522F" w14:textId="4C392B33" w:rsidR="007F2C00" w:rsidRPr="001268D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Zhang, Y., Guo, J., &amp; others. (2019). Advanced drug delivery systems and artificial skin grafts for skin wound healing. Advanced Drug Delivery Reviews, 146, 1–16. https://doi.org/10.1016/j.addr.2018.12.014</w:t>
      </w:r>
    </w:p>
    <w:p w14:paraId="7CFFA146" w14:textId="76196A42" w:rsidR="007F2C00" w:rsidRPr="001268D0" w:rsidRDefault="0082582D" w:rsidP="00C17A09">
      <w:pPr>
        <w:spacing w:after="80"/>
        <w:ind w:left="432" w:hanging="432"/>
        <w:jc w:val="both"/>
        <w:rPr>
          <w:rFonts w:cs="Times New Roman"/>
          <w:szCs w:val="24"/>
        </w:rPr>
      </w:pPr>
      <w:r>
        <w:rPr>
          <w:rFonts w:cs="Times New Roman"/>
          <w:szCs w:val="24"/>
        </w:rPr>
        <w:t xml:space="preserve">       </w:t>
      </w:r>
      <w:proofErr w:type="spellStart"/>
      <w:r w:rsidR="00000000" w:rsidRPr="001268D0">
        <w:rPr>
          <w:rFonts w:cs="Times New Roman"/>
          <w:szCs w:val="24"/>
        </w:rPr>
        <w:t>Neviere</w:t>
      </w:r>
      <w:proofErr w:type="spellEnd"/>
      <w:r w:rsidR="00000000" w:rsidRPr="001268D0">
        <w:rPr>
          <w:rFonts w:cs="Times New Roman"/>
          <w:szCs w:val="24"/>
        </w:rPr>
        <w:t>, R., Kamel, S., &amp; others. (2018). Targeting oxidative stress and mitochondrial dysfunction in the treatment of impaired wound healing: A systematic review. Antioxidants, 7(8), 98. https://doi.org/10.3390/antiox7080098</w:t>
      </w:r>
    </w:p>
    <w:p w14:paraId="75DAF037" w14:textId="211E46B6" w:rsidR="007F2C00" w:rsidRDefault="0082582D" w:rsidP="00C17A09">
      <w:pPr>
        <w:spacing w:after="80"/>
        <w:ind w:left="432" w:hanging="432"/>
        <w:jc w:val="both"/>
        <w:rPr>
          <w:rFonts w:cs="Times New Roman"/>
          <w:szCs w:val="24"/>
        </w:rPr>
      </w:pPr>
      <w:r>
        <w:rPr>
          <w:rFonts w:cs="Times New Roman"/>
          <w:szCs w:val="24"/>
        </w:rPr>
        <w:t xml:space="preserve">        </w:t>
      </w:r>
      <w:r w:rsidR="00000000" w:rsidRPr="001268D0">
        <w:rPr>
          <w:rFonts w:cs="Times New Roman"/>
          <w:szCs w:val="24"/>
        </w:rPr>
        <w:t>Almeida, M. F., &amp; others. (2023). Preclinical evidence of polyherbal formulations on wound healing: A systematic review on research trends and perspectives. [Systematic review].</w:t>
      </w:r>
    </w:p>
    <w:p w14:paraId="151D7AB2" w14:textId="77777777" w:rsidR="002F3004" w:rsidRDefault="002F3004" w:rsidP="00C17A09">
      <w:pPr>
        <w:spacing w:before="600"/>
        <w:jc w:val="both"/>
      </w:pPr>
      <w:r>
        <w:rPr>
          <w:b/>
          <w:sz w:val="36"/>
        </w:rPr>
        <w:t>CHAPTER 2</w:t>
      </w:r>
    </w:p>
    <w:p w14:paraId="26F8B297" w14:textId="77777777" w:rsidR="002F3004" w:rsidRDefault="002F3004" w:rsidP="00C17A09">
      <w:pPr>
        <w:jc w:val="both"/>
      </w:pPr>
      <w:r>
        <w:rPr>
          <w:b/>
          <w:sz w:val="36"/>
        </w:rPr>
        <w:t>REVIEW OF LITERATURE</w:t>
      </w:r>
    </w:p>
    <w:p w14:paraId="2DE81FFA"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lastRenderedPageBreak/>
        <w:t>2.1 Introduction</w:t>
      </w:r>
    </w:p>
    <w:p w14:paraId="3D1F7A7C" w14:textId="77777777" w:rsidR="002F3004" w:rsidRPr="00930EAE" w:rsidRDefault="002F3004" w:rsidP="00C17A09">
      <w:pPr>
        <w:jc w:val="both"/>
        <w:rPr>
          <w:rFonts w:cs="Times New Roman"/>
          <w:szCs w:val="24"/>
        </w:rPr>
      </w:pPr>
      <w:r w:rsidRPr="00930EAE">
        <w:rPr>
          <w:rFonts w:cs="Times New Roman"/>
          <w:szCs w:val="24"/>
        </w:rPr>
        <w:t xml:space="preserve">Wound healing is a highly coordinated biological process involving inflammatory cells, extracellular matrix components, fibroblasts, keratinocytes, endothelial cells, growth factors, cytokines, and intracellular signaling pathways. Hemostasis, inflammation, proliferation, and remodeling are overlapping phases rather than completely independent stages (Gurtner et al., 2008; Guo et al., 2010; </w:t>
      </w:r>
      <w:proofErr w:type="spellStart"/>
      <w:r w:rsidRPr="00930EAE">
        <w:rPr>
          <w:rFonts w:cs="Times New Roman"/>
          <w:szCs w:val="24"/>
        </w:rPr>
        <w:t>Eming</w:t>
      </w:r>
      <w:proofErr w:type="spellEnd"/>
      <w:r w:rsidRPr="00930EAE">
        <w:rPr>
          <w:rFonts w:cs="Times New Roman"/>
          <w:szCs w:val="24"/>
        </w:rPr>
        <w:t xml:space="preserve"> et al., 2014). Chronic wounds may remain in a prolonged inflammatory state with oxidative stress, microbial colonization, excessive protease activity, impaired angiogenesis, and defective epithelialization (Wilkinson et al., 2020; </w:t>
      </w:r>
      <w:proofErr w:type="spellStart"/>
      <w:r w:rsidRPr="00930EAE">
        <w:rPr>
          <w:rFonts w:cs="Times New Roman"/>
          <w:szCs w:val="24"/>
        </w:rPr>
        <w:t>Frykberg</w:t>
      </w:r>
      <w:proofErr w:type="spellEnd"/>
      <w:r w:rsidRPr="00930EAE">
        <w:rPr>
          <w:rFonts w:cs="Times New Roman"/>
          <w:szCs w:val="24"/>
        </w:rPr>
        <w:t xml:space="preserve"> et al., 2015). Modern wound management increasingly uses therapeutic delivery systems rather than passive coverings. Turmeric and guggul are scientifically interesting because their phytoconstituents may influence several wound-related pathways. A non-propellant foam provides a promising topical platform for localized delivery. The biological complexity of repair is important when considering a multifunctional topical product because a single intervention may not adequately address the different stages and pathological disturbances encountered in a wound. Hemostasis provides the initial provisional environment, whereas the subsequent inflammatory phase must be sufficiently active to remove contaminants but must also resolve in an orderly manner. The proliferative phase then depends on viable fibroblasts, keratinocytes and endothelial cells, together with adequate matrix synthesis and vascular support. Remodeling determines the organization and mechanical quality of the repaired tissue. Consequently, a formulation intended for wound management should be considered in relation to the whole healing continuum rather than one isolated endpoint. The literature also indicates that chronic wounds can be biologically heterogeneous, meaning that local oxygenation, microbial burden, inflammatory status and tissue quality can differ substantially between wounds. This supports the rationale for a locally applied formulation capable of providing reproducible exposure and maintaining acceptable physicochemical properties throughout use (Gurtner et al., 2008; Guo et al., 2010; </w:t>
      </w:r>
      <w:proofErr w:type="spellStart"/>
      <w:r w:rsidRPr="00930EAE">
        <w:rPr>
          <w:rFonts w:cs="Times New Roman"/>
          <w:szCs w:val="24"/>
        </w:rPr>
        <w:t>Eming</w:t>
      </w:r>
      <w:proofErr w:type="spellEnd"/>
      <w:r w:rsidRPr="00930EAE">
        <w:rPr>
          <w:rFonts w:cs="Times New Roman"/>
          <w:szCs w:val="24"/>
        </w:rPr>
        <w:t xml:space="preserve"> et al., 2014).</w:t>
      </w:r>
    </w:p>
    <w:p w14:paraId="7BAAB784"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2.2 Wound Healing: Biological Basis</w:t>
      </w:r>
    </w:p>
    <w:p w14:paraId="5F4F464D" w14:textId="77777777" w:rsidR="002F3004" w:rsidRPr="00930EAE" w:rsidRDefault="002F3004" w:rsidP="00C17A09">
      <w:pPr>
        <w:jc w:val="both"/>
        <w:rPr>
          <w:rFonts w:cs="Times New Roman"/>
          <w:szCs w:val="24"/>
        </w:rPr>
      </w:pPr>
      <w:r w:rsidRPr="00930EAE">
        <w:rPr>
          <w:rFonts w:cs="Times New Roman"/>
          <w:szCs w:val="24"/>
        </w:rPr>
        <w:t xml:space="preserve">Wound healing restores structural continuity and, to varying degrees, tissue function. Hemostasis controls bleeding and forms a provisional matrix; inflammation removes pathogens and debris; proliferation involves fibroblasts, extracellular matrix deposition, angiogenesis, granulation tissue and re-epithelialization; remodeling reorganizes collagen and matrix over an extended period (Gurtner et al., 2008; Guo et al., 2010; </w:t>
      </w:r>
      <w:proofErr w:type="spellStart"/>
      <w:r w:rsidRPr="00930EAE">
        <w:rPr>
          <w:rFonts w:cs="Times New Roman"/>
          <w:szCs w:val="24"/>
        </w:rPr>
        <w:t>Eming</w:t>
      </w:r>
      <w:proofErr w:type="spellEnd"/>
      <w:r w:rsidRPr="00930EAE">
        <w:rPr>
          <w:rFonts w:cs="Times New Roman"/>
          <w:szCs w:val="24"/>
        </w:rPr>
        <w:t xml:space="preserve"> et al., 2014; </w:t>
      </w:r>
      <w:proofErr w:type="spellStart"/>
      <w:r w:rsidRPr="00930EAE">
        <w:rPr>
          <w:rFonts w:cs="Times New Roman"/>
          <w:szCs w:val="24"/>
        </w:rPr>
        <w:t>Pastar</w:t>
      </w:r>
      <w:proofErr w:type="spellEnd"/>
      <w:r w:rsidRPr="00930EAE">
        <w:rPr>
          <w:rFonts w:cs="Times New Roman"/>
          <w:szCs w:val="24"/>
        </w:rPr>
        <w:t xml:space="preserve"> et al., 2014). Healing is influenced by oxygenation, perfusion, microbial burden, wound size, moisture, tissue trauma, nutritional status, </w:t>
      </w:r>
      <w:r w:rsidRPr="00930EAE">
        <w:rPr>
          <w:rFonts w:cs="Times New Roman"/>
          <w:szCs w:val="24"/>
        </w:rPr>
        <w:lastRenderedPageBreak/>
        <w:t xml:space="preserve">metabolic health, age, immune function and medications. Each phase of healing is characterized by coordinated changes in cell populations, mediators and extracellular matrix composition. Immediately after injury, clot formation provides mechanical protection and a provisional scaffold. Inflammation subsequently recruits neutrophils and macrophages, which participate in debridement and signaling. During proliferation, fibroblasts produce matrix components while endothelial cells support neovascularization and keratinocytes migrate across the wound surface. Remodeling then progressively replaces the early matrix with a more organized structure and modifies collagen cross-linking. Importantly, these phases overlap; therefore, a delay or excessive response in one phase can influence subsequent events. Local oxygen tension, moisture, pH and nutrient availability can also alter cellular behavior. For topical herbal systems, these environmental factors are relevant because the vehicle is placed directly at the tissue interface. The formulation should therefore be designed not merely to deliver botanical constituents, but to do so in a manner that is physically compatible with the wound environment and does not interfere with normal repair processes (Gurtner et al., 2008; </w:t>
      </w:r>
      <w:proofErr w:type="spellStart"/>
      <w:r w:rsidRPr="00930EAE">
        <w:rPr>
          <w:rFonts w:cs="Times New Roman"/>
          <w:szCs w:val="24"/>
        </w:rPr>
        <w:t>Eming</w:t>
      </w:r>
      <w:proofErr w:type="spellEnd"/>
      <w:r w:rsidRPr="00930EAE">
        <w:rPr>
          <w:rFonts w:cs="Times New Roman"/>
          <w:szCs w:val="24"/>
        </w:rPr>
        <w:t xml:space="preserve"> et al., 2014; </w:t>
      </w:r>
      <w:proofErr w:type="spellStart"/>
      <w:r w:rsidRPr="00930EAE">
        <w:rPr>
          <w:rFonts w:cs="Times New Roman"/>
          <w:szCs w:val="24"/>
        </w:rPr>
        <w:t>Pastar</w:t>
      </w:r>
      <w:proofErr w:type="spellEnd"/>
      <w:r w:rsidRPr="00930EAE">
        <w:rPr>
          <w:rFonts w:cs="Times New Roman"/>
          <w:szCs w:val="24"/>
        </w:rPr>
        <w:t xml:space="preserve"> et al., 2014).</w:t>
      </w:r>
    </w:p>
    <w:p w14:paraId="7F48E1D8"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2.3 Cellular and Molecular Regulation of Wound Healing</w:t>
      </w:r>
    </w:p>
    <w:p w14:paraId="07F539EA" w14:textId="77777777" w:rsidR="002F3004" w:rsidRDefault="002F3004" w:rsidP="00C17A09">
      <w:pPr>
        <w:jc w:val="both"/>
        <w:rPr>
          <w:rFonts w:cs="Times New Roman"/>
          <w:szCs w:val="24"/>
        </w:rPr>
      </w:pPr>
      <w:r w:rsidRPr="00930EAE">
        <w:rPr>
          <w:rFonts w:cs="Times New Roman"/>
          <w:szCs w:val="24"/>
        </w:rPr>
        <w:t>Growth factors such as TGF-β, VEGF, PDGF and EGF regulate recruitment, proliferation, angiogenesis, matrix synthesis and epithelialization. Cytokines and chemokines coordinate immune-cell recruitment. Reactive oxygen species have useful antimicrobial and signaling functions at controlled levels but become damaging when excessive. Matrix metalloproteinases are necessary for remodeling, but excessive proteolysis can destroy newly formed matrix and growth factors. These mechanisms support investigation of multifunctional interventions that address inflammation, oxidative stress, microbial burden and regeneration together. At the molecular level, wound repair is controlled by a network rather than a single pathway. Growth factors regulate cell recruitment and proliferation, cytokines establish the inflammatory environment, and matrix-associated enzymes continuously modify the extracellular scaffold. TGF-β is particularly relevant to matrix deposition and remodeling, while VEGF contributes to vascular development and PDGF supports fibroblast and other stromal responses. Reactive oxygen species illustrate the importance of balance: moderate levels can participate in signaling and host defense, whereas sustained excess can damage lipids, proteins, DNA and matrix components. Matrix metalloproteinases similarly have physiological functions but can become detrimental when their activity is excessive relative to tissue inhibitors. These relationships provide a mechanistic basis for investigating botanicals with antioxidant and anti-</w:t>
      </w:r>
      <w:r w:rsidRPr="00930EAE">
        <w:rPr>
          <w:rFonts w:cs="Times New Roman"/>
          <w:szCs w:val="24"/>
        </w:rPr>
        <w:lastRenderedPageBreak/>
        <w:t>inflammatory properties, but they also emphasize that experimental claims should remain proportional to the evidence. Changes observed in an isolated pathway should not automatically be interpreted as proof of improved wound closure. Instead, molecular findings should be integrated with physicochemical characterization, cell-based assays and appropriate wound models to establish whether the proposed formulation produces a meaningful biological response (</w:t>
      </w:r>
      <w:proofErr w:type="spellStart"/>
      <w:r w:rsidRPr="00930EAE">
        <w:rPr>
          <w:rFonts w:cs="Times New Roman"/>
          <w:szCs w:val="24"/>
        </w:rPr>
        <w:t>Eming</w:t>
      </w:r>
      <w:proofErr w:type="spellEnd"/>
      <w:r w:rsidRPr="00930EAE">
        <w:rPr>
          <w:rFonts w:cs="Times New Roman"/>
          <w:szCs w:val="24"/>
        </w:rPr>
        <w:t xml:space="preserve"> et al., 2014; </w:t>
      </w:r>
      <w:proofErr w:type="spellStart"/>
      <w:r w:rsidRPr="00930EAE">
        <w:rPr>
          <w:rFonts w:cs="Times New Roman"/>
          <w:szCs w:val="24"/>
        </w:rPr>
        <w:t>Pastar</w:t>
      </w:r>
      <w:proofErr w:type="spellEnd"/>
      <w:r w:rsidRPr="00930EAE">
        <w:rPr>
          <w:rFonts w:cs="Times New Roman"/>
          <w:szCs w:val="24"/>
        </w:rPr>
        <w:t xml:space="preserve"> et al., 2014).</w:t>
      </w:r>
    </w:p>
    <w:p w14:paraId="51F45DCA" w14:textId="6DC3B49F" w:rsidR="002F3004" w:rsidRPr="002F3004" w:rsidRDefault="002F3004" w:rsidP="00C17A09">
      <w:pPr>
        <w:ind w:firstLine="0"/>
        <w:jc w:val="both"/>
        <w:rPr>
          <w:rFonts w:cs="Times New Roman"/>
          <w:b/>
          <w:bCs/>
          <w:szCs w:val="24"/>
        </w:rPr>
      </w:pPr>
      <w:r w:rsidRPr="002F3004">
        <w:rPr>
          <w:rFonts w:cs="Times New Roman"/>
          <w:b/>
          <w:bCs/>
          <w:szCs w:val="24"/>
        </w:rPr>
        <w:t>2.4 Chronic Wounds and Impaired Healing</w:t>
      </w:r>
    </w:p>
    <w:p w14:paraId="26BEE00E" w14:textId="77777777" w:rsidR="002F3004" w:rsidRPr="00930EAE" w:rsidRDefault="002F3004" w:rsidP="00C17A09">
      <w:pPr>
        <w:ind w:firstLine="0"/>
        <w:jc w:val="both"/>
        <w:rPr>
          <w:rFonts w:cs="Times New Roman"/>
          <w:szCs w:val="24"/>
        </w:rPr>
      </w:pPr>
      <w:r w:rsidRPr="00930EAE">
        <w:rPr>
          <w:rFonts w:cs="Times New Roman"/>
          <w:szCs w:val="24"/>
        </w:rPr>
        <w:t xml:space="preserve">Chronic wounds fail to progress through normal healing in an appropriate and timely manner. Persistent infection or colonization, vascular insufficiency, metabolic disorders, repeated mechanical stress, hypoxia, excessive inflammation and impaired cellular responses may contribute. The chronic wound environment may exhibit persistent inflammation, oxidative stress, excessive protease activity, impaired angiogenesis and defective extracellular matrix deposition (Bjarnsholt et al., 2008; </w:t>
      </w:r>
      <w:proofErr w:type="spellStart"/>
      <w:r w:rsidRPr="00930EAE">
        <w:rPr>
          <w:rFonts w:cs="Times New Roman"/>
          <w:szCs w:val="24"/>
        </w:rPr>
        <w:t>Frykberg</w:t>
      </w:r>
      <w:proofErr w:type="spellEnd"/>
      <w:r w:rsidRPr="00930EAE">
        <w:rPr>
          <w:rFonts w:cs="Times New Roman"/>
          <w:szCs w:val="24"/>
        </w:rPr>
        <w:t xml:space="preserve"> et al., 2015). The transition from an acute to a chronic wound is associated with failure of normal resolution mechanisms. Instead of progressing efficiently toward proliferation and remodeling, the tissue may remain exposed to inflammatory mediators, oxidative injury and proteolytic degradation. Hypoxia and poor perfusion can further reduce cellular energy availability and impair collagen formation, while repeated mechanical stress can continually re-initiate tissue injury. Metabolic disturbances and impaired immune responses may also alter host defense and regeneration. These interacting factors explain why chronic wound treatment often requires more than simple coverage of the wound surface. A rational topical system should ideally support an environment that limits unnecessary irritation while providing localized therapeutic constituents. The literature does not imply that a botanical foam alone can correct every underlying cause of chronic wounds; rather, it may be investigated as an adjunctive local delivery approach. This distinction is important for scientific positioning and for the design of experiments, where wound closure, tissue organization, inflammation and microbial outcomes should be interpreted alongside the underlying disease context (</w:t>
      </w:r>
      <w:proofErr w:type="spellStart"/>
      <w:r w:rsidRPr="00930EAE">
        <w:rPr>
          <w:rFonts w:cs="Times New Roman"/>
          <w:szCs w:val="24"/>
        </w:rPr>
        <w:t>Frykberg</w:t>
      </w:r>
      <w:proofErr w:type="spellEnd"/>
      <w:r w:rsidRPr="00930EAE">
        <w:rPr>
          <w:rFonts w:cs="Times New Roman"/>
          <w:szCs w:val="24"/>
        </w:rPr>
        <w:t xml:space="preserve"> et al., 2015; Wilkinson et al., 2020).</w:t>
      </w:r>
    </w:p>
    <w:p w14:paraId="03A6527B"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2.5 Microbial Colonization and Biofilms in Wounds</w:t>
      </w:r>
    </w:p>
    <w:p w14:paraId="1EB6E08C" w14:textId="77777777" w:rsidR="002F3004" w:rsidRPr="00930EAE" w:rsidRDefault="002F3004" w:rsidP="00C17A09">
      <w:pPr>
        <w:jc w:val="both"/>
        <w:rPr>
          <w:rFonts w:cs="Times New Roman"/>
          <w:szCs w:val="24"/>
        </w:rPr>
      </w:pPr>
      <w:r w:rsidRPr="00930EAE">
        <w:rPr>
          <w:rFonts w:cs="Times New Roman"/>
          <w:szCs w:val="24"/>
        </w:rPr>
        <w:t xml:space="preserve">Microorganisms can colonize wounds without necessarily causing clinical infection. Biofilms consist of microorganisms embedded in extracellular polymeric matrix and can increase persistence and treatment resistance. Biofilm-associated communities may sustain inflammatory stimulation and </w:t>
      </w:r>
      <w:r w:rsidRPr="00930EAE">
        <w:rPr>
          <w:rFonts w:cs="Times New Roman"/>
          <w:szCs w:val="24"/>
        </w:rPr>
        <w:lastRenderedPageBreak/>
        <w:t>delay epithelialization and tissue regeneration (James et al., 2008; Percival et al., 2012, 2015). Biofilm biology adds an additional layer of complexity because microorganisms in a structured community can behave differently from free-living cells. The extracellular matrix surrounding a biofilm can limit penetration of antimicrobial substances and contribute to persistent inflammatory stimulation. However, the presence of microorganisms does not by itself establish invasive infection, and laboratory antimicrobial activity should therefore be interpreted carefully. For a botanical formulation, concentration, exposure time, solvent environment and the test organism can substantially affect observed activity. A useful literature-based approach is consequently to distinguish between antimicrobial screening, biofilm-related assays and clinically meaningful infection outcomes. In formulation development, microbiological quality of the product must also be separated from the intended antimicrobial activity: the finished product must remain acceptably controlled microbiologically while its active botanical constituents are being evaluated for biological effects. These considerations support inclusion of both microbiological quality testing and mechanistically relevant biological assays during development of a turmeric–guggul topical foam (James et al., 2008; Percival et al., 2012).</w:t>
      </w:r>
    </w:p>
    <w:p w14:paraId="68D1269C"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Table 2.1. Major pathological factors associated with delayed wound healing</w:t>
      </w:r>
    </w:p>
    <w:tbl>
      <w:tblPr>
        <w:tblStyle w:val="TableGrid"/>
        <w:tblW w:w="0" w:type="auto"/>
        <w:jc w:val="center"/>
        <w:tblLook w:val="04A0" w:firstRow="1" w:lastRow="0" w:firstColumn="1" w:lastColumn="0" w:noHBand="0" w:noVBand="1"/>
      </w:tblPr>
      <w:tblGrid>
        <w:gridCol w:w="3213"/>
        <w:gridCol w:w="3212"/>
        <w:gridCol w:w="3213"/>
      </w:tblGrid>
      <w:tr w:rsidR="002F3004" w:rsidRPr="00930EAE" w14:paraId="39163077" w14:textId="77777777" w:rsidTr="00E239B7">
        <w:trPr>
          <w:jc w:val="center"/>
        </w:trPr>
        <w:tc>
          <w:tcPr>
            <w:tcW w:w="3216" w:type="dxa"/>
            <w:shd w:val="clear" w:color="auto" w:fill="D9E2F3"/>
            <w:vAlign w:val="center"/>
          </w:tcPr>
          <w:p w14:paraId="3AC32103" w14:textId="77777777" w:rsidR="002F3004" w:rsidRPr="00930EAE" w:rsidRDefault="002F3004" w:rsidP="00C17A09">
            <w:pPr>
              <w:spacing w:after="0"/>
              <w:jc w:val="both"/>
              <w:rPr>
                <w:rFonts w:cs="Times New Roman"/>
                <w:szCs w:val="24"/>
              </w:rPr>
            </w:pPr>
            <w:r w:rsidRPr="00930EAE">
              <w:rPr>
                <w:rFonts w:cs="Times New Roman"/>
                <w:b/>
                <w:szCs w:val="24"/>
              </w:rPr>
              <w:t>Pathological factor</w:t>
            </w:r>
          </w:p>
        </w:tc>
        <w:tc>
          <w:tcPr>
            <w:tcW w:w="3216" w:type="dxa"/>
            <w:shd w:val="clear" w:color="auto" w:fill="D9E2F3"/>
            <w:vAlign w:val="center"/>
          </w:tcPr>
          <w:p w14:paraId="6AD650F8" w14:textId="77777777" w:rsidR="002F3004" w:rsidRPr="00930EAE" w:rsidRDefault="002F3004" w:rsidP="00C17A09">
            <w:pPr>
              <w:spacing w:after="0"/>
              <w:jc w:val="both"/>
              <w:rPr>
                <w:rFonts w:cs="Times New Roman"/>
                <w:szCs w:val="24"/>
              </w:rPr>
            </w:pPr>
            <w:r w:rsidRPr="00930EAE">
              <w:rPr>
                <w:rFonts w:cs="Times New Roman"/>
                <w:b/>
                <w:szCs w:val="24"/>
              </w:rPr>
              <w:t>Major consequence</w:t>
            </w:r>
          </w:p>
        </w:tc>
        <w:tc>
          <w:tcPr>
            <w:tcW w:w="3216" w:type="dxa"/>
            <w:shd w:val="clear" w:color="auto" w:fill="D9E2F3"/>
            <w:vAlign w:val="center"/>
          </w:tcPr>
          <w:p w14:paraId="3AED34FA" w14:textId="77777777" w:rsidR="002F3004" w:rsidRPr="00930EAE" w:rsidRDefault="002F3004" w:rsidP="00C17A09">
            <w:pPr>
              <w:spacing w:after="0"/>
              <w:jc w:val="both"/>
              <w:rPr>
                <w:rFonts w:cs="Times New Roman"/>
                <w:szCs w:val="24"/>
              </w:rPr>
            </w:pPr>
            <w:r w:rsidRPr="00930EAE">
              <w:rPr>
                <w:rFonts w:cs="Times New Roman"/>
                <w:b/>
                <w:szCs w:val="24"/>
              </w:rPr>
              <w:t>Potential therapeutic consideration</w:t>
            </w:r>
          </w:p>
        </w:tc>
      </w:tr>
      <w:tr w:rsidR="002F3004" w:rsidRPr="00930EAE" w14:paraId="79162F01" w14:textId="77777777" w:rsidTr="00E239B7">
        <w:trPr>
          <w:jc w:val="center"/>
        </w:trPr>
        <w:tc>
          <w:tcPr>
            <w:tcW w:w="3216" w:type="dxa"/>
            <w:vAlign w:val="center"/>
          </w:tcPr>
          <w:p w14:paraId="234E1050" w14:textId="77777777" w:rsidR="002F3004" w:rsidRPr="00930EAE" w:rsidRDefault="002F3004" w:rsidP="00C17A09">
            <w:pPr>
              <w:spacing w:after="0"/>
              <w:jc w:val="both"/>
              <w:rPr>
                <w:rFonts w:cs="Times New Roman"/>
                <w:szCs w:val="24"/>
              </w:rPr>
            </w:pPr>
            <w:r w:rsidRPr="00930EAE">
              <w:rPr>
                <w:rFonts w:cs="Times New Roman"/>
                <w:szCs w:val="24"/>
              </w:rPr>
              <w:t>Persistent inflammation</w:t>
            </w:r>
          </w:p>
        </w:tc>
        <w:tc>
          <w:tcPr>
            <w:tcW w:w="3216" w:type="dxa"/>
            <w:vAlign w:val="center"/>
          </w:tcPr>
          <w:p w14:paraId="04D480B1" w14:textId="77777777" w:rsidR="002F3004" w:rsidRPr="00930EAE" w:rsidRDefault="002F3004" w:rsidP="00C17A09">
            <w:pPr>
              <w:spacing w:after="0"/>
              <w:jc w:val="both"/>
              <w:rPr>
                <w:rFonts w:cs="Times New Roman"/>
                <w:szCs w:val="24"/>
              </w:rPr>
            </w:pPr>
            <w:r w:rsidRPr="00930EAE">
              <w:rPr>
                <w:rFonts w:cs="Times New Roman"/>
                <w:szCs w:val="24"/>
              </w:rPr>
              <w:t>Tissue damage and delayed transition to proliferation</w:t>
            </w:r>
          </w:p>
        </w:tc>
        <w:tc>
          <w:tcPr>
            <w:tcW w:w="3216" w:type="dxa"/>
            <w:vAlign w:val="center"/>
          </w:tcPr>
          <w:p w14:paraId="6759BF8B" w14:textId="77777777" w:rsidR="002F3004" w:rsidRPr="00930EAE" w:rsidRDefault="002F3004" w:rsidP="00C17A09">
            <w:pPr>
              <w:spacing w:after="0"/>
              <w:jc w:val="both"/>
              <w:rPr>
                <w:rFonts w:cs="Times New Roman"/>
                <w:szCs w:val="24"/>
              </w:rPr>
            </w:pPr>
            <w:r w:rsidRPr="00930EAE">
              <w:rPr>
                <w:rFonts w:cs="Times New Roman"/>
                <w:szCs w:val="24"/>
              </w:rPr>
              <w:t>Anti-inflammatory modulation</w:t>
            </w:r>
          </w:p>
        </w:tc>
      </w:tr>
      <w:tr w:rsidR="002F3004" w:rsidRPr="00930EAE" w14:paraId="5F6C09D0" w14:textId="77777777" w:rsidTr="00E239B7">
        <w:trPr>
          <w:jc w:val="center"/>
        </w:trPr>
        <w:tc>
          <w:tcPr>
            <w:tcW w:w="3216" w:type="dxa"/>
            <w:vAlign w:val="center"/>
          </w:tcPr>
          <w:p w14:paraId="63162EB3" w14:textId="77777777" w:rsidR="002F3004" w:rsidRPr="00930EAE" w:rsidRDefault="002F3004" w:rsidP="00C17A09">
            <w:pPr>
              <w:spacing w:after="0"/>
              <w:jc w:val="both"/>
              <w:rPr>
                <w:rFonts w:cs="Times New Roman"/>
                <w:szCs w:val="24"/>
              </w:rPr>
            </w:pPr>
            <w:r w:rsidRPr="00930EAE">
              <w:rPr>
                <w:rFonts w:cs="Times New Roman"/>
                <w:szCs w:val="24"/>
              </w:rPr>
              <w:t>Oxidative stress</w:t>
            </w:r>
          </w:p>
        </w:tc>
        <w:tc>
          <w:tcPr>
            <w:tcW w:w="3216" w:type="dxa"/>
            <w:vAlign w:val="center"/>
          </w:tcPr>
          <w:p w14:paraId="650A743F" w14:textId="77777777" w:rsidR="002F3004" w:rsidRPr="00930EAE" w:rsidRDefault="002F3004" w:rsidP="00C17A09">
            <w:pPr>
              <w:spacing w:after="0"/>
              <w:jc w:val="both"/>
              <w:rPr>
                <w:rFonts w:cs="Times New Roman"/>
                <w:szCs w:val="24"/>
              </w:rPr>
            </w:pPr>
            <w:r w:rsidRPr="00930EAE">
              <w:rPr>
                <w:rFonts w:cs="Times New Roman"/>
                <w:szCs w:val="24"/>
              </w:rPr>
              <w:t>Cellular and matrix damage</w:t>
            </w:r>
          </w:p>
        </w:tc>
        <w:tc>
          <w:tcPr>
            <w:tcW w:w="3216" w:type="dxa"/>
            <w:vAlign w:val="center"/>
          </w:tcPr>
          <w:p w14:paraId="5D1A9251" w14:textId="77777777" w:rsidR="002F3004" w:rsidRPr="00930EAE" w:rsidRDefault="002F3004" w:rsidP="00C17A09">
            <w:pPr>
              <w:spacing w:after="0"/>
              <w:jc w:val="both"/>
              <w:rPr>
                <w:rFonts w:cs="Times New Roman"/>
                <w:szCs w:val="24"/>
              </w:rPr>
            </w:pPr>
            <w:r w:rsidRPr="00930EAE">
              <w:rPr>
                <w:rFonts w:cs="Times New Roman"/>
                <w:szCs w:val="24"/>
              </w:rPr>
              <w:t>Antioxidant protection</w:t>
            </w:r>
          </w:p>
        </w:tc>
      </w:tr>
      <w:tr w:rsidR="002F3004" w:rsidRPr="00930EAE" w14:paraId="4A4F33C2" w14:textId="77777777" w:rsidTr="00E239B7">
        <w:trPr>
          <w:jc w:val="center"/>
        </w:trPr>
        <w:tc>
          <w:tcPr>
            <w:tcW w:w="3216" w:type="dxa"/>
            <w:vAlign w:val="center"/>
          </w:tcPr>
          <w:p w14:paraId="4EC148FA" w14:textId="77777777" w:rsidR="002F3004" w:rsidRPr="00930EAE" w:rsidRDefault="002F3004" w:rsidP="00C17A09">
            <w:pPr>
              <w:spacing w:after="0"/>
              <w:jc w:val="both"/>
              <w:rPr>
                <w:rFonts w:cs="Times New Roman"/>
                <w:szCs w:val="24"/>
              </w:rPr>
            </w:pPr>
            <w:r w:rsidRPr="00930EAE">
              <w:rPr>
                <w:rFonts w:cs="Times New Roman"/>
                <w:szCs w:val="24"/>
              </w:rPr>
              <w:t>Microbial colonization</w:t>
            </w:r>
          </w:p>
        </w:tc>
        <w:tc>
          <w:tcPr>
            <w:tcW w:w="3216" w:type="dxa"/>
            <w:vAlign w:val="center"/>
          </w:tcPr>
          <w:p w14:paraId="6819858B" w14:textId="77777777" w:rsidR="002F3004" w:rsidRPr="00930EAE" w:rsidRDefault="002F3004" w:rsidP="00C17A09">
            <w:pPr>
              <w:spacing w:after="0"/>
              <w:jc w:val="both"/>
              <w:rPr>
                <w:rFonts w:cs="Times New Roman"/>
                <w:szCs w:val="24"/>
              </w:rPr>
            </w:pPr>
            <w:r w:rsidRPr="00930EAE">
              <w:rPr>
                <w:rFonts w:cs="Times New Roman"/>
                <w:szCs w:val="24"/>
              </w:rPr>
              <w:t>Persistent inflammatory stimulation</w:t>
            </w:r>
          </w:p>
        </w:tc>
        <w:tc>
          <w:tcPr>
            <w:tcW w:w="3216" w:type="dxa"/>
            <w:vAlign w:val="center"/>
          </w:tcPr>
          <w:p w14:paraId="362526D3" w14:textId="77777777" w:rsidR="002F3004" w:rsidRPr="00930EAE" w:rsidRDefault="002F3004" w:rsidP="00C17A09">
            <w:pPr>
              <w:spacing w:after="0"/>
              <w:jc w:val="both"/>
              <w:rPr>
                <w:rFonts w:cs="Times New Roman"/>
                <w:szCs w:val="24"/>
              </w:rPr>
            </w:pPr>
            <w:r w:rsidRPr="00930EAE">
              <w:rPr>
                <w:rFonts w:cs="Times New Roman"/>
                <w:szCs w:val="24"/>
              </w:rPr>
              <w:t>Microbiological control and targeted intervention</w:t>
            </w:r>
          </w:p>
        </w:tc>
      </w:tr>
      <w:tr w:rsidR="002F3004" w:rsidRPr="00930EAE" w14:paraId="16173B52" w14:textId="77777777" w:rsidTr="00E239B7">
        <w:trPr>
          <w:jc w:val="center"/>
        </w:trPr>
        <w:tc>
          <w:tcPr>
            <w:tcW w:w="3216" w:type="dxa"/>
            <w:vAlign w:val="center"/>
          </w:tcPr>
          <w:p w14:paraId="5B8181C6" w14:textId="77777777" w:rsidR="002F3004" w:rsidRPr="00930EAE" w:rsidRDefault="002F3004" w:rsidP="00C17A09">
            <w:pPr>
              <w:spacing w:after="0"/>
              <w:jc w:val="both"/>
              <w:rPr>
                <w:rFonts w:cs="Times New Roman"/>
                <w:szCs w:val="24"/>
              </w:rPr>
            </w:pPr>
            <w:r w:rsidRPr="00930EAE">
              <w:rPr>
                <w:rFonts w:cs="Times New Roman"/>
                <w:szCs w:val="24"/>
              </w:rPr>
              <w:t>Biofilm formation</w:t>
            </w:r>
          </w:p>
        </w:tc>
        <w:tc>
          <w:tcPr>
            <w:tcW w:w="3216" w:type="dxa"/>
            <w:vAlign w:val="center"/>
          </w:tcPr>
          <w:p w14:paraId="125C8324" w14:textId="77777777" w:rsidR="002F3004" w:rsidRPr="00930EAE" w:rsidRDefault="002F3004" w:rsidP="00C17A09">
            <w:pPr>
              <w:spacing w:after="0"/>
              <w:jc w:val="both"/>
              <w:rPr>
                <w:rFonts w:cs="Times New Roman"/>
                <w:szCs w:val="24"/>
              </w:rPr>
            </w:pPr>
            <w:r w:rsidRPr="00930EAE">
              <w:rPr>
                <w:rFonts w:cs="Times New Roman"/>
                <w:szCs w:val="24"/>
              </w:rPr>
              <w:t>Increased microbial persistence</w:t>
            </w:r>
          </w:p>
        </w:tc>
        <w:tc>
          <w:tcPr>
            <w:tcW w:w="3216" w:type="dxa"/>
            <w:vAlign w:val="center"/>
          </w:tcPr>
          <w:p w14:paraId="021FB960" w14:textId="77777777" w:rsidR="002F3004" w:rsidRPr="00930EAE" w:rsidRDefault="002F3004" w:rsidP="00C17A09">
            <w:pPr>
              <w:spacing w:after="0"/>
              <w:jc w:val="both"/>
              <w:rPr>
                <w:rFonts w:cs="Times New Roman"/>
                <w:szCs w:val="24"/>
              </w:rPr>
            </w:pPr>
            <w:r w:rsidRPr="00930EAE">
              <w:rPr>
                <w:rFonts w:cs="Times New Roman"/>
                <w:szCs w:val="24"/>
              </w:rPr>
              <w:t>Biofilm-aware antimicrobial strategies</w:t>
            </w:r>
          </w:p>
        </w:tc>
      </w:tr>
      <w:tr w:rsidR="002F3004" w:rsidRPr="00930EAE" w14:paraId="44E6FCA5" w14:textId="77777777" w:rsidTr="00E239B7">
        <w:trPr>
          <w:jc w:val="center"/>
        </w:trPr>
        <w:tc>
          <w:tcPr>
            <w:tcW w:w="3216" w:type="dxa"/>
            <w:vAlign w:val="center"/>
          </w:tcPr>
          <w:p w14:paraId="144B690C" w14:textId="77777777" w:rsidR="002F3004" w:rsidRPr="00930EAE" w:rsidRDefault="002F3004" w:rsidP="00C17A09">
            <w:pPr>
              <w:spacing w:after="0"/>
              <w:jc w:val="both"/>
              <w:rPr>
                <w:rFonts w:cs="Times New Roman"/>
                <w:szCs w:val="24"/>
              </w:rPr>
            </w:pPr>
            <w:r w:rsidRPr="00930EAE">
              <w:rPr>
                <w:rFonts w:cs="Times New Roman"/>
                <w:szCs w:val="24"/>
              </w:rPr>
              <w:t>Impaired angiogenesis</w:t>
            </w:r>
          </w:p>
        </w:tc>
        <w:tc>
          <w:tcPr>
            <w:tcW w:w="3216" w:type="dxa"/>
            <w:vAlign w:val="center"/>
          </w:tcPr>
          <w:p w14:paraId="2C09BAF1" w14:textId="77777777" w:rsidR="002F3004" w:rsidRPr="00930EAE" w:rsidRDefault="002F3004" w:rsidP="00C17A09">
            <w:pPr>
              <w:spacing w:after="0"/>
              <w:jc w:val="both"/>
              <w:rPr>
                <w:rFonts w:cs="Times New Roman"/>
                <w:szCs w:val="24"/>
              </w:rPr>
            </w:pPr>
            <w:r w:rsidRPr="00930EAE">
              <w:rPr>
                <w:rFonts w:cs="Times New Roman"/>
                <w:szCs w:val="24"/>
              </w:rPr>
              <w:t>Reduced oxygen and nutrient supply</w:t>
            </w:r>
          </w:p>
        </w:tc>
        <w:tc>
          <w:tcPr>
            <w:tcW w:w="3216" w:type="dxa"/>
            <w:vAlign w:val="center"/>
          </w:tcPr>
          <w:p w14:paraId="0C557144" w14:textId="77777777" w:rsidR="002F3004" w:rsidRPr="00930EAE" w:rsidRDefault="002F3004" w:rsidP="00C17A09">
            <w:pPr>
              <w:spacing w:after="0"/>
              <w:jc w:val="both"/>
              <w:rPr>
                <w:rFonts w:cs="Times New Roman"/>
                <w:szCs w:val="24"/>
              </w:rPr>
            </w:pPr>
            <w:r w:rsidRPr="00930EAE">
              <w:rPr>
                <w:rFonts w:cs="Times New Roman"/>
                <w:szCs w:val="24"/>
              </w:rPr>
              <w:t>Support vascular regeneration</w:t>
            </w:r>
          </w:p>
        </w:tc>
      </w:tr>
      <w:tr w:rsidR="002F3004" w:rsidRPr="00930EAE" w14:paraId="4ECF2E73" w14:textId="77777777" w:rsidTr="00E239B7">
        <w:trPr>
          <w:jc w:val="center"/>
        </w:trPr>
        <w:tc>
          <w:tcPr>
            <w:tcW w:w="3216" w:type="dxa"/>
            <w:vAlign w:val="center"/>
          </w:tcPr>
          <w:p w14:paraId="6C770F98" w14:textId="77777777" w:rsidR="002F3004" w:rsidRPr="00930EAE" w:rsidRDefault="002F3004" w:rsidP="00C17A09">
            <w:pPr>
              <w:spacing w:after="0"/>
              <w:jc w:val="both"/>
              <w:rPr>
                <w:rFonts w:cs="Times New Roman"/>
                <w:szCs w:val="24"/>
              </w:rPr>
            </w:pPr>
            <w:r w:rsidRPr="00930EAE">
              <w:rPr>
                <w:rFonts w:cs="Times New Roman"/>
                <w:szCs w:val="24"/>
              </w:rPr>
              <w:t>Excessive protease activity</w:t>
            </w:r>
          </w:p>
        </w:tc>
        <w:tc>
          <w:tcPr>
            <w:tcW w:w="3216" w:type="dxa"/>
            <w:vAlign w:val="center"/>
          </w:tcPr>
          <w:p w14:paraId="2E9E2944" w14:textId="77777777" w:rsidR="002F3004" w:rsidRPr="00930EAE" w:rsidRDefault="002F3004" w:rsidP="00C17A09">
            <w:pPr>
              <w:spacing w:after="0"/>
              <w:jc w:val="both"/>
              <w:rPr>
                <w:rFonts w:cs="Times New Roman"/>
                <w:szCs w:val="24"/>
              </w:rPr>
            </w:pPr>
            <w:r w:rsidRPr="00930EAE">
              <w:rPr>
                <w:rFonts w:cs="Times New Roman"/>
                <w:szCs w:val="24"/>
              </w:rPr>
              <w:t>Degradation of extracellular matrix</w:t>
            </w:r>
          </w:p>
        </w:tc>
        <w:tc>
          <w:tcPr>
            <w:tcW w:w="3216" w:type="dxa"/>
            <w:vAlign w:val="center"/>
          </w:tcPr>
          <w:p w14:paraId="04A1D0AD" w14:textId="77777777" w:rsidR="002F3004" w:rsidRPr="00930EAE" w:rsidRDefault="002F3004" w:rsidP="00C17A09">
            <w:pPr>
              <w:spacing w:after="0"/>
              <w:jc w:val="both"/>
              <w:rPr>
                <w:rFonts w:cs="Times New Roman"/>
                <w:szCs w:val="24"/>
              </w:rPr>
            </w:pPr>
            <w:r w:rsidRPr="00930EAE">
              <w:rPr>
                <w:rFonts w:cs="Times New Roman"/>
                <w:szCs w:val="24"/>
              </w:rPr>
              <w:t>Protection of newly formed matrix</w:t>
            </w:r>
          </w:p>
        </w:tc>
      </w:tr>
      <w:tr w:rsidR="002F3004" w:rsidRPr="00930EAE" w14:paraId="2A171F3C" w14:textId="77777777" w:rsidTr="00E239B7">
        <w:trPr>
          <w:jc w:val="center"/>
        </w:trPr>
        <w:tc>
          <w:tcPr>
            <w:tcW w:w="3216" w:type="dxa"/>
            <w:vAlign w:val="center"/>
          </w:tcPr>
          <w:p w14:paraId="7D35D50E" w14:textId="77777777" w:rsidR="002F3004" w:rsidRPr="00930EAE" w:rsidRDefault="002F3004" w:rsidP="00C17A09">
            <w:pPr>
              <w:spacing w:after="0"/>
              <w:jc w:val="both"/>
              <w:rPr>
                <w:rFonts w:cs="Times New Roman"/>
                <w:szCs w:val="24"/>
              </w:rPr>
            </w:pPr>
            <w:r w:rsidRPr="00930EAE">
              <w:rPr>
                <w:rFonts w:cs="Times New Roman"/>
                <w:szCs w:val="24"/>
              </w:rPr>
              <w:lastRenderedPageBreak/>
              <w:t>Defective epithelialization</w:t>
            </w:r>
          </w:p>
        </w:tc>
        <w:tc>
          <w:tcPr>
            <w:tcW w:w="3216" w:type="dxa"/>
            <w:vAlign w:val="center"/>
          </w:tcPr>
          <w:p w14:paraId="153B6DC7" w14:textId="77777777" w:rsidR="002F3004" w:rsidRPr="00930EAE" w:rsidRDefault="002F3004" w:rsidP="00C17A09">
            <w:pPr>
              <w:spacing w:after="0"/>
              <w:jc w:val="both"/>
              <w:rPr>
                <w:rFonts w:cs="Times New Roman"/>
                <w:szCs w:val="24"/>
              </w:rPr>
            </w:pPr>
            <w:r w:rsidRPr="00930EAE">
              <w:rPr>
                <w:rFonts w:cs="Times New Roman"/>
                <w:szCs w:val="24"/>
              </w:rPr>
              <w:t>Delayed barrier restoration</w:t>
            </w:r>
          </w:p>
        </w:tc>
        <w:tc>
          <w:tcPr>
            <w:tcW w:w="3216" w:type="dxa"/>
            <w:vAlign w:val="center"/>
          </w:tcPr>
          <w:p w14:paraId="23EF3027" w14:textId="77777777" w:rsidR="002F3004" w:rsidRPr="00930EAE" w:rsidRDefault="002F3004" w:rsidP="00C17A09">
            <w:pPr>
              <w:spacing w:after="0"/>
              <w:jc w:val="both"/>
              <w:rPr>
                <w:rFonts w:cs="Times New Roman"/>
                <w:szCs w:val="24"/>
              </w:rPr>
            </w:pPr>
            <w:r w:rsidRPr="00930EAE">
              <w:rPr>
                <w:rFonts w:cs="Times New Roman"/>
                <w:szCs w:val="24"/>
              </w:rPr>
              <w:t>Support keratinocyte migration</w:t>
            </w:r>
          </w:p>
        </w:tc>
      </w:tr>
      <w:tr w:rsidR="002F3004" w:rsidRPr="00930EAE" w14:paraId="47E6BFC1" w14:textId="77777777" w:rsidTr="00E239B7">
        <w:trPr>
          <w:jc w:val="center"/>
        </w:trPr>
        <w:tc>
          <w:tcPr>
            <w:tcW w:w="3216" w:type="dxa"/>
            <w:vAlign w:val="center"/>
          </w:tcPr>
          <w:p w14:paraId="54161D2F" w14:textId="77777777" w:rsidR="002F3004" w:rsidRPr="00930EAE" w:rsidRDefault="002F3004" w:rsidP="00C17A09">
            <w:pPr>
              <w:spacing w:after="0"/>
              <w:jc w:val="both"/>
              <w:rPr>
                <w:rFonts w:cs="Times New Roman"/>
                <w:szCs w:val="24"/>
              </w:rPr>
            </w:pPr>
            <w:r w:rsidRPr="00930EAE">
              <w:rPr>
                <w:rFonts w:cs="Times New Roman"/>
                <w:szCs w:val="24"/>
              </w:rPr>
              <w:t>Poor extracellular matrix deposition</w:t>
            </w:r>
          </w:p>
        </w:tc>
        <w:tc>
          <w:tcPr>
            <w:tcW w:w="3216" w:type="dxa"/>
            <w:vAlign w:val="center"/>
          </w:tcPr>
          <w:p w14:paraId="6F6A6C7D" w14:textId="77777777" w:rsidR="002F3004" w:rsidRPr="00930EAE" w:rsidRDefault="002F3004" w:rsidP="00C17A09">
            <w:pPr>
              <w:spacing w:after="0"/>
              <w:jc w:val="both"/>
              <w:rPr>
                <w:rFonts w:cs="Times New Roman"/>
                <w:szCs w:val="24"/>
              </w:rPr>
            </w:pPr>
            <w:r w:rsidRPr="00930EAE">
              <w:rPr>
                <w:rFonts w:cs="Times New Roman"/>
                <w:szCs w:val="24"/>
              </w:rPr>
              <w:t>Weak tissue repair</w:t>
            </w:r>
          </w:p>
        </w:tc>
        <w:tc>
          <w:tcPr>
            <w:tcW w:w="3216" w:type="dxa"/>
            <w:vAlign w:val="center"/>
          </w:tcPr>
          <w:p w14:paraId="60D0DE23" w14:textId="77777777" w:rsidR="002F3004" w:rsidRPr="00930EAE" w:rsidRDefault="002F3004" w:rsidP="00C17A09">
            <w:pPr>
              <w:spacing w:after="0"/>
              <w:jc w:val="both"/>
              <w:rPr>
                <w:rFonts w:cs="Times New Roman"/>
                <w:szCs w:val="24"/>
              </w:rPr>
            </w:pPr>
            <w:r w:rsidRPr="00930EAE">
              <w:rPr>
                <w:rFonts w:cs="Times New Roman"/>
                <w:szCs w:val="24"/>
              </w:rPr>
              <w:t>Support fibroblast/collagen activity</w:t>
            </w:r>
          </w:p>
        </w:tc>
      </w:tr>
      <w:tr w:rsidR="002F3004" w:rsidRPr="00930EAE" w14:paraId="7D315879" w14:textId="77777777" w:rsidTr="00E239B7">
        <w:trPr>
          <w:jc w:val="center"/>
        </w:trPr>
        <w:tc>
          <w:tcPr>
            <w:tcW w:w="3216" w:type="dxa"/>
            <w:vAlign w:val="center"/>
          </w:tcPr>
          <w:p w14:paraId="7A571D2F" w14:textId="77777777" w:rsidR="002F3004" w:rsidRPr="00930EAE" w:rsidRDefault="002F3004" w:rsidP="00C17A09">
            <w:pPr>
              <w:spacing w:after="0"/>
              <w:jc w:val="both"/>
              <w:rPr>
                <w:rFonts w:cs="Times New Roman"/>
                <w:szCs w:val="24"/>
              </w:rPr>
            </w:pPr>
            <w:r w:rsidRPr="00930EAE">
              <w:rPr>
                <w:rFonts w:cs="Times New Roman"/>
                <w:szCs w:val="24"/>
              </w:rPr>
              <w:t>Inadequate wound environment</w:t>
            </w:r>
          </w:p>
        </w:tc>
        <w:tc>
          <w:tcPr>
            <w:tcW w:w="3216" w:type="dxa"/>
            <w:vAlign w:val="center"/>
          </w:tcPr>
          <w:p w14:paraId="7B079E9D" w14:textId="77777777" w:rsidR="002F3004" w:rsidRPr="00930EAE" w:rsidRDefault="002F3004" w:rsidP="00C17A09">
            <w:pPr>
              <w:spacing w:after="0"/>
              <w:jc w:val="both"/>
              <w:rPr>
                <w:rFonts w:cs="Times New Roman"/>
                <w:szCs w:val="24"/>
              </w:rPr>
            </w:pPr>
            <w:r w:rsidRPr="00930EAE">
              <w:rPr>
                <w:rFonts w:cs="Times New Roman"/>
                <w:szCs w:val="24"/>
              </w:rPr>
              <w:t>Delayed cellular activity</w:t>
            </w:r>
          </w:p>
        </w:tc>
        <w:tc>
          <w:tcPr>
            <w:tcW w:w="3216" w:type="dxa"/>
            <w:vAlign w:val="center"/>
          </w:tcPr>
          <w:p w14:paraId="6E5CE7B1" w14:textId="77777777" w:rsidR="002F3004" w:rsidRPr="00930EAE" w:rsidRDefault="002F3004" w:rsidP="00C17A09">
            <w:pPr>
              <w:spacing w:after="0"/>
              <w:jc w:val="both"/>
              <w:rPr>
                <w:rFonts w:cs="Times New Roman"/>
                <w:szCs w:val="24"/>
              </w:rPr>
            </w:pPr>
            <w:r w:rsidRPr="00930EAE">
              <w:rPr>
                <w:rFonts w:cs="Times New Roman"/>
                <w:szCs w:val="24"/>
              </w:rPr>
              <w:t>Appropriate local delivery system</w:t>
            </w:r>
          </w:p>
        </w:tc>
      </w:tr>
    </w:tbl>
    <w:p w14:paraId="691C1ECD"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 xml:space="preserve">Source: Compiled from Guo et al. (2010), Bjarnsholt et al. (2008), </w:t>
      </w:r>
      <w:proofErr w:type="spellStart"/>
      <w:r w:rsidRPr="00930EAE">
        <w:rPr>
          <w:rFonts w:cs="Times New Roman"/>
          <w:sz w:val="24"/>
          <w:szCs w:val="24"/>
        </w:rPr>
        <w:t>Frykberg</w:t>
      </w:r>
      <w:proofErr w:type="spellEnd"/>
      <w:r w:rsidRPr="00930EAE">
        <w:rPr>
          <w:rFonts w:cs="Times New Roman"/>
          <w:sz w:val="24"/>
          <w:szCs w:val="24"/>
        </w:rPr>
        <w:t xml:space="preserve"> et al. (2015), James et al. (2008), </w:t>
      </w:r>
      <w:proofErr w:type="spellStart"/>
      <w:r w:rsidRPr="00930EAE">
        <w:rPr>
          <w:rFonts w:cs="Times New Roman"/>
          <w:sz w:val="24"/>
          <w:szCs w:val="24"/>
        </w:rPr>
        <w:t>Pastar</w:t>
      </w:r>
      <w:proofErr w:type="spellEnd"/>
      <w:r w:rsidRPr="00930EAE">
        <w:rPr>
          <w:rFonts w:cs="Times New Roman"/>
          <w:sz w:val="24"/>
          <w:szCs w:val="24"/>
        </w:rPr>
        <w:t xml:space="preserve"> et al. (2014), and Wilkinson et al. (2020).</w:t>
      </w:r>
    </w:p>
    <w:p w14:paraId="76D6A09F"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2.6 Conventional Wound Dressings and Therapeutic Approaches</w:t>
      </w:r>
    </w:p>
    <w:p w14:paraId="22DCE129" w14:textId="77777777" w:rsidR="002F3004" w:rsidRPr="00930EAE" w:rsidRDefault="002F3004" w:rsidP="00C17A09">
      <w:pPr>
        <w:jc w:val="both"/>
        <w:rPr>
          <w:rFonts w:cs="Times New Roman"/>
          <w:szCs w:val="24"/>
        </w:rPr>
      </w:pPr>
      <w:r w:rsidRPr="00930EAE">
        <w:rPr>
          <w:rFonts w:cs="Times New Roman"/>
          <w:szCs w:val="24"/>
        </w:rPr>
        <w:t>Modern dressings include films, foams, hydrogels, hydrocolloids, alginates, collagen materials, nanofibers, antimicrobial dressings and drug-loaded systems. An ideal dressing should maintain appropriate moisture, permit gaseous exchange, protect against contamination, avoid excessive adherence and support healing (Boateng et al., 2008). Advanced materials can function as local delivery platforms (</w:t>
      </w:r>
      <w:proofErr w:type="spellStart"/>
      <w:r w:rsidRPr="00930EAE">
        <w:rPr>
          <w:rFonts w:cs="Times New Roman"/>
          <w:szCs w:val="24"/>
        </w:rPr>
        <w:t>Saghazadeh</w:t>
      </w:r>
      <w:proofErr w:type="spellEnd"/>
      <w:r w:rsidRPr="00930EAE">
        <w:rPr>
          <w:rFonts w:cs="Times New Roman"/>
          <w:szCs w:val="24"/>
        </w:rPr>
        <w:t xml:space="preserve"> et al., 2018). The evolution of wound dressings reflects increasing recognition that the dressing itself can influence the local biochemical and physical environment. Films can provide protection and transparency, hydrogels can maintain hydration, alginates can interact with wound exudate, collagen-based materials can provide matrix-related functionality, and foams can combine coverage with fluid management and local delivery. No single platform is universally superior because performance depends on wound type, exudate level, anatomical site and intended therapeutic function. Drug-loaded dressings additionally require control of release, stability and dose uniformity. For herbal products, these requirements become more demanding because the active material may consist of many constituents with different solubilities and degradation pathways. An optimized foam therefore needs to be evaluated as a complete dosage form rather than simply as a carrier for an extract. Parameters such as application behavior, residence, release, microbial quality and storage stability should be considered together. This systems perspective is consistent with the broader development of advanced wound materials as active local delivery platforms (Boateng et al., 2008; </w:t>
      </w:r>
      <w:proofErr w:type="spellStart"/>
      <w:r w:rsidRPr="00930EAE">
        <w:rPr>
          <w:rFonts w:cs="Times New Roman"/>
          <w:szCs w:val="24"/>
        </w:rPr>
        <w:t>Saghazadeh</w:t>
      </w:r>
      <w:proofErr w:type="spellEnd"/>
      <w:r w:rsidRPr="00930EAE">
        <w:rPr>
          <w:rFonts w:cs="Times New Roman"/>
          <w:szCs w:val="24"/>
        </w:rPr>
        <w:t xml:space="preserve"> et al., 2018).</w:t>
      </w:r>
    </w:p>
    <w:p w14:paraId="0EB69CDE"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2.7 Natural Products in Wound Management</w:t>
      </w:r>
    </w:p>
    <w:p w14:paraId="0EACA241" w14:textId="77777777" w:rsidR="002F3004" w:rsidRPr="00930EAE" w:rsidRDefault="002F3004" w:rsidP="00C17A09">
      <w:pPr>
        <w:jc w:val="both"/>
        <w:rPr>
          <w:rFonts w:cs="Times New Roman"/>
          <w:szCs w:val="24"/>
        </w:rPr>
      </w:pPr>
      <w:r w:rsidRPr="00930EAE">
        <w:rPr>
          <w:rFonts w:cs="Times New Roman"/>
          <w:szCs w:val="24"/>
        </w:rPr>
        <w:t xml:space="preserve">Medicinal plants contain polyphenols, flavonoids, terpenoids, alkaloids, tannins, steroids and volatile constituents. Their multitarget nature may be valuable in chronic wounds. Pharmaceutical </w:t>
      </w:r>
      <w:r w:rsidRPr="00930EAE">
        <w:rPr>
          <w:rFonts w:cs="Times New Roman"/>
          <w:szCs w:val="24"/>
        </w:rPr>
        <w:lastRenderedPageBreak/>
        <w:t>use nevertheless requires authentication, controlled extraction, standardization, stability, reproducibility and safety assessment (Kunle et al., 2012; Mukherjee, 2002). The attraction of natural products in wound management is related to their chemical diversity and the possibility of affecting several biological processes simultaneously. Polyphenols and flavonoids may contribute antioxidant activity, terpenoid and resinous fractions can influence inflammatory or membrane-associated processes, and volatile constituents may contribute additional biological or sensory properties. Nevertheless, the chemical complexity that makes herbal materials interesting also creates challenges in reproducibility. Botanical identity, plant part, geographical origin, harvest conditions, extraction procedure and storage can all influence the final composition. Therefore, traditional use should be viewed as background evidence rather than as a substitute for pharmaceutical standardization. For a research formulation, botanical authentication and chemical characterization are essential starting points, followed by controlled extraction and quantitative marker testing. The final dosage form should then be linked back to the quality of the starting materials. Such traceability is particularly important when two botanicals are combined because variability in either component can change the overall composition and potentially affect performance or safety (Kunle et al., 2012; Mukherjee, 2002).</w:t>
      </w:r>
    </w:p>
    <w:p w14:paraId="0FD95489" w14:textId="77777777" w:rsidR="002F3004" w:rsidRPr="00930EAE" w:rsidRDefault="002F3004" w:rsidP="00C17A09">
      <w:pPr>
        <w:jc w:val="both"/>
        <w:rPr>
          <w:rFonts w:cs="Times New Roman"/>
          <w:szCs w:val="24"/>
        </w:rPr>
      </w:pPr>
      <w:r>
        <w:rPr>
          <w:rFonts w:cs="Times New Roman"/>
          <w:noProof/>
          <w:szCs w:val="24"/>
        </w:rPr>
        <w:lastRenderedPageBreak/>
        <w:drawing>
          <wp:inline distT="0" distB="0" distL="0" distR="0" wp14:anchorId="7EDADE06" wp14:editId="2D84990C">
            <wp:extent cx="6408420" cy="6991350"/>
            <wp:effectExtent l="0" t="0" r="0" b="0"/>
            <wp:docPr id="850588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8420" cy="6991350"/>
                    </a:xfrm>
                    <a:prstGeom prst="rect">
                      <a:avLst/>
                    </a:prstGeom>
                    <a:noFill/>
                  </pic:spPr>
                </pic:pic>
              </a:graphicData>
            </a:graphic>
          </wp:inline>
        </w:drawing>
      </w:r>
    </w:p>
    <w:p w14:paraId="1F8CB2BC"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Figure 2.1. Major phases of wound healing and principal biological events</w:t>
      </w:r>
    </w:p>
    <w:p w14:paraId="73B19B27"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 xml:space="preserve">Source: Conceptual synthesis based on Gurtner et al. (2008), Guo et al. (2010), </w:t>
      </w:r>
      <w:proofErr w:type="spellStart"/>
      <w:r w:rsidRPr="00930EAE">
        <w:rPr>
          <w:rFonts w:cs="Times New Roman"/>
          <w:sz w:val="24"/>
          <w:szCs w:val="24"/>
        </w:rPr>
        <w:t>Eming</w:t>
      </w:r>
      <w:proofErr w:type="spellEnd"/>
      <w:r w:rsidRPr="00930EAE">
        <w:rPr>
          <w:rFonts w:cs="Times New Roman"/>
          <w:sz w:val="24"/>
          <w:szCs w:val="24"/>
        </w:rPr>
        <w:t xml:space="preserve"> et al. (2014), </w:t>
      </w:r>
      <w:proofErr w:type="spellStart"/>
      <w:r w:rsidRPr="00930EAE">
        <w:rPr>
          <w:rFonts w:cs="Times New Roman"/>
          <w:sz w:val="24"/>
          <w:szCs w:val="24"/>
        </w:rPr>
        <w:t>Pastar</w:t>
      </w:r>
      <w:proofErr w:type="spellEnd"/>
      <w:r w:rsidRPr="00930EAE">
        <w:rPr>
          <w:rFonts w:cs="Times New Roman"/>
          <w:sz w:val="24"/>
          <w:szCs w:val="24"/>
        </w:rPr>
        <w:t xml:space="preserve"> et al. (2014), and Rodrigues et al. (2021).</w:t>
      </w:r>
    </w:p>
    <w:p w14:paraId="7F9A2498"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lastRenderedPageBreak/>
        <w:t>2.8 Curcuma longa L.: Botanical and Pharmacological Overview</w:t>
      </w:r>
    </w:p>
    <w:p w14:paraId="577ADE1E" w14:textId="77777777" w:rsidR="002F3004" w:rsidRPr="00930EAE" w:rsidRDefault="002F3004" w:rsidP="00C17A09">
      <w:pPr>
        <w:jc w:val="both"/>
        <w:rPr>
          <w:rFonts w:cs="Times New Roman"/>
          <w:szCs w:val="24"/>
        </w:rPr>
      </w:pPr>
      <w:r w:rsidRPr="00930EAE">
        <w:rPr>
          <w:rFonts w:cs="Times New Roman"/>
          <w:szCs w:val="24"/>
        </w:rPr>
        <w:t xml:space="preserve">Curcuma longa L. (turmeric), family </w:t>
      </w:r>
      <w:proofErr w:type="spellStart"/>
      <w:r w:rsidRPr="00930EAE">
        <w:rPr>
          <w:rFonts w:cs="Times New Roman"/>
          <w:szCs w:val="24"/>
        </w:rPr>
        <w:t>Zingiberaceae</w:t>
      </w:r>
      <w:proofErr w:type="spellEnd"/>
      <w:r w:rsidRPr="00930EAE">
        <w:rPr>
          <w:rFonts w:cs="Times New Roman"/>
          <w:szCs w:val="24"/>
        </w:rPr>
        <w:t xml:space="preserve">, is traditionally used for its medicinal rhizome. Major investigated constituents include curcumin, </w:t>
      </w:r>
      <w:proofErr w:type="spellStart"/>
      <w:r w:rsidRPr="00930EAE">
        <w:rPr>
          <w:rFonts w:cs="Times New Roman"/>
          <w:szCs w:val="24"/>
        </w:rPr>
        <w:t>demethoxycurcumin</w:t>
      </w:r>
      <w:proofErr w:type="spellEnd"/>
      <w:r w:rsidRPr="00930EAE">
        <w:rPr>
          <w:rFonts w:cs="Times New Roman"/>
          <w:szCs w:val="24"/>
        </w:rPr>
        <w:t xml:space="preserve">, bisdemethoxycurcumin and volatile constituents (Sun et al., 2017). Turmeric has been investigated for antioxidant, anti-inflammatory, antimicrobial, dermatological and wound-healing-related activities (Vaughn et al., 2016). Curcuma longa has attracted sustained pharmaceutical interest because its rhizome contains a characteristic mixture of curcuminoids and volatile constituents. Curcuminoids include curcumin together with </w:t>
      </w:r>
      <w:proofErr w:type="spellStart"/>
      <w:r w:rsidRPr="00930EAE">
        <w:rPr>
          <w:rFonts w:cs="Times New Roman"/>
          <w:szCs w:val="24"/>
        </w:rPr>
        <w:t>demethoxycurcumin</w:t>
      </w:r>
      <w:proofErr w:type="spellEnd"/>
      <w:r w:rsidRPr="00930EAE">
        <w:rPr>
          <w:rFonts w:cs="Times New Roman"/>
          <w:szCs w:val="24"/>
        </w:rPr>
        <w:t xml:space="preserve"> and bisdemethoxycurcumin, while the volatile fraction contains multiple compounds that may vary with cultivation and processing. The pharmacological literature spans antioxidant, anti-inflammatory, antimicrobial, dermatological and wound-related investigations, making turmeric a reasonable candidate for a multifunctional topical study. At the same time, the distinction between turmeric extract and purified curcumin should be maintained throughout formulation development. An extract represents a chemically broader material, whereas isolated curcumin has a more defined composition but does not reproduce the entire phytochemical profile of turmeric. Consequently, the choice of marker compounds, extraction conditions and analytical method should match the actual material intended for the formulation. If standardized turmeric extract is used, its identity and marker content should be established before formulation so that differences in foam performance or biological response can be interpreted against a consistent botanical input (Sun et al., 2017; Vaughn et al., 2016).</w:t>
      </w:r>
    </w:p>
    <w:p w14:paraId="1FA80B54"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2.9 Curcuminoids and Curcumin</w:t>
      </w:r>
    </w:p>
    <w:p w14:paraId="0CC7549C" w14:textId="77777777" w:rsidR="002F3004" w:rsidRPr="00930EAE" w:rsidRDefault="002F3004" w:rsidP="00C17A09">
      <w:pPr>
        <w:jc w:val="both"/>
        <w:rPr>
          <w:rFonts w:cs="Times New Roman"/>
          <w:szCs w:val="24"/>
        </w:rPr>
      </w:pPr>
      <w:r w:rsidRPr="00930EAE">
        <w:rPr>
          <w:rFonts w:cs="Times New Roman"/>
          <w:szCs w:val="24"/>
        </w:rPr>
        <w:t xml:space="preserve">Curcumin is the most extensively studied curcuminoid. Its pharmaceutical development is limited by low aqueous solubility, limited absorption, rapid metabolism, instability and complex chemical behavior (Anand et al., 2007; Nelson et al., 2017). For topical therapy, local availability can be more important than systemic bioavailability. Chromatographic characterization and marker-based standardization are therefore important (Jia et al., 2017). Curcuminoids are chemically attractive but pharmaceutically challenging constituents. Curcumin has low aqueous solubility and can undergo degradation under conditions that may be encountered during processing or storage, while its systemic pharmacokinetic behavior is characterized by limited exposure after oral administration. For a topical product, however, the objective can be local deposition rather than systemic circulation, which changes the formulation problem. The vehicle must provide sufficient solubilization or dispersion, maintain the constituent in a usable form, release it at the application site and remain stable during its </w:t>
      </w:r>
      <w:r w:rsidRPr="00930EAE">
        <w:rPr>
          <w:rFonts w:cs="Times New Roman"/>
          <w:szCs w:val="24"/>
        </w:rPr>
        <w:lastRenderedPageBreak/>
        <w:t>shelf life. Analytical methods therefore have an important role in formulation development. Quantification of a marker should be accompanied where appropriate by a chromatographic profile so that major changes in composition are not overlooked. A high nominal extract concentration is not necessarily equivalent to high active availability. These considerations explain why delivery systems such as emulsions, lipid carriers, hydrogels, nanoparticles and foams have been explored to overcome limitations associated with conventional curcumin administration (Anand et al., 2007; Nelson et al., 2017; Jia et al., 2017).</w:t>
      </w:r>
    </w:p>
    <w:p w14:paraId="560595E6" w14:textId="77777777" w:rsidR="002F3004" w:rsidRPr="00930EAE" w:rsidRDefault="002F3004" w:rsidP="00C17A09">
      <w:pPr>
        <w:pStyle w:val="Heading1"/>
        <w:ind w:firstLine="0"/>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2.10 Curcumin in Wound Healing</w:t>
      </w:r>
    </w:p>
    <w:p w14:paraId="2F547F5C" w14:textId="77777777" w:rsidR="002F3004" w:rsidRPr="00930EAE" w:rsidRDefault="002F3004" w:rsidP="00C17A09">
      <w:pPr>
        <w:ind w:firstLine="0"/>
        <w:jc w:val="both"/>
        <w:rPr>
          <w:rFonts w:cs="Times New Roman"/>
          <w:szCs w:val="24"/>
        </w:rPr>
      </w:pPr>
      <w:r w:rsidRPr="00930EAE">
        <w:rPr>
          <w:rFonts w:cs="Times New Roman"/>
          <w:szCs w:val="24"/>
        </w:rPr>
        <w:t xml:space="preserve">Experimental studies have reported wound-healing effects of curcumin and curcumin-containing systems. Proposed mechanisms include modulation of inflammatory signaling, oxidative stress, microbial processes, extracellular matrix pathways and TGF-β-related signaling (Sidhu et al., 1998; Gopinath et al., 2004; Mani et al., 2002; </w:t>
      </w:r>
      <w:proofErr w:type="spellStart"/>
      <w:r w:rsidRPr="00930EAE">
        <w:rPr>
          <w:rFonts w:cs="Times New Roman"/>
          <w:szCs w:val="24"/>
        </w:rPr>
        <w:t>Akbik</w:t>
      </w:r>
      <w:proofErr w:type="spellEnd"/>
      <w:r w:rsidRPr="00930EAE">
        <w:rPr>
          <w:rFonts w:cs="Times New Roman"/>
          <w:szCs w:val="24"/>
        </w:rPr>
        <w:t xml:space="preserve"> et al., 2014). Formulation, concentration, stability and local availability remain decisive factors. The proposed relevance of curcumin to wound healing arises from its reported influence on several processes that are disturbed during delayed repair. Experimental literature has associated curcumin with modulation of inflammatory signaling, reduction of oxidative stress, effects on microbial processes and changes in pathways involved in extracellular matrix organization. These observations provide a plausible mechanistic basis for topical investigation, but the magnitude of benefit depends strongly on the formulation and experimental model. A poorly dispersed preparation may show limited local availability despite containing a substantial amount of curcumin, while an appropriately designed delivery system may improve contact with the wound surface. Dose and exposure time are also important because concentrations that are effective in one model may not translate directly to another. Therefore, the literature supports evaluation of curcumin-containing formulations through a sequence of chemical, physicochemical and biological tests rather than relying on a single endpoint. Comparative controls are especially useful for determining whether the combination with guggul or the foam platform provides additional value beyond the botanical constituent itself (Sidhu et al., 1998; Gopinath et al., 2004; </w:t>
      </w:r>
      <w:proofErr w:type="spellStart"/>
      <w:r w:rsidRPr="00930EAE">
        <w:rPr>
          <w:rFonts w:cs="Times New Roman"/>
          <w:szCs w:val="24"/>
        </w:rPr>
        <w:t>Akbik</w:t>
      </w:r>
      <w:proofErr w:type="spellEnd"/>
      <w:r w:rsidRPr="00930EAE">
        <w:rPr>
          <w:rFonts w:cs="Times New Roman"/>
          <w:szCs w:val="24"/>
        </w:rPr>
        <w:t xml:space="preserve"> et al., 2014).</w:t>
      </w:r>
    </w:p>
    <w:p w14:paraId="57A6A7FD"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2.11 Antioxidant and Anti-inflammatory Properties of Curcumin</w:t>
      </w:r>
    </w:p>
    <w:p w14:paraId="2F877E43" w14:textId="77777777" w:rsidR="002F3004" w:rsidRPr="00930EAE" w:rsidRDefault="002F3004" w:rsidP="00C17A09">
      <w:pPr>
        <w:jc w:val="both"/>
        <w:rPr>
          <w:rFonts w:cs="Times New Roman"/>
          <w:szCs w:val="24"/>
        </w:rPr>
      </w:pPr>
      <w:r w:rsidRPr="00930EAE">
        <w:rPr>
          <w:rFonts w:cs="Times New Roman"/>
          <w:szCs w:val="24"/>
        </w:rPr>
        <w:t>Curcumin has demonstrated antioxidant and anti-inflammatory effects in experimental systems, including modulation of NF-</w:t>
      </w:r>
      <w:proofErr w:type="spellStart"/>
      <w:r w:rsidRPr="00930EAE">
        <w:rPr>
          <w:rFonts w:cs="Times New Roman"/>
          <w:szCs w:val="24"/>
        </w:rPr>
        <w:t>κB</w:t>
      </w:r>
      <w:proofErr w:type="spellEnd"/>
      <w:r w:rsidRPr="00930EAE">
        <w:rPr>
          <w:rFonts w:cs="Times New Roman"/>
          <w:szCs w:val="24"/>
        </w:rPr>
        <w:t xml:space="preserve">-associated signaling (Goel et al., 2008; </w:t>
      </w:r>
      <w:proofErr w:type="spellStart"/>
      <w:r w:rsidRPr="00930EAE">
        <w:rPr>
          <w:rFonts w:cs="Times New Roman"/>
          <w:szCs w:val="24"/>
        </w:rPr>
        <w:t>Hewlings</w:t>
      </w:r>
      <w:proofErr w:type="spellEnd"/>
      <w:r w:rsidRPr="00930EAE">
        <w:rPr>
          <w:rFonts w:cs="Times New Roman"/>
          <w:szCs w:val="24"/>
        </w:rPr>
        <w:t xml:space="preserve"> et al., 2017). These </w:t>
      </w:r>
      <w:r w:rsidRPr="00930EAE">
        <w:rPr>
          <w:rFonts w:cs="Times New Roman"/>
          <w:szCs w:val="24"/>
        </w:rPr>
        <w:lastRenderedPageBreak/>
        <w:t>effects may be relevant to chronic wounds, but activity of the isolated compound should not be equated automatically with therapeutic performance of a final formulation. The antioxidant and anti-inflammatory profile of curcumin is relevant to wounds because excessive inflammatory signaling and oxidative stress can reinforce one another. Curcumin has been reported to influence transcriptional and signaling pathways associated with inflammatory mediators, including NF-</w:t>
      </w:r>
      <w:proofErr w:type="spellStart"/>
      <w:r w:rsidRPr="00930EAE">
        <w:rPr>
          <w:rFonts w:cs="Times New Roman"/>
          <w:szCs w:val="24"/>
        </w:rPr>
        <w:t>κB</w:t>
      </w:r>
      <w:proofErr w:type="spellEnd"/>
      <w:r w:rsidRPr="00930EAE">
        <w:rPr>
          <w:rFonts w:cs="Times New Roman"/>
          <w:szCs w:val="24"/>
        </w:rPr>
        <w:t xml:space="preserve">-related mechanisms, and it can participate in redox chemistry through its phenolic and conjugated structure. In biological systems, however, antioxidant behavior is context-dependent and should not be reduced to a simple chemical scavenging effect. Concentration, local environment, metabolism and interactions with cellular pathways can alter the observed outcome. Similarly, inhibition of an inflammatory pathway in vitro does not automatically demonstrate improved tissue repair in vivo. A strong formulation study should therefore connect antioxidant or inflammatory assays with functional measures such as cell viability, migration, matrix deposition or wound closure. The literature supports the mechanistic plausibility of curcumin, but it also reinforces the need for a balanced interpretation in which isolated biochemical activity is treated as one component of the overall evidence package rather than as proof of clinical efficacy (Goel et al., 2008; </w:t>
      </w:r>
      <w:proofErr w:type="spellStart"/>
      <w:r w:rsidRPr="00930EAE">
        <w:rPr>
          <w:rFonts w:cs="Times New Roman"/>
          <w:szCs w:val="24"/>
        </w:rPr>
        <w:t>Hewlings</w:t>
      </w:r>
      <w:proofErr w:type="spellEnd"/>
      <w:r w:rsidRPr="00930EAE">
        <w:rPr>
          <w:rFonts w:cs="Times New Roman"/>
          <w:szCs w:val="24"/>
        </w:rPr>
        <w:t xml:space="preserve"> et al., 2017).</w:t>
      </w:r>
    </w:p>
    <w:p w14:paraId="7C0392A6"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2.12 Antimicrobial Potential of Curcumin</w:t>
      </w:r>
    </w:p>
    <w:p w14:paraId="301DE0FE" w14:textId="77777777" w:rsidR="002F3004" w:rsidRPr="00930EAE" w:rsidRDefault="002F3004" w:rsidP="00C17A09">
      <w:pPr>
        <w:jc w:val="both"/>
        <w:rPr>
          <w:rFonts w:cs="Times New Roman"/>
          <w:szCs w:val="24"/>
        </w:rPr>
      </w:pPr>
      <w:r w:rsidRPr="00930EAE">
        <w:rPr>
          <w:rFonts w:cs="Times New Roman"/>
          <w:szCs w:val="24"/>
        </w:rPr>
        <w:t xml:space="preserve">Curcumin has been investigated against various microorganisms and biofilm-associated processes. Activity is dependent on concentration, organism, formulation and experimental conditions; </w:t>
      </w:r>
      <w:proofErr w:type="gramStart"/>
      <w:r w:rsidRPr="00930EAE">
        <w:rPr>
          <w:rFonts w:cs="Times New Roman"/>
          <w:szCs w:val="24"/>
        </w:rPr>
        <w:t>therefore</w:t>
      </w:r>
      <w:proofErr w:type="gramEnd"/>
      <w:r w:rsidRPr="00930EAE">
        <w:rPr>
          <w:rFonts w:cs="Times New Roman"/>
          <w:szCs w:val="24"/>
        </w:rPr>
        <w:t xml:space="preserve"> curcumin is better considered a multifunctional constituent than solely an antimicrobial agent (Vaughn et al., 2017). Curcumin has been examined against a range of bacterial and other microbial systems, and some studies have also explored its influence on biofilm formation or microbial virulence-related processes. Such findings are potentially relevant to wounds because excessive microbial burden can prolong inflammation and interfere with tissue repair. Nevertheless, antimicrobial activity is highly dependent on the organism, inoculum, medium, illumination conditions where relevant, formulation, exposure time and concentration. The biological performance of a turmeric extract may also differ from that of purified curcumin because other constituents can alter solubility, partitioning or interaction with microbial cells. Accordingly, a topical foam should not be described as antimicrobial solely on the basis of a general literature statement. Instead, the finished formulation should be tested using appropriate validated microbiological methods, with clearly defined controls and concentrations. If activity is observed, it should be interpreted together </w:t>
      </w:r>
      <w:r w:rsidRPr="00930EAE">
        <w:rPr>
          <w:rFonts w:cs="Times New Roman"/>
          <w:szCs w:val="24"/>
        </w:rPr>
        <w:lastRenderedPageBreak/>
        <w:t>with cytocompatibility and wound-healing data so that antimicrobial benefit is not considered in isolation from tissue compatibility (Vaughn et al., 2017).</w:t>
      </w:r>
    </w:p>
    <w:p w14:paraId="054D3F54"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2.13 Limitations of Curcumin and Need for Topical Formulation Development</w:t>
      </w:r>
    </w:p>
    <w:p w14:paraId="7F831ED4" w14:textId="77777777" w:rsidR="002F3004" w:rsidRPr="00930EAE" w:rsidRDefault="002F3004" w:rsidP="00C17A09">
      <w:pPr>
        <w:jc w:val="both"/>
        <w:rPr>
          <w:rFonts w:cs="Times New Roman"/>
          <w:szCs w:val="24"/>
        </w:rPr>
      </w:pPr>
      <w:r w:rsidRPr="00930EAE">
        <w:rPr>
          <w:rFonts w:cs="Times New Roman"/>
          <w:szCs w:val="24"/>
        </w:rPr>
        <w:t xml:space="preserve">Poor water solubility, instability and formulation complexity can restrict curcumin use. Emulsions, gels, nanoparticles, liposomes, lipid systems, films, hydrogels and foams have been investigated as delivery strategies (Mohanty &amp; Sahoo, 2017). A wound formulation must balance retention, </w:t>
      </w:r>
      <w:proofErr w:type="spellStart"/>
      <w:r w:rsidRPr="00930EAE">
        <w:rPr>
          <w:rFonts w:cs="Times New Roman"/>
          <w:szCs w:val="24"/>
        </w:rPr>
        <w:t>spreadability</w:t>
      </w:r>
      <w:proofErr w:type="spellEnd"/>
      <w:r w:rsidRPr="00930EAE">
        <w:rPr>
          <w:rFonts w:cs="Times New Roman"/>
          <w:szCs w:val="24"/>
        </w:rPr>
        <w:t>, release, compatibility and ease of application. The principal formulation challenge for curcumin is to reconcile its physicochemical limitations with the practical requirements of a topical wound product. Poor aqueous solubility can produce precipitation or non-uniform distribution, while instability can reduce marker content during processing or storage. At the same time, a vehicle that improves solubilization may alter viscosity, foamability, release or skin compatibility. These interactions mean that formulation development cannot optimize one property without considering the others. Foams introduce additional requirements because the active material must remain sufficiently distributed during foam generation and application, and the resulting bubbles must provide acceptable stability without making the product difficult to spread. A standardized botanical extract further increases complexity because multiple constituents can respond differently to pH, solvent composition and interfacial conditions. The literature on alternative delivery systems therefore supports a formulation-development strategy based on measurable quality attributes and controlled experimentation. Such an approach can identify a practical compromise between chemical stability, local availability, application behavior and biological activity rather than pursuing an idealized value for only one response (Mohanty et al., 2017).</w:t>
      </w:r>
    </w:p>
    <w:p w14:paraId="64429663"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 xml:space="preserve">2.14 Commiphora </w:t>
      </w:r>
      <w:proofErr w:type="spellStart"/>
      <w:r w:rsidRPr="00930EAE">
        <w:rPr>
          <w:rFonts w:ascii="Times New Roman" w:hAnsi="Times New Roman" w:cs="Times New Roman"/>
          <w:color w:val="auto"/>
          <w:sz w:val="24"/>
          <w:szCs w:val="24"/>
        </w:rPr>
        <w:t>wightii</w:t>
      </w:r>
      <w:proofErr w:type="spellEnd"/>
      <w:r w:rsidRPr="00930EAE">
        <w:rPr>
          <w:rFonts w:ascii="Times New Roman" w:hAnsi="Times New Roman" w:cs="Times New Roman"/>
          <w:color w:val="auto"/>
          <w:sz w:val="24"/>
          <w:szCs w:val="24"/>
        </w:rPr>
        <w:t xml:space="preserve"> and Guggul</w:t>
      </w:r>
    </w:p>
    <w:p w14:paraId="6990390A" w14:textId="77777777" w:rsidR="002F3004" w:rsidRPr="00930EAE" w:rsidRDefault="002F3004" w:rsidP="00C17A09">
      <w:pPr>
        <w:jc w:val="both"/>
        <w:rPr>
          <w:rFonts w:cs="Times New Roman"/>
          <w:szCs w:val="24"/>
        </w:rPr>
      </w:pPr>
      <w:r w:rsidRPr="00930EAE">
        <w:rPr>
          <w:rFonts w:cs="Times New Roman"/>
          <w:szCs w:val="24"/>
        </w:rPr>
        <w:t xml:space="preserve">Commiphora </w:t>
      </w:r>
      <w:proofErr w:type="spellStart"/>
      <w:r w:rsidRPr="00930EAE">
        <w:rPr>
          <w:rFonts w:cs="Times New Roman"/>
          <w:szCs w:val="24"/>
        </w:rPr>
        <w:t>wightii</w:t>
      </w:r>
      <w:proofErr w:type="spellEnd"/>
      <w:r w:rsidRPr="00930EAE">
        <w:rPr>
          <w:rFonts w:cs="Times New Roman"/>
          <w:szCs w:val="24"/>
        </w:rPr>
        <w:t xml:space="preserve"> is a medicinal plant whose oleo-gum-resin contains resinous, volatile and steroidal constituents. </w:t>
      </w:r>
      <w:proofErr w:type="spellStart"/>
      <w:r w:rsidRPr="00930EAE">
        <w:rPr>
          <w:rFonts w:cs="Times New Roman"/>
          <w:szCs w:val="24"/>
        </w:rPr>
        <w:t>Guggulsterones</w:t>
      </w:r>
      <w:proofErr w:type="spellEnd"/>
      <w:r w:rsidRPr="00930EAE">
        <w:rPr>
          <w:rFonts w:cs="Times New Roman"/>
          <w:szCs w:val="24"/>
        </w:rPr>
        <w:t xml:space="preserve"> are among its most investigated constituents. The genus Commiphora shows considerable phytochemical diversity and a long traditional medicinal history (Shen et al., 2012; Sarup et al., 2015). Commiphora </w:t>
      </w:r>
      <w:proofErr w:type="spellStart"/>
      <w:r w:rsidRPr="00930EAE">
        <w:rPr>
          <w:rFonts w:cs="Times New Roman"/>
          <w:szCs w:val="24"/>
        </w:rPr>
        <w:t>wightii</w:t>
      </w:r>
      <w:proofErr w:type="spellEnd"/>
      <w:r w:rsidRPr="00930EAE">
        <w:rPr>
          <w:rFonts w:cs="Times New Roman"/>
          <w:szCs w:val="24"/>
        </w:rPr>
        <w:t xml:space="preserve">, commonly referred to as guggul or </w:t>
      </w:r>
      <w:proofErr w:type="spellStart"/>
      <w:r w:rsidRPr="00930EAE">
        <w:rPr>
          <w:rFonts w:cs="Times New Roman"/>
          <w:szCs w:val="24"/>
        </w:rPr>
        <w:t>guggulu</w:t>
      </w:r>
      <w:proofErr w:type="spellEnd"/>
      <w:r w:rsidRPr="00930EAE">
        <w:rPr>
          <w:rFonts w:cs="Times New Roman"/>
          <w:szCs w:val="24"/>
        </w:rPr>
        <w:t xml:space="preserve">, is characterized by an oleo-gum-resin that contains resinous material, volatile constituents and steroidal compounds. </w:t>
      </w:r>
      <w:proofErr w:type="spellStart"/>
      <w:r w:rsidRPr="00930EAE">
        <w:rPr>
          <w:rFonts w:cs="Times New Roman"/>
          <w:szCs w:val="24"/>
        </w:rPr>
        <w:t>Guggulsterones</w:t>
      </w:r>
      <w:proofErr w:type="spellEnd"/>
      <w:r w:rsidRPr="00930EAE">
        <w:rPr>
          <w:rFonts w:cs="Times New Roman"/>
          <w:szCs w:val="24"/>
        </w:rPr>
        <w:t xml:space="preserve"> have received substantial attention because of their biological activity, although the overall extract is chemically broader than these marker constituents alone. The literature also reflects the traditional use of guggul in several therapeutic contexts, while </w:t>
      </w:r>
      <w:r w:rsidRPr="00930EAE">
        <w:rPr>
          <w:rFonts w:cs="Times New Roman"/>
          <w:szCs w:val="24"/>
        </w:rPr>
        <w:lastRenderedPageBreak/>
        <w:t>modern investigations have examined its phytochemistry and signaling effects. For pharmaceutical development, the resinous nature of the material is particularly relevant because it can influence solubility, dispersion, odor, viscosity and compatibility with formulation excipients. Batch-to-batch variation can also be substantial if source and processing are not controlled. Therefore, the use of guggul in a topical foam requires a defined botanical source, controlled extraction and appropriate chemical characterization. Rather than assuming that all biological properties of guggul are interchangeable, the formulation should specify whether the research material is a crude extract, standardized fraction or another defined preparation and should establish suitable markers for quality control (Shen et al., 2012; Sarup et al., 2015).</w:t>
      </w:r>
    </w:p>
    <w:p w14:paraId="5CE9361C"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 xml:space="preserve">2.15 </w:t>
      </w:r>
      <w:proofErr w:type="spellStart"/>
      <w:r w:rsidRPr="00930EAE">
        <w:rPr>
          <w:rFonts w:ascii="Times New Roman" w:hAnsi="Times New Roman" w:cs="Times New Roman"/>
          <w:color w:val="auto"/>
          <w:sz w:val="24"/>
          <w:szCs w:val="24"/>
        </w:rPr>
        <w:t>Guggulsterones</w:t>
      </w:r>
      <w:proofErr w:type="spellEnd"/>
      <w:r w:rsidRPr="00930EAE">
        <w:rPr>
          <w:rFonts w:ascii="Times New Roman" w:hAnsi="Times New Roman" w:cs="Times New Roman"/>
          <w:color w:val="auto"/>
          <w:sz w:val="24"/>
          <w:szCs w:val="24"/>
        </w:rPr>
        <w:t xml:space="preserve"> and Biological Activity</w:t>
      </w:r>
    </w:p>
    <w:p w14:paraId="79CDA536" w14:textId="77777777" w:rsidR="002F3004" w:rsidRPr="00930EAE" w:rsidRDefault="002F3004" w:rsidP="00C17A09">
      <w:pPr>
        <w:jc w:val="both"/>
        <w:rPr>
          <w:rFonts w:cs="Times New Roman"/>
          <w:szCs w:val="24"/>
        </w:rPr>
      </w:pPr>
      <w:proofErr w:type="spellStart"/>
      <w:r w:rsidRPr="00930EAE">
        <w:rPr>
          <w:rFonts w:cs="Times New Roman"/>
          <w:szCs w:val="24"/>
        </w:rPr>
        <w:t>Guggulsterones</w:t>
      </w:r>
      <w:proofErr w:type="spellEnd"/>
      <w:r w:rsidRPr="00930EAE">
        <w:rPr>
          <w:rFonts w:cs="Times New Roman"/>
          <w:szCs w:val="24"/>
        </w:rPr>
        <w:t xml:space="preserve"> have been investigated for lipid metabolism, FXR signaling, inflammatory pathways and NF-</w:t>
      </w:r>
      <w:proofErr w:type="spellStart"/>
      <w:r w:rsidRPr="00930EAE">
        <w:rPr>
          <w:rFonts w:cs="Times New Roman"/>
          <w:szCs w:val="24"/>
        </w:rPr>
        <w:t>κB</w:t>
      </w:r>
      <w:proofErr w:type="spellEnd"/>
      <w:r w:rsidRPr="00930EAE">
        <w:rPr>
          <w:rFonts w:cs="Times New Roman"/>
          <w:szCs w:val="24"/>
        </w:rPr>
        <w:t xml:space="preserve">-related signaling. Urizar et al. (2002) identified </w:t>
      </w:r>
      <w:proofErr w:type="spellStart"/>
      <w:r w:rsidRPr="00930EAE">
        <w:rPr>
          <w:rFonts w:cs="Times New Roman"/>
          <w:szCs w:val="24"/>
        </w:rPr>
        <w:t>guggulsterone</w:t>
      </w:r>
      <w:proofErr w:type="spellEnd"/>
      <w:r w:rsidRPr="00930EAE">
        <w:rPr>
          <w:rFonts w:cs="Times New Roman"/>
          <w:szCs w:val="24"/>
        </w:rPr>
        <w:t xml:space="preserve"> as an FXR antagonist, while Shishodia et al. (2004) demonstrated inhibition of NF-</w:t>
      </w:r>
      <w:proofErr w:type="spellStart"/>
      <w:r w:rsidRPr="00930EAE">
        <w:rPr>
          <w:rFonts w:cs="Times New Roman"/>
          <w:szCs w:val="24"/>
        </w:rPr>
        <w:t>κB</w:t>
      </w:r>
      <w:proofErr w:type="spellEnd"/>
      <w:r w:rsidRPr="00930EAE">
        <w:rPr>
          <w:rFonts w:cs="Times New Roman"/>
          <w:szCs w:val="24"/>
        </w:rPr>
        <w:t xml:space="preserve">-related signaling in experimental systems. These observations provide a mechanistic rationale for further study. </w:t>
      </w:r>
      <w:proofErr w:type="spellStart"/>
      <w:r w:rsidRPr="00930EAE">
        <w:rPr>
          <w:rFonts w:cs="Times New Roman"/>
          <w:szCs w:val="24"/>
        </w:rPr>
        <w:t>Guggulsterones</w:t>
      </w:r>
      <w:proofErr w:type="spellEnd"/>
      <w:r w:rsidRPr="00930EAE">
        <w:rPr>
          <w:rFonts w:cs="Times New Roman"/>
          <w:szCs w:val="24"/>
        </w:rPr>
        <w:t xml:space="preserve"> are among the most studied constituents of guggul and have been investigated in relation to nuclear receptor signaling, lipid metabolism and inflammatory pathways. The identification of </w:t>
      </w:r>
      <w:proofErr w:type="spellStart"/>
      <w:r w:rsidRPr="00930EAE">
        <w:rPr>
          <w:rFonts w:cs="Times New Roman"/>
          <w:szCs w:val="24"/>
        </w:rPr>
        <w:t>guggulsterone</w:t>
      </w:r>
      <w:proofErr w:type="spellEnd"/>
      <w:r w:rsidRPr="00930EAE">
        <w:rPr>
          <w:rFonts w:cs="Times New Roman"/>
          <w:szCs w:val="24"/>
        </w:rPr>
        <w:t xml:space="preserve"> as an FXR antagonist provided an important mechanistic observation, while experimental work on NF-</w:t>
      </w:r>
      <w:proofErr w:type="spellStart"/>
      <w:r w:rsidRPr="00930EAE">
        <w:rPr>
          <w:rFonts w:cs="Times New Roman"/>
          <w:szCs w:val="24"/>
        </w:rPr>
        <w:t>κB</w:t>
      </w:r>
      <w:proofErr w:type="spellEnd"/>
      <w:r w:rsidRPr="00930EAE">
        <w:rPr>
          <w:rFonts w:cs="Times New Roman"/>
          <w:szCs w:val="24"/>
        </w:rPr>
        <w:t xml:space="preserve">-related signaling suggested additional anti-inflammatory potential. These findings are relevant to wound research because inflammatory signaling and cellular metabolism are integral to tissue repair. However, mechanistic evidence obtained in metabolic or inflammatory models should not be equated directly with wound-healing efficacy. The concentration of </w:t>
      </w:r>
      <w:proofErr w:type="spellStart"/>
      <w:r w:rsidRPr="00930EAE">
        <w:rPr>
          <w:rFonts w:cs="Times New Roman"/>
          <w:szCs w:val="24"/>
        </w:rPr>
        <w:t>guggulsterones</w:t>
      </w:r>
      <w:proofErr w:type="spellEnd"/>
      <w:r w:rsidRPr="00930EAE">
        <w:rPr>
          <w:rFonts w:cs="Times New Roman"/>
          <w:szCs w:val="24"/>
        </w:rPr>
        <w:t xml:space="preserve"> in a botanical preparation, their chemical stability and their release from the dosage form all influence actual exposure. A topical study should therefore treat </w:t>
      </w:r>
      <w:proofErr w:type="spellStart"/>
      <w:r w:rsidRPr="00930EAE">
        <w:rPr>
          <w:rFonts w:cs="Times New Roman"/>
          <w:szCs w:val="24"/>
        </w:rPr>
        <w:t>guggulsterones</w:t>
      </w:r>
      <w:proofErr w:type="spellEnd"/>
      <w:r w:rsidRPr="00930EAE">
        <w:rPr>
          <w:rFonts w:cs="Times New Roman"/>
          <w:szCs w:val="24"/>
        </w:rPr>
        <w:t xml:space="preserve"> as analytical markers as well as pharmacologically interesting constituents. Measuring their content before and after formulation, and during stability testing, can help determine whether the processing conditions preserve the intended chemical quality. This approach creates a clearer connection between botanical standardization, formulation performance and biological interpretation (Urizar et al., 2002; Shishodia et al., 2004).</w:t>
      </w:r>
    </w:p>
    <w:p w14:paraId="61480F09"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lastRenderedPageBreak/>
        <w:t>2.16 Guggul in the Context of Wound Healing</w:t>
      </w:r>
    </w:p>
    <w:p w14:paraId="2475C761" w14:textId="77777777" w:rsidR="002F3004" w:rsidRPr="00930EAE" w:rsidRDefault="002F3004" w:rsidP="00C17A09">
      <w:pPr>
        <w:jc w:val="both"/>
        <w:rPr>
          <w:rFonts w:cs="Times New Roman"/>
          <w:szCs w:val="24"/>
        </w:rPr>
      </w:pPr>
      <w:r w:rsidRPr="00930EAE">
        <w:rPr>
          <w:rFonts w:cs="Times New Roman"/>
          <w:szCs w:val="24"/>
        </w:rPr>
        <w:t xml:space="preserve">Compared with curcumin, direct wound-healing evidence for Commiphora </w:t>
      </w:r>
      <w:proofErr w:type="spellStart"/>
      <w:r w:rsidRPr="00930EAE">
        <w:rPr>
          <w:rFonts w:cs="Times New Roman"/>
          <w:szCs w:val="24"/>
        </w:rPr>
        <w:t>wightii</w:t>
      </w:r>
      <w:proofErr w:type="spellEnd"/>
      <w:r w:rsidRPr="00930EAE">
        <w:rPr>
          <w:rFonts w:cs="Times New Roman"/>
          <w:szCs w:val="24"/>
        </w:rPr>
        <w:t xml:space="preserve"> is comparatively limited. This gap supports experimental evaluation rather than assuming efficacy from traditional use or unrelated disease models. Standardized guggul preparations can be evaluated through physicochemical, microbiological, release, permeation, antioxidant and wound-healing-related assays. The comparatively limited direct wound-healing literature for guggul represents both a limitation and an opportunity. It means that conclusions about its role in wound repair should remain conservative and should be supported by direct experimental evidence. At the same time, the anti-inflammatory and signaling-related literature provides sufficient mechanistic rationale to justify exploratory investigation in a standardized topical system. A useful research strategy would evaluate guggul alone, turmeric alone and the combination, using the same vehicle and analytical framework. Such comparisons can help determine whether observed activity is attributable to one botanical, to their combined exposure or simply to formulation effects. In vitro assays can provide preliminary information on antioxidant activity, antimicrobial behavior and cellular compatibility, whereas migration, proliferation and wound-model studies can address more functional endpoints. The formulation itself should also be characterized so that a biological difference can be related to actual marker exposure rather than only nominal extract concentration. This evidence hierarchy is especially important when developing a botanical combination for a new dosage form because traditional use cannot substitute for direct product-specific evidence (Sarup et al., 2015).</w:t>
      </w:r>
    </w:p>
    <w:p w14:paraId="556E986C"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 xml:space="preserve">2.17 Rationale for Combining Curcuma longa and Commiphora </w:t>
      </w:r>
      <w:proofErr w:type="spellStart"/>
      <w:r w:rsidRPr="00930EAE">
        <w:rPr>
          <w:rFonts w:ascii="Times New Roman" w:hAnsi="Times New Roman" w:cs="Times New Roman"/>
          <w:color w:val="auto"/>
          <w:sz w:val="24"/>
          <w:szCs w:val="24"/>
        </w:rPr>
        <w:t>wightii</w:t>
      </w:r>
      <w:proofErr w:type="spellEnd"/>
    </w:p>
    <w:p w14:paraId="0EDA4C51" w14:textId="77777777" w:rsidR="002F3004" w:rsidRPr="00930EAE" w:rsidRDefault="002F3004" w:rsidP="00C17A09">
      <w:pPr>
        <w:jc w:val="both"/>
        <w:rPr>
          <w:rFonts w:cs="Times New Roman"/>
          <w:szCs w:val="24"/>
        </w:rPr>
      </w:pPr>
      <w:r w:rsidRPr="00930EAE">
        <w:rPr>
          <w:rFonts w:cs="Times New Roman"/>
          <w:szCs w:val="24"/>
        </w:rPr>
        <w:t xml:space="preserve">The combination is based on potentially complementary phytochemical profiles. Curcumin contributes extensively studied antioxidant, anti-inflammatory, antimicrobial and wound-related activity, whereas guggul provides </w:t>
      </w:r>
      <w:proofErr w:type="spellStart"/>
      <w:r w:rsidRPr="00930EAE">
        <w:rPr>
          <w:rFonts w:cs="Times New Roman"/>
          <w:szCs w:val="24"/>
        </w:rPr>
        <w:t>guggulsterones</w:t>
      </w:r>
      <w:proofErr w:type="spellEnd"/>
      <w:r w:rsidRPr="00930EAE">
        <w:rPr>
          <w:rFonts w:cs="Times New Roman"/>
          <w:szCs w:val="24"/>
        </w:rPr>
        <w:t xml:space="preserve"> and other constituents with anti-inflammatory and signaling-related effects (</w:t>
      </w:r>
      <w:proofErr w:type="spellStart"/>
      <w:r w:rsidRPr="00930EAE">
        <w:rPr>
          <w:rFonts w:cs="Times New Roman"/>
          <w:szCs w:val="24"/>
        </w:rPr>
        <w:t>Akbik</w:t>
      </w:r>
      <w:proofErr w:type="spellEnd"/>
      <w:r w:rsidRPr="00930EAE">
        <w:rPr>
          <w:rFonts w:cs="Times New Roman"/>
          <w:szCs w:val="24"/>
        </w:rPr>
        <w:t xml:space="preserve"> et al., 2014; Sarup et al., 2015). Synergy should not be claimed unless experimentally demonstrated. Appropriate comparisons include turmeric alone, guggul alone, the combination, and optimized formulation controls. The rationale for combining turmeric and guggul is based on complementary rather than presumed synergistic activity. Turmeric provides a relatively well-developed evidence base for antioxidant, anti-inflammatory and wound-related effects, while guggul contributes a different phytochemical profile and has documented effects on inflammatory and signaling pathways. Combining them may therefore broaden the range of biological processes influenced by the formulation. However, synergy is a specific pharmacological claim that requires </w:t>
      </w:r>
      <w:r w:rsidRPr="00930EAE">
        <w:rPr>
          <w:rFonts w:cs="Times New Roman"/>
          <w:szCs w:val="24"/>
        </w:rPr>
        <w:lastRenderedPageBreak/>
        <w:t>appropriate experimental demonstration. The combination should first be evaluated for compatibility, chemical stability and dose proportionality. Comparative groups should ideally include each botanical individually, the combination, the placebo or vehicle, and an appropriate reference treatment when justified by the experimental model. Such a design can distinguish additive or interactive effects from simple concentration effects. From a formulation perspective, the combination also creates potential interactions among resinous and polyphenolic constituents, which may influence solubility, viscosity, foam structure and release. Consequently, the scientific rationale for the combination should include both pharmacological complementarity and a systematic evaluation of pharmaceutical compatibility (</w:t>
      </w:r>
      <w:proofErr w:type="spellStart"/>
      <w:r w:rsidRPr="00930EAE">
        <w:rPr>
          <w:rFonts w:cs="Times New Roman"/>
          <w:szCs w:val="24"/>
        </w:rPr>
        <w:t>Akbik</w:t>
      </w:r>
      <w:proofErr w:type="spellEnd"/>
      <w:r w:rsidRPr="00930EAE">
        <w:rPr>
          <w:rFonts w:cs="Times New Roman"/>
          <w:szCs w:val="24"/>
        </w:rPr>
        <w:t xml:space="preserve"> et al., 2014; Sarup et al., 2015).</w:t>
      </w:r>
    </w:p>
    <w:p w14:paraId="67AE742C" w14:textId="77777777" w:rsidR="002F3004" w:rsidRDefault="002F3004" w:rsidP="00C17A09">
      <w:pPr>
        <w:pStyle w:val="CaptionThesis"/>
        <w:spacing w:line="360" w:lineRule="auto"/>
        <w:jc w:val="both"/>
        <w:rPr>
          <w:rFonts w:cs="Times New Roman"/>
          <w:sz w:val="24"/>
          <w:szCs w:val="24"/>
        </w:rPr>
      </w:pPr>
    </w:p>
    <w:p w14:paraId="2AABB765" w14:textId="77777777" w:rsidR="002F3004" w:rsidRDefault="002F3004" w:rsidP="00C17A09">
      <w:pPr>
        <w:pStyle w:val="CaptionThesis"/>
        <w:spacing w:line="360" w:lineRule="auto"/>
        <w:jc w:val="both"/>
        <w:rPr>
          <w:rFonts w:cs="Times New Roman"/>
          <w:sz w:val="24"/>
          <w:szCs w:val="24"/>
        </w:rPr>
      </w:pPr>
    </w:p>
    <w:p w14:paraId="18A75764"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 xml:space="preserve">Table 2.2. Comparative literature-based profile of Curcuma longa and Commiphora </w:t>
      </w:r>
      <w:proofErr w:type="spellStart"/>
      <w:r w:rsidRPr="00930EAE">
        <w:rPr>
          <w:rFonts w:cs="Times New Roman"/>
          <w:sz w:val="24"/>
          <w:szCs w:val="24"/>
        </w:rPr>
        <w:t>wightii</w:t>
      </w:r>
      <w:proofErr w:type="spellEnd"/>
    </w:p>
    <w:tbl>
      <w:tblPr>
        <w:tblStyle w:val="TableGrid"/>
        <w:tblW w:w="0" w:type="auto"/>
        <w:jc w:val="center"/>
        <w:tblLook w:val="04A0" w:firstRow="1" w:lastRow="0" w:firstColumn="1" w:lastColumn="0" w:noHBand="0" w:noVBand="1"/>
      </w:tblPr>
      <w:tblGrid>
        <w:gridCol w:w="3211"/>
        <w:gridCol w:w="3215"/>
        <w:gridCol w:w="3212"/>
      </w:tblGrid>
      <w:tr w:rsidR="002F3004" w:rsidRPr="00930EAE" w14:paraId="7B9BB36D" w14:textId="77777777" w:rsidTr="00E239B7">
        <w:trPr>
          <w:jc w:val="center"/>
        </w:trPr>
        <w:tc>
          <w:tcPr>
            <w:tcW w:w="3216" w:type="dxa"/>
            <w:shd w:val="clear" w:color="auto" w:fill="D9E2F3"/>
            <w:vAlign w:val="center"/>
          </w:tcPr>
          <w:p w14:paraId="66D0458F" w14:textId="77777777" w:rsidR="002F3004" w:rsidRPr="00930EAE" w:rsidRDefault="002F3004" w:rsidP="00C17A09">
            <w:pPr>
              <w:spacing w:after="0"/>
              <w:jc w:val="both"/>
              <w:rPr>
                <w:rFonts w:cs="Times New Roman"/>
                <w:szCs w:val="24"/>
              </w:rPr>
            </w:pPr>
            <w:r w:rsidRPr="00930EAE">
              <w:rPr>
                <w:rFonts w:cs="Times New Roman"/>
                <w:b/>
                <w:szCs w:val="24"/>
              </w:rPr>
              <w:t>Characteristic</w:t>
            </w:r>
          </w:p>
        </w:tc>
        <w:tc>
          <w:tcPr>
            <w:tcW w:w="3216" w:type="dxa"/>
            <w:shd w:val="clear" w:color="auto" w:fill="D9E2F3"/>
            <w:vAlign w:val="center"/>
          </w:tcPr>
          <w:p w14:paraId="5F095B8F" w14:textId="77777777" w:rsidR="002F3004" w:rsidRPr="00930EAE" w:rsidRDefault="002F3004" w:rsidP="00C17A09">
            <w:pPr>
              <w:spacing w:after="0"/>
              <w:jc w:val="both"/>
              <w:rPr>
                <w:rFonts w:cs="Times New Roman"/>
                <w:szCs w:val="24"/>
              </w:rPr>
            </w:pPr>
            <w:r w:rsidRPr="00930EAE">
              <w:rPr>
                <w:rFonts w:cs="Times New Roman"/>
                <w:b/>
                <w:szCs w:val="24"/>
              </w:rPr>
              <w:t>Curcuma longa</w:t>
            </w:r>
          </w:p>
        </w:tc>
        <w:tc>
          <w:tcPr>
            <w:tcW w:w="3216" w:type="dxa"/>
            <w:shd w:val="clear" w:color="auto" w:fill="D9E2F3"/>
            <w:vAlign w:val="center"/>
          </w:tcPr>
          <w:p w14:paraId="050A6A46" w14:textId="77777777" w:rsidR="002F3004" w:rsidRPr="00930EAE" w:rsidRDefault="002F3004" w:rsidP="00C17A09">
            <w:pPr>
              <w:spacing w:after="0"/>
              <w:jc w:val="both"/>
              <w:rPr>
                <w:rFonts w:cs="Times New Roman"/>
                <w:szCs w:val="24"/>
              </w:rPr>
            </w:pPr>
            <w:r w:rsidRPr="00930EAE">
              <w:rPr>
                <w:rFonts w:cs="Times New Roman"/>
                <w:b/>
                <w:szCs w:val="24"/>
              </w:rPr>
              <w:t xml:space="preserve">Commiphora </w:t>
            </w:r>
            <w:proofErr w:type="spellStart"/>
            <w:r w:rsidRPr="00930EAE">
              <w:rPr>
                <w:rFonts w:cs="Times New Roman"/>
                <w:b/>
                <w:szCs w:val="24"/>
              </w:rPr>
              <w:t>wightii</w:t>
            </w:r>
            <w:proofErr w:type="spellEnd"/>
          </w:p>
        </w:tc>
      </w:tr>
      <w:tr w:rsidR="002F3004" w:rsidRPr="00930EAE" w14:paraId="5D190394" w14:textId="77777777" w:rsidTr="00E239B7">
        <w:trPr>
          <w:jc w:val="center"/>
        </w:trPr>
        <w:tc>
          <w:tcPr>
            <w:tcW w:w="3216" w:type="dxa"/>
            <w:vAlign w:val="center"/>
          </w:tcPr>
          <w:p w14:paraId="1F3F5F0D" w14:textId="77777777" w:rsidR="002F3004" w:rsidRPr="00930EAE" w:rsidRDefault="002F3004" w:rsidP="00C17A09">
            <w:pPr>
              <w:spacing w:after="0"/>
              <w:jc w:val="both"/>
              <w:rPr>
                <w:rFonts w:cs="Times New Roman"/>
                <w:szCs w:val="24"/>
              </w:rPr>
            </w:pPr>
            <w:r w:rsidRPr="00930EAE">
              <w:rPr>
                <w:rFonts w:cs="Times New Roman"/>
                <w:szCs w:val="24"/>
              </w:rPr>
              <w:t>Common name</w:t>
            </w:r>
          </w:p>
        </w:tc>
        <w:tc>
          <w:tcPr>
            <w:tcW w:w="3216" w:type="dxa"/>
            <w:vAlign w:val="center"/>
          </w:tcPr>
          <w:p w14:paraId="5D2E3257" w14:textId="77777777" w:rsidR="002F3004" w:rsidRPr="00930EAE" w:rsidRDefault="002F3004" w:rsidP="00C17A09">
            <w:pPr>
              <w:spacing w:after="0"/>
              <w:jc w:val="both"/>
              <w:rPr>
                <w:rFonts w:cs="Times New Roman"/>
                <w:szCs w:val="24"/>
              </w:rPr>
            </w:pPr>
            <w:r w:rsidRPr="00930EAE">
              <w:rPr>
                <w:rFonts w:cs="Times New Roman"/>
                <w:szCs w:val="24"/>
              </w:rPr>
              <w:t>Turmeric</w:t>
            </w:r>
          </w:p>
        </w:tc>
        <w:tc>
          <w:tcPr>
            <w:tcW w:w="3216" w:type="dxa"/>
            <w:vAlign w:val="center"/>
          </w:tcPr>
          <w:p w14:paraId="504E0B6C" w14:textId="77777777" w:rsidR="002F3004" w:rsidRPr="00930EAE" w:rsidRDefault="002F3004" w:rsidP="00C17A09">
            <w:pPr>
              <w:spacing w:after="0"/>
              <w:jc w:val="both"/>
              <w:rPr>
                <w:rFonts w:cs="Times New Roman"/>
                <w:szCs w:val="24"/>
              </w:rPr>
            </w:pPr>
            <w:r w:rsidRPr="00930EAE">
              <w:rPr>
                <w:rFonts w:cs="Times New Roman"/>
                <w:szCs w:val="24"/>
              </w:rPr>
              <w:t>Guggul/</w:t>
            </w:r>
            <w:proofErr w:type="spellStart"/>
            <w:r w:rsidRPr="00930EAE">
              <w:rPr>
                <w:rFonts w:cs="Times New Roman"/>
                <w:szCs w:val="24"/>
              </w:rPr>
              <w:t>Guggulu</w:t>
            </w:r>
            <w:proofErr w:type="spellEnd"/>
          </w:p>
        </w:tc>
      </w:tr>
      <w:tr w:rsidR="002F3004" w:rsidRPr="00930EAE" w14:paraId="7A311111" w14:textId="77777777" w:rsidTr="00E239B7">
        <w:trPr>
          <w:jc w:val="center"/>
        </w:trPr>
        <w:tc>
          <w:tcPr>
            <w:tcW w:w="3216" w:type="dxa"/>
            <w:vAlign w:val="center"/>
          </w:tcPr>
          <w:p w14:paraId="23AB1A56" w14:textId="77777777" w:rsidR="002F3004" w:rsidRPr="00930EAE" w:rsidRDefault="002F3004" w:rsidP="00C17A09">
            <w:pPr>
              <w:spacing w:after="0"/>
              <w:jc w:val="both"/>
              <w:rPr>
                <w:rFonts w:cs="Times New Roman"/>
                <w:szCs w:val="24"/>
              </w:rPr>
            </w:pPr>
            <w:r w:rsidRPr="00930EAE">
              <w:rPr>
                <w:rFonts w:cs="Times New Roman"/>
                <w:szCs w:val="24"/>
              </w:rPr>
              <w:t>Major investigated constituents</w:t>
            </w:r>
          </w:p>
        </w:tc>
        <w:tc>
          <w:tcPr>
            <w:tcW w:w="3216" w:type="dxa"/>
            <w:vAlign w:val="center"/>
          </w:tcPr>
          <w:p w14:paraId="761E1959" w14:textId="77777777" w:rsidR="002F3004" w:rsidRPr="00930EAE" w:rsidRDefault="002F3004" w:rsidP="00C17A09">
            <w:pPr>
              <w:spacing w:after="0"/>
              <w:jc w:val="both"/>
              <w:rPr>
                <w:rFonts w:cs="Times New Roman"/>
                <w:szCs w:val="24"/>
              </w:rPr>
            </w:pPr>
            <w:r w:rsidRPr="00930EAE">
              <w:rPr>
                <w:rFonts w:cs="Times New Roman"/>
                <w:szCs w:val="24"/>
              </w:rPr>
              <w:t>Curcuminoids and volatile constituents</w:t>
            </w:r>
          </w:p>
        </w:tc>
        <w:tc>
          <w:tcPr>
            <w:tcW w:w="3216" w:type="dxa"/>
            <w:vAlign w:val="center"/>
          </w:tcPr>
          <w:p w14:paraId="7BBF6FCD" w14:textId="77777777" w:rsidR="002F3004" w:rsidRPr="00930EAE" w:rsidRDefault="002F3004" w:rsidP="00C17A09">
            <w:pPr>
              <w:spacing w:after="0"/>
              <w:jc w:val="both"/>
              <w:rPr>
                <w:rFonts w:cs="Times New Roman"/>
                <w:szCs w:val="24"/>
              </w:rPr>
            </w:pPr>
            <w:proofErr w:type="spellStart"/>
            <w:r w:rsidRPr="00930EAE">
              <w:rPr>
                <w:rFonts w:cs="Times New Roman"/>
                <w:szCs w:val="24"/>
              </w:rPr>
              <w:t>Guggulsterones</w:t>
            </w:r>
            <w:proofErr w:type="spellEnd"/>
            <w:r w:rsidRPr="00930EAE">
              <w:rPr>
                <w:rFonts w:cs="Times New Roman"/>
                <w:szCs w:val="24"/>
              </w:rPr>
              <w:t>, resin and volatile constituents</w:t>
            </w:r>
          </w:p>
        </w:tc>
      </w:tr>
      <w:tr w:rsidR="002F3004" w:rsidRPr="00930EAE" w14:paraId="7100BE98" w14:textId="77777777" w:rsidTr="00E239B7">
        <w:trPr>
          <w:jc w:val="center"/>
        </w:trPr>
        <w:tc>
          <w:tcPr>
            <w:tcW w:w="3216" w:type="dxa"/>
            <w:vAlign w:val="center"/>
          </w:tcPr>
          <w:p w14:paraId="4768B448" w14:textId="77777777" w:rsidR="002F3004" w:rsidRPr="00930EAE" w:rsidRDefault="002F3004" w:rsidP="00C17A09">
            <w:pPr>
              <w:spacing w:after="0"/>
              <w:jc w:val="both"/>
              <w:rPr>
                <w:rFonts w:cs="Times New Roman"/>
                <w:szCs w:val="24"/>
              </w:rPr>
            </w:pPr>
            <w:r w:rsidRPr="00930EAE">
              <w:rPr>
                <w:rFonts w:cs="Times New Roman"/>
                <w:szCs w:val="24"/>
              </w:rPr>
              <w:t>Major pharmacological interest</w:t>
            </w:r>
          </w:p>
        </w:tc>
        <w:tc>
          <w:tcPr>
            <w:tcW w:w="3216" w:type="dxa"/>
            <w:vAlign w:val="center"/>
          </w:tcPr>
          <w:p w14:paraId="16D918C8" w14:textId="77777777" w:rsidR="002F3004" w:rsidRPr="00930EAE" w:rsidRDefault="002F3004" w:rsidP="00C17A09">
            <w:pPr>
              <w:spacing w:after="0"/>
              <w:jc w:val="both"/>
              <w:rPr>
                <w:rFonts w:cs="Times New Roman"/>
                <w:szCs w:val="24"/>
              </w:rPr>
            </w:pPr>
            <w:r w:rsidRPr="00930EAE">
              <w:rPr>
                <w:rFonts w:cs="Times New Roman"/>
                <w:szCs w:val="24"/>
              </w:rPr>
              <w:t>Antioxidant, anti-inflammatory, antimicrobial, wound-related activity</w:t>
            </w:r>
          </w:p>
        </w:tc>
        <w:tc>
          <w:tcPr>
            <w:tcW w:w="3216" w:type="dxa"/>
            <w:vAlign w:val="center"/>
          </w:tcPr>
          <w:p w14:paraId="21987657" w14:textId="77777777" w:rsidR="002F3004" w:rsidRPr="00930EAE" w:rsidRDefault="002F3004" w:rsidP="00C17A09">
            <w:pPr>
              <w:spacing w:after="0"/>
              <w:jc w:val="both"/>
              <w:rPr>
                <w:rFonts w:cs="Times New Roman"/>
                <w:szCs w:val="24"/>
              </w:rPr>
            </w:pPr>
            <w:r w:rsidRPr="00930EAE">
              <w:rPr>
                <w:rFonts w:cs="Times New Roman"/>
                <w:szCs w:val="24"/>
              </w:rPr>
              <w:t>Anti-inflammatory, metabolic and cellular signaling effects</w:t>
            </w:r>
          </w:p>
        </w:tc>
      </w:tr>
      <w:tr w:rsidR="002F3004" w:rsidRPr="00930EAE" w14:paraId="4B2722BF" w14:textId="77777777" w:rsidTr="00E239B7">
        <w:trPr>
          <w:jc w:val="center"/>
        </w:trPr>
        <w:tc>
          <w:tcPr>
            <w:tcW w:w="3216" w:type="dxa"/>
            <w:vAlign w:val="center"/>
          </w:tcPr>
          <w:p w14:paraId="449CC900" w14:textId="77777777" w:rsidR="002F3004" w:rsidRPr="00930EAE" w:rsidRDefault="002F3004" w:rsidP="00C17A09">
            <w:pPr>
              <w:spacing w:after="0"/>
              <w:jc w:val="both"/>
              <w:rPr>
                <w:rFonts w:cs="Times New Roman"/>
                <w:szCs w:val="24"/>
              </w:rPr>
            </w:pPr>
            <w:r w:rsidRPr="00930EAE">
              <w:rPr>
                <w:rFonts w:cs="Times New Roman"/>
                <w:szCs w:val="24"/>
              </w:rPr>
              <w:t>Wound-healing evidence</w:t>
            </w:r>
          </w:p>
        </w:tc>
        <w:tc>
          <w:tcPr>
            <w:tcW w:w="3216" w:type="dxa"/>
            <w:vAlign w:val="center"/>
          </w:tcPr>
          <w:p w14:paraId="4DD7E189" w14:textId="77777777" w:rsidR="002F3004" w:rsidRPr="00930EAE" w:rsidRDefault="002F3004" w:rsidP="00C17A09">
            <w:pPr>
              <w:spacing w:after="0"/>
              <w:jc w:val="both"/>
              <w:rPr>
                <w:rFonts w:cs="Times New Roman"/>
                <w:szCs w:val="24"/>
              </w:rPr>
            </w:pPr>
            <w:r w:rsidRPr="00930EAE">
              <w:rPr>
                <w:rFonts w:cs="Times New Roman"/>
                <w:szCs w:val="24"/>
              </w:rPr>
              <w:t>Relatively extensive experimental evidence</w:t>
            </w:r>
          </w:p>
        </w:tc>
        <w:tc>
          <w:tcPr>
            <w:tcW w:w="3216" w:type="dxa"/>
            <w:vAlign w:val="center"/>
          </w:tcPr>
          <w:p w14:paraId="6DF42B1E" w14:textId="77777777" w:rsidR="002F3004" w:rsidRPr="00930EAE" w:rsidRDefault="002F3004" w:rsidP="00C17A09">
            <w:pPr>
              <w:spacing w:after="0"/>
              <w:jc w:val="both"/>
              <w:rPr>
                <w:rFonts w:cs="Times New Roman"/>
                <w:szCs w:val="24"/>
              </w:rPr>
            </w:pPr>
            <w:r w:rsidRPr="00930EAE">
              <w:rPr>
                <w:rFonts w:cs="Times New Roman"/>
                <w:szCs w:val="24"/>
              </w:rPr>
              <w:t>Comparatively limited direct wound-specific evidence</w:t>
            </w:r>
          </w:p>
        </w:tc>
      </w:tr>
      <w:tr w:rsidR="002F3004" w:rsidRPr="00930EAE" w14:paraId="16E0D102" w14:textId="77777777" w:rsidTr="00E239B7">
        <w:trPr>
          <w:jc w:val="center"/>
        </w:trPr>
        <w:tc>
          <w:tcPr>
            <w:tcW w:w="3216" w:type="dxa"/>
            <w:vAlign w:val="center"/>
          </w:tcPr>
          <w:p w14:paraId="376CD52D" w14:textId="77777777" w:rsidR="002F3004" w:rsidRPr="00930EAE" w:rsidRDefault="002F3004" w:rsidP="00C17A09">
            <w:pPr>
              <w:spacing w:after="0"/>
              <w:jc w:val="both"/>
              <w:rPr>
                <w:rFonts w:cs="Times New Roman"/>
                <w:szCs w:val="24"/>
              </w:rPr>
            </w:pPr>
            <w:r w:rsidRPr="00930EAE">
              <w:rPr>
                <w:rFonts w:cs="Times New Roman"/>
                <w:szCs w:val="24"/>
              </w:rPr>
              <w:t>Topical formulation literature</w:t>
            </w:r>
          </w:p>
        </w:tc>
        <w:tc>
          <w:tcPr>
            <w:tcW w:w="3216" w:type="dxa"/>
            <w:vAlign w:val="center"/>
          </w:tcPr>
          <w:p w14:paraId="653AE661" w14:textId="77777777" w:rsidR="002F3004" w:rsidRPr="00930EAE" w:rsidRDefault="002F3004" w:rsidP="00C17A09">
            <w:pPr>
              <w:spacing w:after="0"/>
              <w:jc w:val="both"/>
              <w:rPr>
                <w:rFonts w:cs="Times New Roman"/>
                <w:szCs w:val="24"/>
              </w:rPr>
            </w:pPr>
            <w:r w:rsidRPr="00930EAE">
              <w:rPr>
                <w:rFonts w:cs="Times New Roman"/>
                <w:szCs w:val="24"/>
              </w:rPr>
              <w:t>Considerable and expanding</w:t>
            </w:r>
          </w:p>
        </w:tc>
        <w:tc>
          <w:tcPr>
            <w:tcW w:w="3216" w:type="dxa"/>
            <w:vAlign w:val="center"/>
          </w:tcPr>
          <w:p w14:paraId="1FA4F893" w14:textId="77777777" w:rsidR="002F3004" w:rsidRPr="00930EAE" w:rsidRDefault="002F3004" w:rsidP="00C17A09">
            <w:pPr>
              <w:spacing w:after="0"/>
              <w:jc w:val="both"/>
              <w:rPr>
                <w:rFonts w:cs="Times New Roman"/>
                <w:szCs w:val="24"/>
              </w:rPr>
            </w:pPr>
            <w:r w:rsidRPr="00930EAE">
              <w:rPr>
                <w:rFonts w:cs="Times New Roman"/>
                <w:szCs w:val="24"/>
              </w:rPr>
              <w:t>Comparatively limited</w:t>
            </w:r>
          </w:p>
        </w:tc>
      </w:tr>
      <w:tr w:rsidR="002F3004" w:rsidRPr="00930EAE" w14:paraId="01A3F72B" w14:textId="77777777" w:rsidTr="00E239B7">
        <w:trPr>
          <w:jc w:val="center"/>
        </w:trPr>
        <w:tc>
          <w:tcPr>
            <w:tcW w:w="3216" w:type="dxa"/>
            <w:vAlign w:val="center"/>
          </w:tcPr>
          <w:p w14:paraId="49BEF6A5" w14:textId="77777777" w:rsidR="002F3004" w:rsidRPr="00930EAE" w:rsidRDefault="002F3004" w:rsidP="00C17A09">
            <w:pPr>
              <w:spacing w:after="0"/>
              <w:jc w:val="both"/>
              <w:rPr>
                <w:rFonts w:cs="Times New Roman"/>
                <w:szCs w:val="24"/>
              </w:rPr>
            </w:pPr>
            <w:r w:rsidRPr="00930EAE">
              <w:rPr>
                <w:rFonts w:cs="Times New Roman"/>
                <w:szCs w:val="24"/>
              </w:rPr>
              <w:t>Major formulation challenge</w:t>
            </w:r>
          </w:p>
        </w:tc>
        <w:tc>
          <w:tcPr>
            <w:tcW w:w="3216" w:type="dxa"/>
            <w:vAlign w:val="center"/>
          </w:tcPr>
          <w:p w14:paraId="3E08E545" w14:textId="77777777" w:rsidR="002F3004" w:rsidRPr="00930EAE" w:rsidRDefault="002F3004" w:rsidP="00C17A09">
            <w:pPr>
              <w:spacing w:after="0"/>
              <w:jc w:val="both"/>
              <w:rPr>
                <w:rFonts w:cs="Times New Roman"/>
                <w:szCs w:val="24"/>
              </w:rPr>
            </w:pPr>
            <w:r w:rsidRPr="00930EAE">
              <w:rPr>
                <w:rFonts w:cs="Times New Roman"/>
                <w:szCs w:val="24"/>
              </w:rPr>
              <w:t>Poor solubility and stability of curcuminoids</w:t>
            </w:r>
          </w:p>
        </w:tc>
        <w:tc>
          <w:tcPr>
            <w:tcW w:w="3216" w:type="dxa"/>
            <w:vAlign w:val="center"/>
          </w:tcPr>
          <w:p w14:paraId="76504CEC" w14:textId="77777777" w:rsidR="002F3004" w:rsidRPr="00930EAE" w:rsidRDefault="002F3004" w:rsidP="00C17A09">
            <w:pPr>
              <w:spacing w:after="0"/>
              <w:jc w:val="both"/>
              <w:rPr>
                <w:rFonts w:cs="Times New Roman"/>
                <w:szCs w:val="24"/>
              </w:rPr>
            </w:pPr>
            <w:r w:rsidRPr="00930EAE">
              <w:rPr>
                <w:rFonts w:cs="Times New Roman"/>
                <w:szCs w:val="24"/>
              </w:rPr>
              <w:t>Complex resinous composition and extract variability</w:t>
            </w:r>
          </w:p>
        </w:tc>
      </w:tr>
      <w:tr w:rsidR="002F3004" w:rsidRPr="00930EAE" w14:paraId="39D5A793" w14:textId="77777777" w:rsidTr="00E239B7">
        <w:trPr>
          <w:jc w:val="center"/>
        </w:trPr>
        <w:tc>
          <w:tcPr>
            <w:tcW w:w="3216" w:type="dxa"/>
            <w:vAlign w:val="center"/>
          </w:tcPr>
          <w:p w14:paraId="0A4DE2CC" w14:textId="77777777" w:rsidR="002F3004" w:rsidRPr="00930EAE" w:rsidRDefault="002F3004" w:rsidP="00C17A09">
            <w:pPr>
              <w:spacing w:after="0"/>
              <w:jc w:val="both"/>
              <w:rPr>
                <w:rFonts w:cs="Times New Roman"/>
                <w:szCs w:val="24"/>
              </w:rPr>
            </w:pPr>
            <w:r w:rsidRPr="00930EAE">
              <w:rPr>
                <w:rFonts w:cs="Times New Roman"/>
                <w:szCs w:val="24"/>
              </w:rPr>
              <w:t>Potential role in combination</w:t>
            </w:r>
          </w:p>
        </w:tc>
        <w:tc>
          <w:tcPr>
            <w:tcW w:w="3216" w:type="dxa"/>
            <w:vAlign w:val="center"/>
          </w:tcPr>
          <w:p w14:paraId="69026C19" w14:textId="77777777" w:rsidR="002F3004" w:rsidRPr="00930EAE" w:rsidRDefault="002F3004" w:rsidP="00C17A09">
            <w:pPr>
              <w:spacing w:after="0"/>
              <w:jc w:val="both"/>
              <w:rPr>
                <w:rFonts w:cs="Times New Roman"/>
                <w:szCs w:val="24"/>
              </w:rPr>
            </w:pPr>
            <w:r w:rsidRPr="00930EAE">
              <w:rPr>
                <w:rFonts w:cs="Times New Roman"/>
                <w:szCs w:val="24"/>
              </w:rPr>
              <w:t>Antioxidant/anti-inflammatory/antimicrobial contribution</w:t>
            </w:r>
          </w:p>
        </w:tc>
        <w:tc>
          <w:tcPr>
            <w:tcW w:w="3216" w:type="dxa"/>
            <w:vAlign w:val="center"/>
          </w:tcPr>
          <w:p w14:paraId="1CF9E512" w14:textId="77777777" w:rsidR="002F3004" w:rsidRPr="00930EAE" w:rsidRDefault="002F3004" w:rsidP="00C17A09">
            <w:pPr>
              <w:spacing w:after="0"/>
              <w:jc w:val="both"/>
              <w:rPr>
                <w:rFonts w:cs="Times New Roman"/>
                <w:szCs w:val="24"/>
              </w:rPr>
            </w:pPr>
            <w:r w:rsidRPr="00930EAE">
              <w:rPr>
                <w:rFonts w:cs="Times New Roman"/>
                <w:szCs w:val="24"/>
              </w:rPr>
              <w:t>Complementary anti-inflammatory and phytochemical contribution</w:t>
            </w:r>
          </w:p>
        </w:tc>
      </w:tr>
      <w:tr w:rsidR="002F3004" w:rsidRPr="00930EAE" w14:paraId="42D12183" w14:textId="77777777" w:rsidTr="00E239B7">
        <w:trPr>
          <w:jc w:val="center"/>
        </w:trPr>
        <w:tc>
          <w:tcPr>
            <w:tcW w:w="3216" w:type="dxa"/>
            <w:vAlign w:val="center"/>
          </w:tcPr>
          <w:p w14:paraId="548A898B" w14:textId="77777777" w:rsidR="002F3004" w:rsidRPr="00930EAE" w:rsidRDefault="002F3004" w:rsidP="00C17A09">
            <w:pPr>
              <w:spacing w:after="0"/>
              <w:jc w:val="both"/>
              <w:rPr>
                <w:rFonts w:cs="Times New Roman"/>
                <w:szCs w:val="24"/>
              </w:rPr>
            </w:pPr>
            <w:r w:rsidRPr="00930EAE">
              <w:rPr>
                <w:rFonts w:cs="Times New Roman"/>
                <w:szCs w:val="24"/>
              </w:rPr>
              <w:lastRenderedPageBreak/>
              <w:t>Quality-control consideration</w:t>
            </w:r>
          </w:p>
        </w:tc>
        <w:tc>
          <w:tcPr>
            <w:tcW w:w="3216" w:type="dxa"/>
            <w:vAlign w:val="center"/>
          </w:tcPr>
          <w:p w14:paraId="61CB7CD9" w14:textId="77777777" w:rsidR="002F3004" w:rsidRPr="00930EAE" w:rsidRDefault="002F3004" w:rsidP="00C17A09">
            <w:pPr>
              <w:spacing w:after="0"/>
              <w:jc w:val="both"/>
              <w:rPr>
                <w:rFonts w:cs="Times New Roman"/>
                <w:szCs w:val="24"/>
              </w:rPr>
            </w:pPr>
            <w:r w:rsidRPr="00930EAE">
              <w:rPr>
                <w:rFonts w:cs="Times New Roman"/>
                <w:szCs w:val="24"/>
              </w:rPr>
              <w:t>Curcuminoid standardization</w:t>
            </w:r>
          </w:p>
        </w:tc>
        <w:tc>
          <w:tcPr>
            <w:tcW w:w="3216" w:type="dxa"/>
            <w:vAlign w:val="center"/>
          </w:tcPr>
          <w:p w14:paraId="56818B7D" w14:textId="77777777" w:rsidR="002F3004" w:rsidRPr="00930EAE" w:rsidRDefault="002F3004" w:rsidP="00C17A09">
            <w:pPr>
              <w:spacing w:after="0"/>
              <w:jc w:val="both"/>
              <w:rPr>
                <w:rFonts w:cs="Times New Roman"/>
                <w:szCs w:val="24"/>
              </w:rPr>
            </w:pPr>
            <w:proofErr w:type="spellStart"/>
            <w:r w:rsidRPr="00930EAE">
              <w:rPr>
                <w:rFonts w:cs="Times New Roman"/>
                <w:szCs w:val="24"/>
              </w:rPr>
              <w:t>Guggulsterone</w:t>
            </w:r>
            <w:proofErr w:type="spellEnd"/>
            <w:r w:rsidRPr="00930EAE">
              <w:rPr>
                <w:rFonts w:cs="Times New Roman"/>
                <w:szCs w:val="24"/>
              </w:rPr>
              <w:t xml:space="preserve"> and chemical-fingerprint standardization</w:t>
            </w:r>
          </w:p>
        </w:tc>
      </w:tr>
      <w:tr w:rsidR="002F3004" w:rsidRPr="00930EAE" w14:paraId="09663F01" w14:textId="77777777" w:rsidTr="00E239B7">
        <w:trPr>
          <w:jc w:val="center"/>
        </w:trPr>
        <w:tc>
          <w:tcPr>
            <w:tcW w:w="3216" w:type="dxa"/>
            <w:vAlign w:val="center"/>
          </w:tcPr>
          <w:p w14:paraId="6BFF7607" w14:textId="77777777" w:rsidR="002F3004" w:rsidRPr="00930EAE" w:rsidRDefault="002F3004" w:rsidP="00C17A09">
            <w:pPr>
              <w:spacing w:after="0"/>
              <w:jc w:val="both"/>
              <w:rPr>
                <w:rFonts w:cs="Times New Roman"/>
                <w:szCs w:val="24"/>
              </w:rPr>
            </w:pPr>
            <w:r w:rsidRPr="00930EAE">
              <w:rPr>
                <w:rFonts w:cs="Times New Roman"/>
                <w:szCs w:val="24"/>
              </w:rPr>
              <w:t>Rationale for inclusion</w:t>
            </w:r>
          </w:p>
        </w:tc>
        <w:tc>
          <w:tcPr>
            <w:tcW w:w="3216" w:type="dxa"/>
            <w:vAlign w:val="center"/>
          </w:tcPr>
          <w:p w14:paraId="425FE9C5" w14:textId="77777777" w:rsidR="002F3004" w:rsidRPr="00930EAE" w:rsidRDefault="002F3004" w:rsidP="00C17A09">
            <w:pPr>
              <w:spacing w:after="0"/>
              <w:jc w:val="both"/>
              <w:rPr>
                <w:rFonts w:cs="Times New Roman"/>
                <w:szCs w:val="24"/>
              </w:rPr>
            </w:pPr>
            <w:r w:rsidRPr="00930EAE">
              <w:rPr>
                <w:rFonts w:cs="Times New Roman"/>
                <w:szCs w:val="24"/>
              </w:rPr>
              <w:t>Established wound-related potential</w:t>
            </w:r>
          </w:p>
        </w:tc>
        <w:tc>
          <w:tcPr>
            <w:tcW w:w="3216" w:type="dxa"/>
            <w:vAlign w:val="center"/>
          </w:tcPr>
          <w:p w14:paraId="749814E3" w14:textId="77777777" w:rsidR="002F3004" w:rsidRPr="00930EAE" w:rsidRDefault="002F3004" w:rsidP="00C17A09">
            <w:pPr>
              <w:spacing w:after="0"/>
              <w:jc w:val="both"/>
              <w:rPr>
                <w:rFonts w:cs="Times New Roman"/>
                <w:szCs w:val="24"/>
              </w:rPr>
            </w:pPr>
            <w:r w:rsidRPr="00930EAE">
              <w:rPr>
                <w:rFonts w:cs="Times New Roman"/>
                <w:szCs w:val="24"/>
              </w:rPr>
              <w:t>Complementary pharmacological potential and research opportunity</w:t>
            </w:r>
          </w:p>
        </w:tc>
      </w:tr>
    </w:tbl>
    <w:p w14:paraId="328BCAA1"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 xml:space="preserve">Source: Synthesized from </w:t>
      </w:r>
      <w:proofErr w:type="spellStart"/>
      <w:r w:rsidRPr="00930EAE">
        <w:rPr>
          <w:rFonts w:cs="Times New Roman"/>
          <w:sz w:val="24"/>
          <w:szCs w:val="24"/>
        </w:rPr>
        <w:t>Akbik</w:t>
      </w:r>
      <w:proofErr w:type="spellEnd"/>
      <w:r w:rsidRPr="00930EAE">
        <w:rPr>
          <w:rFonts w:cs="Times New Roman"/>
          <w:sz w:val="24"/>
          <w:szCs w:val="24"/>
        </w:rPr>
        <w:t xml:space="preserve"> et al. (2014), Anand et al. (2007), Sarup et al. (2015), Shen et al. (2012), Shishodia et al. (2004), and Yang et al. (2024).</w:t>
      </w:r>
    </w:p>
    <w:p w14:paraId="37E93DFB"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2.18 Phytochemical Standardization of Herbal Materials</w:t>
      </w:r>
    </w:p>
    <w:p w14:paraId="09FBA891" w14:textId="77777777" w:rsidR="002F3004" w:rsidRPr="00930EAE" w:rsidRDefault="002F3004" w:rsidP="00C17A09">
      <w:pPr>
        <w:jc w:val="both"/>
        <w:rPr>
          <w:rFonts w:cs="Times New Roman"/>
          <w:szCs w:val="24"/>
        </w:rPr>
      </w:pPr>
      <w:r w:rsidRPr="00930EAE">
        <w:rPr>
          <w:rFonts w:cs="Times New Roman"/>
          <w:szCs w:val="24"/>
        </w:rPr>
        <w:t xml:space="preserve">Botanical composition varies with identity, geography, cultivation, harvest, processing, storage and extraction. Standardization should integrate botanical authentication, marker quantification, chromatographic fingerprinting and batch controls. Curcuminoids may serve as turmeric markers and </w:t>
      </w:r>
      <w:proofErr w:type="spellStart"/>
      <w:r w:rsidRPr="00930EAE">
        <w:rPr>
          <w:rFonts w:cs="Times New Roman"/>
          <w:szCs w:val="24"/>
        </w:rPr>
        <w:t>guggulsterones</w:t>
      </w:r>
      <w:proofErr w:type="spellEnd"/>
      <w:r w:rsidRPr="00930EAE">
        <w:rPr>
          <w:rFonts w:cs="Times New Roman"/>
          <w:szCs w:val="24"/>
        </w:rPr>
        <w:t xml:space="preserve"> as important guggul markers (Kunle et al., 2012; Jia et al., 2017). Standardization is essential because the biological reproducibility of an herbal formulation depends on the consistency of the material entering the formulation process. Authentication should establish the correct botanical identity and plant material, while quantitative markers provide a measurable basis for batch comparison. Chromatographic fingerprinting can complement single-marker assays by demonstrating the broader chemical pattern of the extract. For turmeric, curcuminoid content is a logical analytical focus, whereas </w:t>
      </w:r>
      <w:proofErr w:type="spellStart"/>
      <w:r w:rsidRPr="00930EAE">
        <w:rPr>
          <w:rFonts w:cs="Times New Roman"/>
          <w:szCs w:val="24"/>
        </w:rPr>
        <w:t>guggulsterones</w:t>
      </w:r>
      <w:proofErr w:type="spellEnd"/>
      <w:r w:rsidRPr="00930EAE">
        <w:rPr>
          <w:rFonts w:cs="Times New Roman"/>
          <w:szCs w:val="24"/>
        </w:rPr>
        <w:t xml:space="preserve"> provide useful markers for guggul; however, marker selection should reflect the actual specification and intended use of the extract. Standardization should continue through formulation, because dilution, pH adjustment, processing and storage can change measurable content or chromatographic profiles. A complete quality strategy can therefore be viewed as a chain extending from raw material authentication to extract release, finished-product testing and stability monitoring. This approach is particularly important for research intended to support later scale-up because it reduces uncertainty about whether a change in biological response reflects formulation variables or simply variability in botanical composition (Kunle et al., 2012; Jia et al., 2017).</w:t>
      </w:r>
    </w:p>
    <w:p w14:paraId="167E891C"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2.19 Extraction and Processing of Herbal Materials</w:t>
      </w:r>
    </w:p>
    <w:p w14:paraId="0F5EC720" w14:textId="77777777" w:rsidR="002F3004" w:rsidRPr="00930EAE" w:rsidRDefault="002F3004" w:rsidP="00C17A09">
      <w:pPr>
        <w:jc w:val="both"/>
        <w:rPr>
          <w:rFonts w:cs="Times New Roman"/>
          <w:szCs w:val="24"/>
        </w:rPr>
      </w:pPr>
      <w:r w:rsidRPr="00930EAE">
        <w:rPr>
          <w:rFonts w:cs="Times New Roman"/>
          <w:szCs w:val="24"/>
        </w:rPr>
        <w:t xml:space="preserve">Solvent polarity, temperature, time, particle size, solvent-to-drug ratio and extraction method influence extract yield and phytochemical composition. High extraction yield does not necessarily indicate superior therapeutic value. Reproducible phytochemical profiles should therefore be treated </w:t>
      </w:r>
      <w:r w:rsidRPr="00930EAE">
        <w:rPr>
          <w:rFonts w:cs="Times New Roman"/>
          <w:szCs w:val="24"/>
        </w:rPr>
        <w:lastRenderedPageBreak/>
        <w:t>as critical quality objectives. Extraction is not merely a preliminary manufacturing step; it is a determinant of the chemical composition and subsequent performance of the botanical ingredient. Solvent polarity influences which constituents are preferentially extracted, while temperature and time can increase recovery but may also accelerate degradation of sensitive compounds. Particle size affects surface area and mass transfer, and the solvent-to-drug ratio influences the concentration gradient driving extraction. The extraction method can therefore alter both yield and qualitative composition. Importantly, maximizing total extract yield may enrich compounds that are not the desired markers or may increase unwanted components. A rational process should instead define target quality attributes, such as marker concentration, fingerprint consistency and acceptable residual impurities, and then select extraction conditions that reproducibly achieve those targets. Process parameters should be recorded sufficiently to support batch comparison. When the two botanical extracts are eventually incorporated into a foam, their residual solvents, moisture content and physical form may also influence excipient compatibility and foam behavior. Thus, extraction and formulation should be considered as linked stages of a single quality-controlled development process (Kunle et al., 2012).</w:t>
      </w:r>
    </w:p>
    <w:p w14:paraId="4209C2D5"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2.20 Quality Control of Herbal Materials</w:t>
      </w:r>
    </w:p>
    <w:p w14:paraId="0B8445AA" w14:textId="77777777" w:rsidR="002F3004" w:rsidRPr="00930EAE" w:rsidRDefault="002F3004" w:rsidP="00C17A09">
      <w:pPr>
        <w:jc w:val="both"/>
        <w:rPr>
          <w:rFonts w:cs="Times New Roman"/>
          <w:szCs w:val="24"/>
        </w:rPr>
      </w:pPr>
      <w:r w:rsidRPr="00930EAE">
        <w:rPr>
          <w:rFonts w:cs="Times New Roman"/>
          <w:szCs w:val="24"/>
        </w:rPr>
        <w:t xml:space="preserve">Quality control includes botanical identification, macroscopic and microscopic examination, moisture, ash values, extractive values, foreign matter and chromatographic analysis using TLC/HPTLC, HPLC/UHPLC or LC–MS as appropriate. WHO guidance emphasizes quality control and good agricultural and collection practices for medicinal plants. Quality control of herbal materials requires a combination of identity, purity and quantitative approaches because no single test can adequately characterize a complex botanical. Macroscopic and microscopic examination can support identity, while moisture, ash and extractive values provide useful general quality information. Chromatographic techniques such as TLC, HPTLC and HPLC or related methods can provide more specific evidence of chemical consistency. For a research-grade formulation, marker assays should be accompanied by predefined acceptance criteria and documented analytical procedures. Where feasible, reference standards should be used to establish calibration and assay performance. Microbial quality and the presence of foreign material are also important because contamination can compromise both safety and interpretation of biological testing. The final specifications should be appropriate to the intended material rather than copied without consideration from unrelated botanical products. By establishing quality before formulation, the researcher can reduce one major source of </w:t>
      </w:r>
      <w:r w:rsidRPr="00930EAE">
        <w:rPr>
          <w:rFonts w:cs="Times New Roman"/>
          <w:szCs w:val="24"/>
        </w:rPr>
        <w:lastRenderedPageBreak/>
        <w:t xml:space="preserve">experimental variability. This is particularly valuable for a </w:t>
      </w:r>
      <w:proofErr w:type="spellStart"/>
      <w:r w:rsidRPr="00930EAE">
        <w:rPr>
          <w:rFonts w:cs="Times New Roman"/>
          <w:szCs w:val="24"/>
        </w:rPr>
        <w:t>QbD</w:t>
      </w:r>
      <w:proofErr w:type="spellEnd"/>
      <w:r w:rsidRPr="00930EAE">
        <w:rPr>
          <w:rFonts w:cs="Times New Roman"/>
          <w:szCs w:val="24"/>
        </w:rPr>
        <w:t>-based development program because reliable input materials are necessary to identify the true effects of formulation and process variables (Kunle et al., 2012).</w:t>
      </w:r>
    </w:p>
    <w:p w14:paraId="6C714DE4"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2.21 Topical Drug Delivery</w:t>
      </w:r>
    </w:p>
    <w:p w14:paraId="51C61A70" w14:textId="77777777" w:rsidR="002F3004" w:rsidRPr="00930EAE" w:rsidRDefault="002F3004" w:rsidP="00C17A09">
      <w:pPr>
        <w:jc w:val="both"/>
        <w:rPr>
          <w:rFonts w:cs="Times New Roman"/>
          <w:szCs w:val="24"/>
        </w:rPr>
      </w:pPr>
      <w:r w:rsidRPr="00930EAE">
        <w:rPr>
          <w:rFonts w:cs="Times New Roman"/>
          <w:szCs w:val="24"/>
        </w:rPr>
        <w:t>Topical delivery places active materials at or near the intended site and may reduce dependence on systemic absorption. The stratum corneum is a major barrier; transport depends on molecular size, lipophilicity, ionization, hydration and vehicle composition (</w:t>
      </w:r>
      <w:proofErr w:type="spellStart"/>
      <w:r w:rsidRPr="00930EAE">
        <w:rPr>
          <w:rFonts w:cs="Times New Roman"/>
          <w:szCs w:val="24"/>
        </w:rPr>
        <w:t>Prausnitz</w:t>
      </w:r>
      <w:proofErr w:type="spellEnd"/>
      <w:r w:rsidRPr="00930EAE">
        <w:rPr>
          <w:rFonts w:cs="Times New Roman"/>
          <w:szCs w:val="24"/>
        </w:rPr>
        <w:t xml:space="preserve"> et al., 2004; </w:t>
      </w:r>
      <w:proofErr w:type="spellStart"/>
      <w:r w:rsidRPr="00930EAE">
        <w:rPr>
          <w:rFonts w:cs="Times New Roman"/>
          <w:szCs w:val="24"/>
        </w:rPr>
        <w:t>Prausnitz</w:t>
      </w:r>
      <w:proofErr w:type="spellEnd"/>
      <w:r w:rsidRPr="00930EAE">
        <w:rPr>
          <w:rFonts w:cs="Times New Roman"/>
          <w:szCs w:val="24"/>
        </w:rPr>
        <w:t xml:space="preserve"> et al., 2008). For wounds, local deposition may be more important than deep transdermal delivery. Topical delivery offers the advantage of placing the formulation directly at the intended site, but the nature of the barrier changes when tissue is wounded. In intact skin, the stratum corneum is a major determinant of penetration and favors molecules with suitable physicochemical properties. Wounded tissue may have a disrupted barrier, </w:t>
      </w:r>
      <w:proofErr w:type="gramStart"/>
      <w:r w:rsidRPr="00930EAE">
        <w:rPr>
          <w:rFonts w:cs="Times New Roman"/>
          <w:szCs w:val="24"/>
        </w:rPr>
        <w:t>exposed</w:t>
      </w:r>
      <w:proofErr w:type="gramEnd"/>
      <w:r w:rsidRPr="00930EAE">
        <w:rPr>
          <w:rFonts w:cs="Times New Roman"/>
          <w:szCs w:val="24"/>
        </w:rPr>
        <w:t xml:space="preserve"> extracellular matrix and altered hydration, meaning that local deposition can become more important than conventional transdermal delivery. A formulation intended for wounds should therefore be designed around the desired site and duration of exposure rather than maximizing systemic permeation. Vehicle composition can alter partitioning, hydration and diffusion, while viscosity and microstructure influence residence and release. For botanical products, the situation is further complicated by the presence of multiple constituents with different molecular properties. Ex-vivo studies can help compare formulations under controlled conditions, but their results should be interpreted with awareness of model limitations. Overall, topical delivery provides a practical route for localized botanical exposure, provided that formulation performance, tissue compatibility and chemical stability are optimized together (</w:t>
      </w:r>
      <w:proofErr w:type="spellStart"/>
      <w:r w:rsidRPr="00930EAE">
        <w:rPr>
          <w:rFonts w:cs="Times New Roman"/>
          <w:szCs w:val="24"/>
        </w:rPr>
        <w:t>Prausnitz</w:t>
      </w:r>
      <w:proofErr w:type="spellEnd"/>
      <w:r w:rsidRPr="00930EAE">
        <w:rPr>
          <w:rFonts w:cs="Times New Roman"/>
          <w:szCs w:val="24"/>
        </w:rPr>
        <w:t xml:space="preserve"> et al., 2004; </w:t>
      </w:r>
      <w:proofErr w:type="spellStart"/>
      <w:r w:rsidRPr="00930EAE">
        <w:rPr>
          <w:rFonts w:cs="Times New Roman"/>
          <w:szCs w:val="24"/>
        </w:rPr>
        <w:t>Prausnitz</w:t>
      </w:r>
      <w:proofErr w:type="spellEnd"/>
      <w:r w:rsidRPr="00930EAE">
        <w:rPr>
          <w:rFonts w:cs="Times New Roman"/>
          <w:szCs w:val="24"/>
        </w:rPr>
        <w:t xml:space="preserve"> et al., 2008).</w:t>
      </w:r>
    </w:p>
    <w:p w14:paraId="37F12935"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2.22 Topical Semisolid Systems</w:t>
      </w:r>
    </w:p>
    <w:p w14:paraId="39C6AD06" w14:textId="77777777" w:rsidR="002F3004" w:rsidRPr="00930EAE" w:rsidRDefault="002F3004" w:rsidP="00C17A09">
      <w:pPr>
        <w:jc w:val="both"/>
        <w:rPr>
          <w:rFonts w:cs="Times New Roman"/>
          <w:szCs w:val="24"/>
        </w:rPr>
      </w:pPr>
      <w:r w:rsidRPr="00930EAE">
        <w:rPr>
          <w:rFonts w:cs="Times New Roman"/>
          <w:szCs w:val="24"/>
        </w:rPr>
        <w:t xml:space="preserve">Creams, ointments, gels, pastes, lotions and foams differ in release, residence time, rheology, sensory characteristics and stability. Ointments may be prolonged-contact but greasy; creams may be cosmetically acceptable but structurally complex; gels may be limited for poorly soluble compounds. Foams provide a low-density alternative (Herbig et al., 2023). Topical semisolid systems differ substantially in their internal structure and consequently in their application and release behavior. Ointments generally provide prolonged contact but may be greasy, creams contain more complex dispersed phases, gels often provide a lighter sensory profile but may require strategies for poorly </w:t>
      </w:r>
      <w:r w:rsidRPr="00930EAE">
        <w:rPr>
          <w:rFonts w:cs="Times New Roman"/>
          <w:szCs w:val="24"/>
        </w:rPr>
        <w:lastRenderedPageBreak/>
        <w:t>soluble compounds, and foams offer a low-density structure that can spread rapidly across a surface. The choice of dosage form should therefore be based on the properties of the active material and the requirements of the target wound rather than on convenience alone. For herbal extracts, the vehicle must accommodate chemical complexity while maintaining acceptable appearance, homogeneity and stability. Rheological properties are especially important because they influence both dispensing and retention. A formulation that is too viscous may be difficult to dispense or spread, whereas one that is too fluid may drain from the application site. Foams introduce additional variables related to gas dispersion and collapse, creating a distinct balance between initial expansion and post-application spreading. These considerations justify systematic comparison and optimization rather than relying on trial-and-error formulation development (Herbig et al., 2023).</w:t>
      </w:r>
    </w:p>
    <w:p w14:paraId="15E87FB2"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2.23 Pharmaceutical Foams</w:t>
      </w:r>
    </w:p>
    <w:p w14:paraId="13779234" w14:textId="77777777" w:rsidR="002F3004" w:rsidRPr="00930EAE" w:rsidRDefault="002F3004" w:rsidP="00C17A09">
      <w:pPr>
        <w:jc w:val="both"/>
        <w:rPr>
          <w:rFonts w:cs="Times New Roman"/>
          <w:szCs w:val="24"/>
        </w:rPr>
      </w:pPr>
      <w:r w:rsidRPr="00930EAE">
        <w:rPr>
          <w:rFonts w:cs="Times New Roman"/>
          <w:szCs w:val="24"/>
        </w:rPr>
        <w:t xml:space="preserve">Pharmaceutical foams are multiphase systems in which gas is dispersed within a liquid or semisolid phase. Surfactants stabilize gas–liquid interfaces and polymers can modify viscosity and persistence. Bubble size, density, drainage, coalescence, collapse, </w:t>
      </w:r>
      <w:proofErr w:type="spellStart"/>
      <w:r w:rsidRPr="00930EAE">
        <w:rPr>
          <w:rFonts w:cs="Times New Roman"/>
          <w:szCs w:val="24"/>
        </w:rPr>
        <w:t>spreadability</w:t>
      </w:r>
      <w:proofErr w:type="spellEnd"/>
      <w:r w:rsidRPr="00930EAE">
        <w:rPr>
          <w:rFonts w:cs="Times New Roman"/>
          <w:szCs w:val="24"/>
        </w:rPr>
        <w:t xml:space="preserve"> and stability are key performance characteristics (</w:t>
      </w:r>
      <w:proofErr w:type="spellStart"/>
      <w:r w:rsidRPr="00930EAE">
        <w:rPr>
          <w:rFonts w:cs="Times New Roman"/>
          <w:szCs w:val="24"/>
        </w:rPr>
        <w:t>Arzhavitina</w:t>
      </w:r>
      <w:proofErr w:type="spellEnd"/>
      <w:r w:rsidRPr="00930EAE">
        <w:rPr>
          <w:rFonts w:cs="Times New Roman"/>
          <w:szCs w:val="24"/>
        </w:rPr>
        <w:t xml:space="preserve"> et al., 2010; Parsa et al., 2019). Pharmaceutical foams are structured systems in which gas is dispersed throughout a continuous liquid or semisolid phase. Their properties are governed by interfacial phenomena, viscosity and the ability of the formulation to generate and stabilize bubbles. Surfactants reduce interfacial tension and help form a stable film around bubbles, while polymers can increase the viscosity of the continuous phase and slow drainage. The resulting microstructure influences density, expansion, collapse time, </w:t>
      </w:r>
      <w:proofErr w:type="spellStart"/>
      <w:r w:rsidRPr="00930EAE">
        <w:rPr>
          <w:rFonts w:cs="Times New Roman"/>
          <w:szCs w:val="24"/>
        </w:rPr>
        <w:t>spreadability</w:t>
      </w:r>
      <w:proofErr w:type="spellEnd"/>
      <w:r w:rsidRPr="00930EAE">
        <w:rPr>
          <w:rFonts w:cs="Times New Roman"/>
          <w:szCs w:val="24"/>
        </w:rPr>
        <w:t xml:space="preserve"> and release. For a topical botanical product, the foam must also maintain a reasonably uniform distribution of the extract so that each application delivers a consistent amount of material. Measurement of foam height or expansion alone is therefore insufficient. Density, drainage, bubble stability, viscosity and marker content should be considered as a group. The literature indicates that foam performance is sensitive to formulation composition and processing conditions, making controlled experimental design important. In addition, the final container or dispensing device can influence the foam produced, so product performance should ultimately be evaluated using the intended delivery system rather than only a laboratory mixing procedure (</w:t>
      </w:r>
      <w:proofErr w:type="spellStart"/>
      <w:r w:rsidRPr="00930EAE">
        <w:rPr>
          <w:rFonts w:cs="Times New Roman"/>
          <w:szCs w:val="24"/>
        </w:rPr>
        <w:t>Arzhavitina</w:t>
      </w:r>
      <w:proofErr w:type="spellEnd"/>
      <w:r w:rsidRPr="00930EAE">
        <w:rPr>
          <w:rFonts w:cs="Times New Roman"/>
          <w:szCs w:val="24"/>
        </w:rPr>
        <w:t xml:space="preserve"> et al., 2010; Parsa et al., 2019).</w:t>
      </w:r>
    </w:p>
    <w:p w14:paraId="6D3093C1"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lastRenderedPageBreak/>
        <w:t>2.24 Foam Stability and Rheological Considerations</w:t>
      </w:r>
    </w:p>
    <w:p w14:paraId="7BA13C29" w14:textId="77777777" w:rsidR="002F3004" w:rsidRPr="00930EAE" w:rsidRDefault="002F3004" w:rsidP="00C17A09">
      <w:pPr>
        <w:jc w:val="both"/>
        <w:rPr>
          <w:rFonts w:cs="Times New Roman"/>
          <w:szCs w:val="24"/>
        </w:rPr>
      </w:pPr>
      <w:r w:rsidRPr="00930EAE">
        <w:rPr>
          <w:rFonts w:cs="Times New Roman"/>
          <w:szCs w:val="24"/>
        </w:rPr>
        <w:t xml:space="preserve">Foam stability is governed by drainage, bubble coalescence, disproportionation and interfacial film rupture. Surfactant and polymer concentrations influence these processes. Rheology must balance </w:t>
      </w:r>
      <w:proofErr w:type="spellStart"/>
      <w:r w:rsidRPr="00930EAE">
        <w:rPr>
          <w:rFonts w:cs="Times New Roman"/>
          <w:szCs w:val="24"/>
        </w:rPr>
        <w:t>spreadability</w:t>
      </w:r>
      <w:proofErr w:type="spellEnd"/>
      <w:r w:rsidRPr="00930EAE">
        <w:rPr>
          <w:rFonts w:cs="Times New Roman"/>
          <w:szCs w:val="24"/>
        </w:rPr>
        <w:t xml:space="preserve"> with adequate residence and drainage resistance (</w:t>
      </w:r>
      <w:proofErr w:type="spellStart"/>
      <w:r w:rsidRPr="00930EAE">
        <w:rPr>
          <w:rFonts w:cs="Times New Roman"/>
          <w:szCs w:val="24"/>
        </w:rPr>
        <w:t>Bureiko</w:t>
      </w:r>
      <w:proofErr w:type="spellEnd"/>
      <w:r w:rsidRPr="00930EAE">
        <w:rPr>
          <w:rFonts w:cs="Times New Roman"/>
          <w:szCs w:val="24"/>
        </w:rPr>
        <w:t xml:space="preserve"> et al., 2015). Foam stability is a dynamic property arising from several processes that occur simultaneously after foam generation. Liquid drains from the inter-bubble films under gravity, bubbles can merge through film rupture, and gas can redistribute between bubbles of different sizes. These changes may lead to collapse or loss of the original structure. Surfactant composition influences interfacial elasticity and film stability, whereas polymers can modify the rate of liquid drainage through changes in viscosity. Rheology therefore has a direct connection with both handling and physical stability. The formulation should be sufficiently fluid to dispense and spread but sufficiently structured to remain at the application site for an appropriate period. Measurement should include viscosity under defined conditions, foam height or expansion, drainage over time and persistence or collapse characteristics. Because herbal extracts can themselves alter surface tension and viscosity, their concentration should be included among the critical formulation variables. A balanced evaluation of these properties can identify whether an apparently stable foam is also practically usable. This is especially relevant to a non-propellant system, where mechanical foam generation may produce a different bubble structure from conventional aerosol products (</w:t>
      </w:r>
      <w:proofErr w:type="spellStart"/>
      <w:r w:rsidRPr="00930EAE">
        <w:rPr>
          <w:rFonts w:cs="Times New Roman"/>
          <w:szCs w:val="24"/>
        </w:rPr>
        <w:t>Bureiko</w:t>
      </w:r>
      <w:proofErr w:type="spellEnd"/>
      <w:r w:rsidRPr="00930EAE">
        <w:rPr>
          <w:rFonts w:cs="Times New Roman"/>
          <w:szCs w:val="24"/>
        </w:rPr>
        <w:t xml:space="preserve"> et al., 2015).</w:t>
      </w:r>
    </w:p>
    <w:p w14:paraId="738DE435"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2.25 Non-Propellant Foam Systems</w:t>
      </w:r>
    </w:p>
    <w:p w14:paraId="2578B413" w14:textId="77777777" w:rsidR="002F3004" w:rsidRPr="00930EAE" w:rsidRDefault="002F3004" w:rsidP="00C17A09">
      <w:pPr>
        <w:jc w:val="both"/>
        <w:rPr>
          <w:rFonts w:cs="Times New Roman"/>
          <w:szCs w:val="24"/>
        </w:rPr>
      </w:pPr>
      <w:r w:rsidRPr="00930EAE">
        <w:rPr>
          <w:rFonts w:cs="Times New Roman"/>
          <w:szCs w:val="24"/>
        </w:rPr>
        <w:t>Non-propellant systems generate foam through mechanical or other physical mechanisms rather than conventional aerosol propellants. They may provide formulation flexibility and alternative device design. Recent literature highlights growing interest in propellant-free pharmaceutical foams (</w:t>
      </w:r>
      <w:proofErr w:type="spellStart"/>
      <w:r w:rsidRPr="00930EAE">
        <w:rPr>
          <w:rFonts w:cs="Times New Roman"/>
          <w:szCs w:val="24"/>
        </w:rPr>
        <w:t>Hajirasouliha</w:t>
      </w:r>
      <w:proofErr w:type="spellEnd"/>
      <w:r w:rsidRPr="00930EAE">
        <w:rPr>
          <w:rFonts w:cs="Times New Roman"/>
          <w:szCs w:val="24"/>
        </w:rPr>
        <w:t xml:space="preserve"> &amp; McAuley, 2025). Non-propellant foam systems avoid reliance on conventional compressed-gas or liquefied-gas aerosol propellants and may therefore permit alternative container and dispensing designs. Mechanical generation can create foam through the interaction of the liquid formulation with air during pumping, while other device configurations can produce different levels of aeration. The absence of a conventional propellant does not eliminate the need for careful formulation design; rather, it shifts attention toward surfactant balance, viscosity, pump characteristics and reproducible foam generation. Device–formulation interaction becomes particularly important because the same liquid may produce different foam properties when delivered through different dispensing mechanisms. For </w:t>
      </w:r>
      <w:proofErr w:type="gramStart"/>
      <w:r w:rsidRPr="00930EAE">
        <w:rPr>
          <w:rFonts w:cs="Times New Roman"/>
          <w:szCs w:val="24"/>
        </w:rPr>
        <w:t>a</w:t>
      </w:r>
      <w:proofErr w:type="gramEnd"/>
      <w:r w:rsidRPr="00930EAE">
        <w:rPr>
          <w:rFonts w:cs="Times New Roman"/>
          <w:szCs w:val="24"/>
        </w:rPr>
        <w:t xml:space="preserve"> herbal formulation, this can affect application dose, </w:t>
      </w:r>
      <w:r w:rsidRPr="00930EAE">
        <w:rPr>
          <w:rFonts w:cs="Times New Roman"/>
          <w:szCs w:val="24"/>
        </w:rPr>
        <w:lastRenderedPageBreak/>
        <w:t>expansion, bubble size and release behavior. The development process should consequently define the intended dispensing device early enough that formulation optimization is relevant to the final product. Recent interest in propellant-free pharmaceutical foams supports investigation of these systems as a practical alternative, but product-specific evidence remains necessary to establish performance for a standardized turmeric–guggul preparation (</w:t>
      </w:r>
      <w:proofErr w:type="spellStart"/>
      <w:r w:rsidRPr="00930EAE">
        <w:rPr>
          <w:rFonts w:cs="Times New Roman"/>
          <w:szCs w:val="24"/>
        </w:rPr>
        <w:t>Hajirasouliha</w:t>
      </w:r>
      <w:proofErr w:type="spellEnd"/>
      <w:r w:rsidRPr="00930EAE">
        <w:rPr>
          <w:rFonts w:cs="Times New Roman"/>
          <w:szCs w:val="24"/>
        </w:rPr>
        <w:t xml:space="preserve"> et al., 2025).</w:t>
      </w:r>
    </w:p>
    <w:p w14:paraId="22A10942"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2.26 Advantages of Foam as a Wound-Delivery System</w:t>
      </w:r>
    </w:p>
    <w:p w14:paraId="16ECDFFA" w14:textId="77777777" w:rsidR="002F3004" w:rsidRPr="00930EAE" w:rsidRDefault="002F3004" w:rsidP="00C17A09">
      <w:pPr>
        <w:jc w:val="both"/>
        <w:rPr>
          <w:rFonts w:cs="Times New Roman"/>
          <w:szCs w:val="24"/>
        </w:rPr>
      </w:pPr>
      <w:r w:rsidRPr="00930EAE">
        <w:rPr>
          <w:rFonts w:cs="Times New Roman"/>
          <w:szCs w:val="24"/>
        </w:rPr>
        <w:t xml:space="preserve">Foam can distribute over broad or irregular surfaces and may improve convenience compared with greasy semisolids. Its low-density structure can support large-area coverage, while collapse after application can distribute therapeutic material across the wound surface. A wound-delivery foam can provide several practical advantages when compared with dense semisolid preparations. The low-density structure can expand over a relatively large surface and may improve coverage of irregular areas. During application, the foam can collapse and distribute the continuous phase across the tissue, potentially improving contact without requiring vigorous rubbing. This may be useful when the wound surface is sensitive or when mechanical manipulation should be minimized. Foam can also provide a different sensory profile from an ointment, although acceptability ultimately depends on the specific formulation and device. From a pharmaceutical perspective, these benefits must be demonstrated rather than assumed. The product should show reproducible dispensing, adequate </w:t>
      </w:r>
      <w:proofErr w:type="spellStart"/>
      <w:r w:rsidRPr="00930EAE">
        <w:rPr>
          <w:rFonts w:cs="Times New Roman"/>
          <w:szCs w:val="24"/>
        </w:rPr>
        <w:t>spreadability</w:t>
      </w:r>
      <w:proofErr w:type="spellEnd"/>
      <w:r w:rsidRPr="00930EAE">
        <w:rPr>
          <w:rFonts w:cs="Times New Roman"/>
          <w:szCs w:val="24"/>
        </w:rPr>
        <w:t>, controlled drainage and acceptable residence at the intended site. Marker uniformity is particularly important for herbal foams because visual uniformity does not necessarily guarantee chemical uniformity. The potential advantages therefore lie in the combination of application convenience and local delivery, while the development challenge is to ensure that the foam structure remains compatible with chemical stability and biological performance. These requirements support an integrated evaluation rather than a single measure of foam quality.</w:t>
      </w:r>
    </w:p>
    <w:p w14:paraId="185939BD"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2.27 Formulation Variables Relevant to Non-Propellant Foam</w:t>
      </w:r>
    </w:p>
    <w:p w14:paraId="3208B8D0" w14:textId="77777777" w:rsidR="002F3004" w:rsidRPr="00930EAE" w:rsidRDefault="002F3004" w:rsidP="00C17A09">
      <w:pPr>
        <w:jc w:val="both"/>
        <w:rPr>
          <w:rFonts w:cs="Times New Roman"/>
          <w:szCs w:val="24"/>
        </w:rPr>
      </w:pPr>
      <w:r w:rsidRPr="00930EAE">
        <w:rPr>
          <w:rFonts w:cs="Times New Roman"/>
          <w:szCs w:val="24"/>
        </w:rPr>
        <w:t xml:space="preserve">Important variables include extract concentration, surfactant type/concentration, polymer, co-solvent, humectant, pH, phase composition, mixing conditions and stabilizers. Responses include foamability, expansion, density, stability, drainage, viscosity, </w:t>
      </w:r>
      <w:proofErr w:type="spellStart"/>
      <w:r w:rsidRPr="00930EAE">
        <w:rPr>
          <w:rFonts w:cs="Times New Roman"/>
          <w:szCs w:val="24"/>
        </w:rPr>
        <w:t>spreadability</w:t>
      </w:r>
      <w:proofErr w:type="spellEnd"/>
      <w:r w:rsidRPr="00930EAE">
        <w:rPr>
          <w:rFonts w:cs="Times New Roman"/>
          <w:szCs w:val="24"/>
        </w:rPr>
        <w:t xml:space="preserve">, marker content, release, permeation and biological activity. Interactions make systematic optimization necessary. The formulation variables identified for a non-propellant herbal foam are interdependent. Increasing extract concentration may increase marker content and biological activity but can also change color, </w:t>
      </w:r>
      <w:r w:rsidRPr="00930EAE">
        <w:rPr>
          <w:rFonts w:cs="Times New Roman"/>
          <w:szCs w:val="24"/>
        </w:rPr>
        <w:lastRenderedPageBreak/>
        <w:t>viscosity, odor and foam structure. Surfactant concentration affects foam generation and interfacial stability, while polymer concentration influences viscosity and drainage. Co-solvents can improve solubilization but may change evaporation, skin compatibility or foam behavior, and humectants can modify hydration and sensory properties. pH can affect chemical stability and the ionization or partitioning of some constituents. Processing conditions, including mixing intensity and sequence of addition, may alter bubble size and uniformity even when the nominal composition is unchanged. These interactions make one-factor-at-a-time experimentation inefficient for optimization. A structured experimental design can identify both main effects and interactions and can establish a region where several quality attributes are simultaneously acceptable. The selected responses should include not only physical characteristics but also marker content, release and, where feasible, biological performance. This converts formulation development from empirical trial-and-error into a reproducible development strategy suitable for a multi-component botanical product (Fukuda et al., 2018).</w:t>
      </w:r>
    </w:p>
    <w:p w14:paraId="13A6E366"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Table 2.3. Important formulation variables and expected influence on topical foam performance</w:t>
      </w:r>
    </w:p>
    <w:tbl>
      <w:tblPr>
        <w:tblStyle w:val="TableGrid"/>
        <w:tblW w:w="0" w:type="auto"/>
        <w:jc w:val="center"/>
        <w:tblLook w:val="04A0" w:firstRow="1" w:lastRow="0" w:firstColumn="1" w:lastColumn="0" w:noHBand="0" w:noVBand="1"/>
      </w:tblPr>
      <w:tblGrid>
        <w:gridCol w:w="4819"/>
        <w:gridCol w:w="4819"/>
      </w:tblGrid>
      <w:tr w:rsidR="002F3004" w:rsidRPr="00930EAE" w14:paraId="6D2616D5" w14:textId="77777777" w:rsidTr="00E239B7">
        <w:trPr>
          <w:jc w:val="center"/>
        </w:trPr>
        <w:tc>
          <w:tcPr>
            <w:tcW w:w="4824" w:type="dxa"/>
            <w:shd w:val="clear" w:color="auto" w:fill="D9E2F3"/>
            <w:vAlign w:val="center"/>
          </w:tcPr>
          <w:p w14:paraId="046E7FBF" w14:textId="77777777" w:rsidR="002F3004" w:rsidRPr="00930EAE" w:rsidRDefault="002F3004" w:rsidP="00C17A09">
            <w:pPr>
              <w:spacing w:after="0"/>
              <w:jc w:val="both"/>
              <w:rPr>
                <w:rFonts w:cs="Times New Roman"/>
                <w:szCs w:val="24"/>
              </w:rPr>
            </w:pPr>
            <w:r w:rsidRPr="00930EAE">
              <w:rPr>
                <w:rFonts w:cs="Times New Roman"/>
                <w:b/>
                <w:szCs w:val="24"/>
              </w:rPr>
              <w:t>Formulation variable</w:t>
            </w:r>
          </w:p>
        </w:tc>
        <w:tc>
          <w:tcPr>
            <w:tcW w:w="4824" w:type="dxa"/>
            <w:shd w:val="clear" w:color="auto" w:fill="D9E2F3"/>
            <w:vAlign w:val="center"/>
          </w:tcPr>
          <w:p w14:paraId="1E278500" w14:textId="77777777" w:rsidR="002F3004" w:rsidRPr="00930EAE" w:rsidRDefault="002F3004" w:rsidP="00C17A09">
            <w:pPr>
              <w:spacing w:after="0"/>
              <w:jc w:val="both"/>
              <w:rPr>
                <w:rFonts w:cs="Times New Roman"/>
                <w:szCs w:val="24"/>
              </w:rPr>
            </w:pPr>
            <w:r w:rsidRPr="00930EAE">
              <w:rPr>
                <w:rFonts w:cs="Times New Roman"/>
                <w:b/>
                <w:szCs w:val="24"/>
              </w:rPr>
              <w:t>Potential effect on formulation</w:t>
            </w:r>
          </w:p>
        </w:tc>
      </w:tr>
      <w:tr w:rsidR="002F3004" w:rsidRPr="00930EAE" w14:paraId="3C044388" w14:textId="77777777" w:rsidTr="00E239B7">
        <w:trPr>
          <w:jc w:val="center"/>
        </w:trPr>
        <w:tc>
          <w:tcPr>
            <w:tcW w:w="4824" w:type="dxa"/>
            <w:vAlign w:val="center"/>
          </w:tcPr>
          <w:p w14:paraId="6946CE4E" w14:textId="77777777" w:rsidR="002F3004" w:rsidRPr="00930EAE" w:rsidRDefault="002F3004" w:rsidP="00C17A09">
            <w:pPr>
              <w:spacing w:after="0"/>
              <w:jc w:val="both"/>
              <w:rPr>
                <w:rFonts w:cs="Times New Roman"/>
                <w:szCs w:val="24"/>
              </w:rPr>
            </w:pPr>
            <w:r w:rsidRPr="00930EAE">
              <w:rPr>
                <w:rFonts w:cs="Times New Roman"/>
                <w:szCs w:val="24"/>
              </w:rPr>
              <w:t>Herbal extract concentration</w:t>
            </w:r>
          </w:p>
        </w:tc>
        <w:tc>
          <w:tcPr>
            <w:tcW w:w="4824" w:type="dxa"/>
            <w:vAlign w:val="center"/>
          </w:tcPr>
          <w:p w14:paraId="5C6579F3" w14:textId="77777777" w:rsidR="002F3004" w:rsidRPr="00930EAE" w:rsidRDefault="002F3004" w:rsidP="00C17A09">
            <w:pPr>
              <w:spacing w:after="0"/>
              <w:jc w:val="both"/>
              <w:rPr>
                <w:rFonts w:cs="Times New Roman"/>
                <w:szCs w:val="24"/>
              </w:rPr>
            </w:pPr>
            <w:r w:rsidRPr="00930EAE">
              <w:rPr>
                <w:rFonts w:cs="Times New Roman"/>
                <w:szCs w:val="24"/>
              </w:rPr>
              <w:t>Marker content, viscosity, color, odor and biological activity</w:t>
            </w:r>
          </w:p>
        </w:tc>
      </w:tr>
      <w:tr w:rsidR="002F3004" w:rsidRPr="00930EAE" w14:paraId="150B5560" w14:textId="77777777" w:rsidTr="00E239B7">
        <w:trPr>
          <w:jc w:val="center"/>
        </w:trPr>
        <w:tc>
          <w:tcPr>
            <w:tcW w:w="4824" w:type="dxa"/>
            <w:vAlign w:val="center"/>
          </w:tcPr>
          <w:p w14:paraId="0A9F9399" w14:textId="77777777" w:rsidR="002F3004" w:rsidRPr="00930EAE" w:rsidRDefault="002F3004" w:rsidP="00C17A09">
            <w:pPr>
              <w:spacing w:after="0"/>
              <w:jc w:val="both"/>
              <w:rPr>
                <w:rFonts w:cs="Times New Roman"/>
                <w:szCs w:val="24"/>
              </w:rPr>
            </w:pPr>
            <w:r w:rsidRPr="00930EAE">
              <w:rPr>
                <w:rFonts w:cs="Times New Roman"/>
                <w:szCs w:val="24"/>
              </w:rPr>
              <w:t>Surfactant concentration</w:t>
            </w:r>
          </w:p>
        </w:tc>
        <w:tc>
          <w:tcPr>
            <w:tcW w:w="4824" w:type="dxa"/>
            <w:vAlign w:val="center"/>
          </w:tcPr>
          <w:p w14:paraId="26EE0A3C" w14:textId="77777777" w:rsidR="002F3004" w:rsidRPr="00930EAE" w:rsidRDefault="002F3004" w:rsidP="00C17A09">
            <w:pPr>
              <w:spacing w:after="0"/>
              <w:jc w:val="both"/>
              <w:rPr>
                <w:rFonts w:cs="Times New Roman"/>
                <w:szCs w:val="24"/>
              </w:rPr>
            </w:pPr>
            <w:r w:rsidRPr="00930EAE">
              <w:rPr>
                <w:rFonts w:cs="Times New Roman"/>
                <w:szCs w:val="24"/>
              </w:rPr>
              <w:t>Foam generation and interfacial stability</w:t>
            </w:r>
          </w:p>
        </w:tc>
      </w:tr>
      <w:tr w:rsidR="002F3004" w:rsidRPr="00930EAE" w14:paraId="5F7F51B8" w14:textId="77777777" w:rsidTr="00E239B7">
        <w:trPr>
          <w:jc w:val="center"/>
        </w:trPr>
        <w:tc>
          <w:tcPr>
            <w:tcW w:w="4824" w:type="dxa"/>
            <w:vAlign w:val="center"/>
          </w:tcPr>
          <w:p w14:paraId="6ED6F27A" w14:textId="77777777" w:rsidR="002F3004" w:rsidRPr="00930EAE" w:rsidRDefault="002F3004" w:rsidP="00C17A09">
            <w:pPr>
              <w:spacing w:after="0"/>
              <w:jc w:val="both"/>
              <w:rPr>
                <w:rFonts w:cs="Times New Roman"/>
                <w:szCs w:val="24"/>
              </w:rPr>
            </w:pPr>
            <w:r w:rsidRPr="00930EAE">
              <w:rPr>
                <w:rFonts w:cs="Times New Roman"/>
                <w:szCs w:val="24"/>
              </w:rPr>
              <w:t>Polymer concentration</w:t>
            </w:r>
          </w:p>
        </w:tc>
        <w:tc>
          <w:tcPr>
            <w:tcW w:w="4824" w:type="dxa"/>
            <w:vAlign w:val="center"/>
          </w:tcPr>
          <w:p w14:paraId="472131C6" w14:textId="77777777" w:rsidR="002F3004" w:rsidRPr="00930EAE" w:rsidRDefault="002F3004" w:rsidP="00C17A09">
            <w:pPr>
              <w:spacing w:after="0"/>
              <w:jc w:val="both"/>
              <w:rPr>
                <w:rFonts w:cs="Times New Roman"/>
                <w:szCs w:val="24"/>
              </w:rPr>
            </w:pPr>
            <w:r w:rsidRPr="00930EAE">
              <w:rPr>
                <w:rFonts w:cs="Times New Roman"/>
                <w:szCs w:val="24"/>
              </w:rPr>
              <w:t>Viscosity, drainage and foam persistence</w:t>
            </w:r>
          </w:p>
        </w:tc>
      </w:tr>
      <w:tr w:rsidR="002F3004" w:rsidRPr="00930EAE" w14:paraId="72865E9B" w14:textId="77777777" w:rsidTr="00E239B7">
        <w:trPr>
          <w:jc w:val="center"/>
        </w:trPr>
        <w:tc>
          <w:tcPr>
            <w:tcW w:w="4824" w:type="dxa"/>
            <w:vAlign w:val="center"/>
          </w:tcPr>
          <w:p w14:paraId="326EE30D" w14:textId="77777777" w:rsidR="002F3004" w:rsidRPr="00930EAE" w:rsidRDefault="002F3004" w:rsidP="00C17A09">
            <w:pPr>
              <w:spacing w:after="0"/>
              <w:jc w:val="both"/>
              <w:rPr>
                <w:rFonts w:cs="Times New Roman"/>
                <w:szCs w:val="24"/>
              </w:rPr>
            </w:pPr>
            <w:r w:rsidRPr="00930EAE">
              <w:rPr>
                <w:rFonts w:cs="Times New Roman"/>
                <w:szCs w:val="24"/>
              </w:rPr>
              <w:t>Co-solvent</w:t>
            </w:r>
          </w:p>
        </w:tc>
        <w:tc>
          <w:tcPr>
            <w:tcW w:w="4824" w:type="dxa"/>
            <w:vAlign w:val="center"/>
          </w:tcPr>
          <w:p w14:paraId="63093014" w14:textId="77777777" w:rsidR="002F3004" w:rsidRPr="00930EAE" w:rsidRDefault="002F3004" w:rsidP="00C17A09">
            <w:pPr>
              <w:spacing w:after="0"/>
              <w:jc w:val="both"/>
              <w:rPr>
                <w:rFonts w:cs="Times New Roman"/>
                <w:szCs w:val="24"/>
              </w:rPr>
            </w:pPr>
            <w:r w:rsidRPr="00930EAE">
              <w:rPr>
                <w:rFonts w:cs="Times New Roman"/>
                <w:szCs w:val="24"/>
              </w:rPr>
              <w:t>Solubilization of poorly water-soluble constituents</w:t>
            </w:r>
          </w:p>
        </w:tc>
      </w:tr>
      <w:tr w:rsidR="002F3004" w:rsidRPr="00930EAE" w14:paraId="33BB8B31" w14:textId="77777777" w:rsidTr="00E239B7">
        <w:trPr>
          <w:jc w:val="center"/>
        </w:trPr>
        <w:tc>
          <w:tcPr>
            <w:tcW w:w="4824" w:type="dxa"/>
            <w:vAlign w:val="center"/>
          </w:tcPr>
          <w:p w14:paraId="27E85D5E" w14:textId="77777777" w:rsidR="002F3004" w:rsidRPr="00930EAE" w:rsidRDefault="002F3004" w:rsidP="00C17A09">
            <w:pPr>
              <w:spacing w:after="0"/>
              <w:jc w:val="both"/>
              <w:rPr>
                <w:rFonts w:cs="Times New Roman"/>
                <w:szCs w:val="24"/>
              </w:rPr>
            </w:pPr>
            <w:r w:rsidRPr="00930EAE">
              <w:rPr>
                <w:rFonts w:cs="Times New Roman"/>
                <w:szCs w:val="24"/>
              </w:rPr>
              <w:t>Humectant</w:t>
            </w:r>
          </w:p>
        </w:tc>
        <w:tc>
          <w:tcPr>
            <w:tcW w:w="4824" w:type="dxa"/>
            <w:vAlign w:val="center"/>
          </w:tcPr>
          <w:p w14:paraId="185298C5" w14:textId="77777777" w:rsidR="002F3004" w:rsidRPr="00930EAE" w:rsidRDefault="002F3004" w:rsidP="00C17A09">
            <w:pPr>
              <w:spacing w:after="0"/>
              <w:jc w:val="both"/>
              <w:rPr>
                <w:rFonts w:cs="Times New Roman"/>
                <w:szCs w:val="24"/>
              </w:rPr>
            </w:pPr>
            <w:r w:rsidRPr="00930EAE">
              <w:rPr>
                <w:rFonts w:cs="Times New Roman"/>
                <w:szCs w:val="24"/>
              </w:rPr>
              <w:t>Hydration and sensory properties</w:t>
            </w:r>
          </w:p>
        </w:tc>
      </w:tr>
      <w:tr w:rsidR="002F3004" w:rsidRPr="00930EAE" w14:paraId="78415F94" w14:textId="77777777" w:rsidTr="00E239B7">
        <w:trPr>
          <w:jc w:val="center"/>
        </w:trPr>
        <w:tc>
          <w:tcPr>
            <w:tcW w:w="4824" w:type="dxa"/>
            <w:vAlign w:val="center"/>
          </w:tcPr>
          <w:p w14:paraId="3CD7B789" w14:textId="77777777" w:rsidR="002F3004" w:rsidRPr="00930EAE" w:rsidRDefault="002F3004" w:rsidP="00C17A09">
            <w:pPr>
              <w:spacing w:after="0"/>
              <w:jc w:val="both"/>
              <w:rPr>
                <w:rFonts w:cs="Times New Roman"/>
                <w:szCs w:val="24"/>
              </w:rPr>
            </w:pPr>
            <w:r w:rsidRPr="00930EAE">
              <w:rPr>
                <w:rFonts w:cs="Times New Roman"/>
                <w:szCs w:val="24"/>
              </w:rPr>
              <w:t>pH</w:t>
            </w:r>
          </w:p>
        </w:tc>
        <w:tc>
          <w:tcPr>
            <w:tcW w:w="4824" w:type="dxa"/>
            <w:vAlign w:val="center"/>
          </w:tcPr>
          <w:p w14:paraId="3AA8C95A" w14:textId="77777777" w:rsidR="002F3004" w:rsidRPr="00930EAE" w:rsidRDefault="002F3004" w:rsidP="00C17A09">
            <w:pPr>
              <w:spacing w:after="0"/>
              <w:jc w:val="both"/>
              <w:rPr>
                <w:rFonts w:cs="Times New Roman"/>
                <w:szCs w:val="24"/>
              </w:rPr>
            </w:pPr>
            <w:r w:rsidRPr="00930EAE">
              <w:rPr>
                <w:rFonts w:cs="Times New Roman"/>
                <w:szCs w:val="24"/>
              </w:rPr>
              <w:t>Chemical stability, tissue compatibility and constituent behavior</w:t>
            </w:r>
          </w:p>
        </w:tc>
      </w:tr>
      <w:tr w:rsidR="002F3004" w:rsidRPr="00930EAE" w14:paraId="4EFAF84D" w14:textId="77777777" w:rsidTr="00E239B7">
        <w:trPr>
          <w:jc w:val="center"/>
        </w:trPr>
        <w:tc>
          <w:tcPr>
            <w:tcW w:w="4824" w:type="dxa"/>
            <w:vAlign w:val="center"/>
          </w:tcPr>
          <w:p w14:paraId="7EFCA174" w14:textId="77777777" w:rsidR="002F3004" w:rsidRPr="00930EAE" w:rsidRDefault="002F3004" w:rsidP="00C17A09">
            <w:pPr>
              <w:spacing w:after="0"/>
              <w:jc w:val="both"/>
              <w:rPr>
                <w:rFonts w:cs="Times New Roman"/>
                <w:szCs w:val="24"/>
              </w:rPr>
            </w:pPr>
            <w:r w:rsidRPr="00930EAE">
              <w:rPr>
                <w:rFonts w:cs="Times New Roman"/>
                <w:szCs w:val="24"/>
              </w:rPr>
              <w:t>Phase composition</w:t>
            </w:r>
          </w:p>
        </w:tc>
        <w:tc>
          <w:tcPr>
            <w:tcW w:w="4824" w:type="dxa"/>
            <w:vAlign w:val="center"/>
          </w:tcPr>
          <w:p w14:paraId="3CCAE689" w14:textId="77777777" w:rsidR="002F3004" w:rsidRPr="00930EAE" w:rsidRDefault="002F3004" w:rsidP="00C17A09">
            <w:pPr>
              <w:spacing w:after="0"/>
              <w:jc w:val="both"/>
              <w:rPr>
                <w:rFonts w:cs="Times New Roman"/>
                <w:szCs w:val="24"/>
              </w:rPr>
            </w:pPr>
            <w:r w:rsidRPr="00930EAE">
              <w:rPr>
                <w:rFonts w:cs="Times New Roman"/>
                <w:szCs w:val="24"/>
              </w:rPr>
              <w:t>Solubility, viscosity and foam structure</w:t>
            </w:r>
          </w:p>
        </w:tc>
      </w:tr>
      <w:tr w:rsidR="002F3004" w:rsidRPr="00930EAE" w14:paraId="386E212B" w14:textId="77777777" w:rsidTr="00E239B7">
        <w:trPr>
          <w:jc w:val="center"/>
        </w:trPr>
        <w:tc>
          <w:tcPr>
            <w:tcW w:w="4824" w:type="dxa"/>
            <w:vAlign w:val="center"/>
          </w:tcPr>
          <w:p w14:paraId="0D147658" w14:textId="77777777" w:rsidR="002F3004" w:rsidRPr="00930EAE" w:rsidRDefault="002F3004" w:rsidP="00C17A09">
            <w:pPr>
              <w:spacing w:after="0"/>
              <w:jc w:val="both"/>
              <w:rPr>
                <w:rFonts w:cs="Times New Roman"/>
                <w:szCs w:val="24"/>
              </w:rPr>
            </w:pPr>
            <w:r w:rsidRPr="00930EAE">
              <w:rPr>
                <w:rFonts w:cs="Times New Roman"/>
                <w:szCs w:val="24"/>
              </w:rPr>
              <w:t>Mixing/foaming conditions</w:t>
            </w:r>
          </w:p>
        </w:tc>
        <w:tc>
          <w:tcPr>
            <w:tcW w:w="4824" w:type="dxa"/>
            <w:vAlign w:val="center"/>
          </w:tcPr>
          <w:p w14:paraId="650CD5AC" w14:textId="77777777" w:rsidR="002F3004" w:rsidRPr="00930EAE" w:rsidRDefault="002F3004" w:rsidP="00C17A09">
            <w:pPr>
              <w:spacing w:after="0"/>
              <w:jc w:val="both"/>
              <w:rPr>
                <w:rFonts w:cs="Times New Roman"/>
                <w:szCs w:val="24"/>
              </w:rPr>
            </w:pPr>
            <w:r w:rsidRPr="00930EAE">
              <w:rPr>
                <w:rFonts w:cs="Times New Roman"/>
                <w:szCs w:val="24"/>
              </w:rPr>
              <w:t>Bubble size, expansion and foam uniformity</w:t>
            </w:r>
          </w:p>
        </w:tc>
      </w:tr>
      <w:tr w:rsidR="002F3004" w:rsidRPr="00930EAE" w14:paraId="5676408C" w14:textId="77777777" w:rsidTr="00E239B7">
        <w:trPr>
          <w:jc w:val="center"/>
        </w:trPr>
        <w:tc>
          <w:tcPr>
            <w:tcW w:w="4824" w:type="dxa"/>
            <w:vAlign w:val="center"/>
          </w:tcPr>
          <w:p w14:paraId="73FB47DC" w14:textId="77777777" w:rsidR="002F3004" w:rsidRPr="00930EAE" w:rsidRDefault="002F3004" w:rsidP="00C17A09">
            <w:pPr>
              <w:spacing w:after="0"/>
              <w:jc w:val="both"/>
              <w:rPr>
                <w:rFonts w:cs="Times New Roman"/>
                <w:szCs w:val="24"/>
              </w:rPr>
            </w:pPr>
            <w:r w:rsidRPr="00930EAE">
              <w:rPr>
                <w:rFonts w:cs="Times New Roman"/>
                <w:szCs w:val="24"/>
              </w:rPr>
              <w:t>Storage temperature</w:t>
            </w:r>
          </w:p>
        </w:tc>
        <w:tc>
          <w:tcPr>
            <w:tcW w:w="4824" w:type="dxa"/>
            <w:vAlign w:val="center"/>
          </w:tcPr>
          <w:p w14:paraId="0A00A994" w14:textId="77777777" w:rsidR="002F3004" w:rsidRPr="00930EAE" w:rsidRDefault="002F3004" w:rsidP="00C17A09">
            <w:pPr>
              <w:spacing w:after="0"/>
              <w:jc w:val="both"/>
              <w:rPr>
                <w:rFonts w:cs="Times New Roman"/>
                <w:szCs w:val="24"/>
              </w:rPr>
            </w:pPr>
            <w:r w:rsidRPr="00930EAE">
              <w:rPr>
                <w:rFonts w:cs="Times New Roman"/>
                <w:szCs w:val="24"/>
              </w:rPr>
              <w:t>Physical and chemical stability</w:t>
            </w:r>
          </w:p>
        </w:tc>
      </w:tr>
    </w:tbl>
    <w:p w14:paraId="11971407"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 xml:space="preserve">Source: Adapted from </w:t>
      </w:r>
      <w:proofErr w:type="spellStart"/>
      <w:r w:rsidRPr="00930EAE">
        <w:rPr>
          <w:rFonts w:cs="Times New Roman"/>
          <w:sz w:val="24"/>
          <w:szCs w:val="24"/>
        </w:rPr>
        <w:t>Arzhavitina</w:t>
      </w:r>
      <w:proofErr w:type="spellEnd"/>
      <w:r w:rsidRPr="00930EAE">
        <w:rPr>
          <w:rFonts w:cs="Times New Roman"/>
          <w:sz w:val="24"/>
          <w:szCs w:val="24"/>
        </w:rPr>
        <w:t xml:space="preserve"> et al. (2010), </w:t>
      </w:r>
      <w:proofErr w:type="spellStart"/>
      <w:r w:rsidRPr="00930EAE">
        <w:rPr>
          <w:rFonts w:cs="Times New Roman"/>
          <w:sz w:val="24"/>
          <w:szCs w:val="24"/>
        </w:rPr>
        <w:t>Bureiko</w:t>
      </w:r>
      <w:proofErr w:type="spellEnd"/>
      <w:r w:rsidRPr="00930EAE">
        <w:rPr>
          <w:rFonts w:cs="Times New Roman"/>
          <w:sz w:val="24"/>
          <w:szCs w:val="24"/>
        </w:rPr>
        <w:t xml:space="preserve"> et al. (2015), Parsa et al. (2019), and Herbig et al. (2023).</w:t>
      </w:r>
    </w:p>
    <w:p w14:paraId="6BE809DC"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lastRenderedPageBreak/>
        <w:t>2.28 Drug Release from Topical Formulations</w:t>
      </w:r>
    </w:p>
    <w:p w14:paraId="3FCF3B67" w14:textId="77777777" w:rsidR="002F3004" w:rsidRPr="00930EAE" w:rsidRDefault="002F3004" w:rsidP="00C17A09">
      <w:pPr>
        <w:jc w:val="both"/>
        <w:rPr>
          <w:rFonts w:cs="Times New Roman"/>
          <w:szCs w:val="24"/>
        </w:rPr>
      </w:pPr>
      <w:r w:rsidRPr="00930EAE">
        <w:rPr>
          <w:rFonts w:cs="Times New Roman"/>
          <w:szCs w:val="24"/>
        </w:rPr>
        <w:t>Active constituents must be released from the vehicle before interacting with tissue. Release depends on solubility, diffusion, viscosity, polymer content, partitioning, particle size and microstructure. Marker-based release assays provide reproducible comparison for botanical formulations. Drug release from a topical formulation is the first step between the formulated material and its biological target. In a botanical foam, release can be influenced by the solubility of the marker compounds, the viscosity of the continuous phase, polymer concentration, partitioning into the formulation components and the microstructure created during foaming. A formulation may contain a high total amount of extract yet release only a limited fraction within the relevant time period. Conversely, rapid release may not always be desirable if the formulation is intended to maintain local exposure. Marker-based release testing provides a practical way to compare batches and formulations, particularly when the full chemical complexity of the extract cannot be quantified. The release method should be selected and validated for the intended purpose, with attention to sink conditions, membrane compatibility and analytical specificity. Interpretation should also distinguish release from permeation and biological effect because these represent sequential but different processes. Integrating release data with physicochemical properties can help explain why changes in polymer, surfactant or co-solvent alter the performance of the finished foam.</w:t>
      </w:r>
    </w:p>
    <w:p w14:paraId="0C26A946"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2.29 Skin and Tissue Permeation</w:t>
      </w:r>
    </w:p>
    <w:p w14:paraId="4238A784" w14:textId="77777777" w:rsidR="002F3004" w:rsidRPr="00930EAE" w:rsidRDefault="002F3004" w:rsidP="00C17A09">
      <w:pPr>
        <w:jc w:val="both"/>
        <w:rPr>
          <w:rFonts w:cs="Times New Roman"/>
          <w:szCs w:val="24"/>
        </w:rPr>
      </w:pPr>
      <w:r w:rsidRPr="00930EAE">
        <w:rPr>
          <w:rFonts w:cs="Times New Roman"/>
          <w:szCs w:val="24"/>
        </w:rPr>
        <w:t>After release, compounds may partition into skin and underlying tissue. Permeation depends on molecular and formulation properties. In wounds, the barrier is altered, so the formulation should support controlled local availability. Ex-vivo studies can provide comparative evidence (</w:t>
      </w:r>
      <w:proofErr w:type="spellStart"/>
      <w:r w:rsidRPr="00930EAE">
        <w:rPr>
          <w:rFonts w:cs="Times New Roman"/>
          <w:szCs w:val="24"/>
        </w:rPr>
        <w:t>Prausnitz</w:t>
      </w:r>
      <w:proofErr w:type="spellEnd"/>
      <w:r w:rsidRPr="00930EAE">
        <w:rPr>
          <w:rFonts w:cs="Times New Roman"/>
          <w:szCs w:val="24"/>
        </w:rPr>
        <w:t xml:space="preserve"> et al., 2004; </w:t>
      </w:r>
      <w:proofErr w:type="spellStart"/>
      <w:r w:rsidRPr="00930EAE">
        <w:rPr>
          <w:rFonts w:cs="Times New Roman"/>
          <w:szCs w:val="24"/>
        </w:rPr>
        <w:t>Prausnitz</w:t>
      </w:r>
      <w:proofErr w:type="spellEnd"/>
      <w:r w:rsidRPr="00930EAE">
        <w:rPr>
          <w:rFonts w:cs="Times New Roman"/>
          <w:szCs w:val="24"/>
        </w:rPr>
        <w:t xml:space="preserve"> et al., 2008). Permeation studies can provide information about the movement of released constituents into or across biological barriers, but wound tissue does not behave exactly like intact skin. Injury can alter barrier integrity, hydration and local physiology, which may increase accessibility while simultaneously changing diffusion pathways. For this reason, the objective of a wound formulation may be local tissue deposition rather than maximum transdermal flux. Ex-vivo skin or tissue models can be useful for comparing formulations under controlled conditions, particularly when marker compounds can be quantified analytically. Experimental interpretation should consider the limitations of membrane models, tissue viability, donor variability and the difference between ex-vivo and clinical conditions. Permeation results are most informative when paired with release measurements, because a formulation may show poor tissue exposure either </w:t>
      </w:r>
      <w:r w:rsidRPr="00930EAE">
        <w:rPr>
          <w:rFonts w:cs="Times New Roman"/>
          <w:szCs w:val="24"/>
        </w:rPr>
        <w:lastRenderedPageBreak/>
        <w:t>because the active material is not released or because it is not able to partition into the tissue. For herbal products, measuring more than one marker may provide a better representation of the formulation than relying on total extract concentration. The combined evidence can help establish whether the foam supports appropriate local availability without making unsupported claims about systemic absorption (</w:t>
      </w:r>
      <w:proofErr w:type="spellStart"/>
      <w:r w:rsidRPr="00930EAE">
        <w:rPr>
          <w:rFonts w:cs="Times New Roman"/>
          <w:szCs w:val="24"/>
        </w:rPr>
        <w:t>Prausnitz</w:t>
      </w:r>
      <w:proofErr w:type="spellEnd"/>
      <w:r w:rsidRPr="00930EAE">
        <w:rPr>
          <w:rFonts w:cs="Times New Roman"/>
          <w:szCs w:val="24"/>
        </w:rPr>
        <w:t xml:space="preserve"> et al., 2004; </w:t>
      </w:r>
      <w:proofErr w:type="spellStart"/>
      <w:r w:rsidRPr="00930EAE">
        <w:rPr>
          <w:rFonts w:cs="Times New Roman"/>
          <w:szCs w:val="24"/>
        </w:rPr>
        <w:t>Prausnitz</w:t>
      </w:r>
      <w:proofErr w:type="spellEnd"/>
      <w:r w:rsidRPr="00930EAE">
        <w:rPr>
          <w:rFonts w:cs="Times New Roman"/>
          <w:szCs w:val="24"/>
        </w:rPr>
        <w:t xml:space="preserve"> et al., 2008).</w:t>
      </w:r>
    </w:p>
    <w:p w14:paraId="127F3891"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2.30 Analytical Evaluation of Herbal Topical Formulations</w:t>
      </w:r>
    </w:p>
    <w:p w14:paraId="35A9BC56" w14:textId="77777777" w:rsidR="002F3004" w:rsidRPr="00930EAE" w:rsidRDefault="002F3004" w:rsidP="00C17A09">
      <w:pPr>
        <w:jc w:val="both"/>
        <w:rPr>
          <w:rFonts w:cs="Times New Roman"/>
          <w:szCs w:val="24"/>
        </w:rPr>
      </w:pPr>
      <w:r w:rsidRPr="00930EAE">
        <w:rPr>
          <w:rFonts w:cs="Times New Roman"/>
          <w:szCs w:val="24"/>
        </w:rPr>
        <w:t xml:space="preserve">Evaluation should include appearance, odor, pH, viscosity, </w:t>
      </w:r>
      <w:proofErr w:type="spellStart"/>
      <w:r w:rsidRPr="00930EAE">
        <w:rPr>
          <w:rFonts w:cs="Times New Roman"/>
          <w:szCs w:val="24"/>
        </w:rPr>
        <w:t>spreadability</w:t>
      </w:r>
      <w:proofErr w:type="spellEnd"/>
      <w:r w:rsidRPr="00930EAE">
        <w:rPr>
          <w:rFonts w:cs="Times New Roman"/>
          <w:szCs w:val="24"/>
        </w:rPr>
        <w:t xml:space="preserve">, foamability, foam stability, density, drainage, marker content, chromatographic profile, in-vitro release, ex-vivo permeation, microbial quality and stability. Marker quantification is essential because total extract concentration alone does not guarantee consistency. Analytical evaluation should establish a link between what the product looks and feels like and what it chemically contains. Basic tests such as appearance, homogeneity, odor and pH provide rapid information about formulation consistency, while viscosity, density, </w:t>
      </w:r>
      <w:proofErr w:type="spellStart"/>
      <w:r w:rsidRPr="00930EAE">
        <w:rPr>
          <w:rFonts w:cs="Times New Roman"/>
          <w:szCs w:val="24"/>
        </w:rPr>
        <w:t>spreadability</w:t>
      </w:r>
      <w:proofErr w:type="spellEnd"/>
      <w:r w:rsidRPr="00930EAE">
        <w:rPr>
          <w:rFonts w:cs="Times New Roman"/>
          <w:szCs w:val="24"/>
        </w:rPr>
        <w:t xml:space="preserve"> and foam behavior describe performance. Chemical analysis then determines whether the intended botanical markers are present at the required level and whether the chromatographic pattern remains consistent. In-vitro release and ex-vivo permeation extend the evaluation from composition to delivery performance. Microbial quality and stability studies provide additional evidence that the product remains acceptable during storage. For a multi-component herbal formulation, the analytical strategy should distinguish between a marker assay and a fingerprint: the marker provides quantitative control, while the fingerprint can reveal broader compositional changes. Sampling plans should also be standardized so that comparisons between batches are meaningful. Where the formulation contains a combination of turmeric and guggul, separate marker measurements can be especially valuable because changes in one botanical may otherwise be masked by the total extract measurement. A comprehensive analytical package therefore supports both formulation optimization and later batch-to-batch quality assurance.</w:t>
      </w:r>
    </w:p>
    <w:p w14:paraId="4BAB08C8"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2.31 Biological Evaluation of Herbal Wound Formulations</w:t>
      </w:r>
    </w:p>
    <w:p w14:paraId="7B7CBCD1" w14:textId="77777777" w:rsidR="002F3004" w:rsidRPr="00930EAE" w:rsidRDefault="002F3004" w:rsidP="00C17A09">
      <w:pPr>
        <w:jc w:val="both"/>
        <w:rPr>
          <w:rFonts w:cs="Times New Roman"/>
          <w:szCs w:val="24"/>
        </w:rPr>
      </w:pPr>
      <w:r w:rsidRPr="00930EAE">
        <w:rPr>
          <w:rFonts w:cs="Times New Roman"/>
          <w:szCs w:val="24"/>
        </w:rPr>
        <w:t xml:space="preserve">Physicochemical testing should be complemented by antioxidant, antimicrobial, cytocompatibility, proliferation, migration, inflammatory-response and appropriate wound-healing models. A useful integrated sequence is chemical characterization → physicochemical properties → release → permeation → biological activity → wound-healing response. Biological evaluation should follow a logical progression from simple mechanistic assays to more integrated models. Antioxidant </w:t>
      </w:r>
      <w:r w:rsidRPr="00930EAE">
        <w:rPr>
          <w:rFonts w:cs="Times New Roman"/>
          <w:szCs w:val="24"/>
        </w:rPr>
        <w:lastRenderedPageBreak/>
        <w:t>assays can provide an initial indication of redox-related activity, while antimicrobial testing can characterize activity against selected organisms. Cytocompatibility is essential because a formulation intended to support repair should not produce unacceptable cellular toxicity at the intended exposure. Cell proliferation and migration assays can then provide functional information related to tissue regeneration, while inflammatory-response measurements can help investigate whether the formulation alters relevant signaling. More complex wound-healing models can integrate several of these mechanisms but also introduce greater biological variability. The interpretation of results should always consider the formulation concentration and actual marker exposure. A strong study should include appropriate controls, replicate experiments and predefined endpoints. It is also useful to compare the individual botanicals with the combination so that any advantage of the combined formulation can be evaluated rather than assumed. The overall sequence of chemical characterization, physicochemical testing, release, permeation and biological assessment provides a coherent evidence chain from product quality to biological function.</w:t>
      </w:r>
    </w:p>
    <w:p w14:paraId="7B6487CC"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2.32 Safety and Skin Compatibility</w:t>
      </w:r>
    </w:p>
    <w:p w14:paraId="5ABA9046" w14:textId="77777777" w:rsidR="002F3004" w:rsidRPr="00930EAE" w:rsidRDefault="002F3004" w:rsidP="00C17A09">
      <w:pPr>
        <w:jc w:val="both"/>
        <w:rPr>
          <w:rFonts w:cs="Times New Roman"/>
          <w:szCs w:val="24"/>
        </w:rPr>
      </w:pPr>
      <w:r w:rsidRPr="00930EAE">
        <w:rPr>
          <w:rFonts w:cs="Times New Roman"/>
          <w:szCs w:val="24"/>
        </w:rPr>
        <w:t xml:space="preserve">Topical herbal systems should be evaluated for pH compatibility, irritation, microbial quality, cytotoxicity where appropriate, and other relevant safety endpoints. Traditional use does not establish the safety of a particular extract concentration or botanical combination in a new dosage form. Safety and compatibility are essential components of topical herbal development because a naturally derived ingredient is not automatically safe at every concentration or in every dosage form. The pH of the formulation should be compatible with the intended tissue environment, while excipients and botanical constituents should be assessed for irritation or cytotoxicity where appropriate. Microbial quality is also important, particularly when the formulation contains water and botanical materials that may support microbial growth if inadequately preserved. A combination product requires additional attention because constituents can alter each other's solubility, stability or local tolerability. The literature on traditional use can support background plausibility, but it cannot replace product-specific safety evaluation. For research purposes, safety endpoints should be considered during formulation screening rather than only after the optimum has been selected. This can prevent a formulation from being optimized solely for foamability or release and then failing because of poor compatibility. A balanced quality target should therefore include acceptable physical performance, chemical stability and biological compatibility. Such an approach is consistent with the principle that </w:t>
      </w:r>
      <w:r w:rsidRPr="00930EAE">
        <w:rPr>
          <w:rFonts w:cs="Times New Roman"/>
          <w:szCs w:val="24"/>
        </w:rPr>
        <w:lastRenderedPageBreak/>
        <w:t>efficacy-related attributes and safety-related attributes should be evaluated together during pharmaceutical development.</w:t>
      </w:r>
    </w:p>
    <w:p w14:paraId="423DAE50"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2.33 Stability of Herbal Topical Formulations</w:t>
      </w:r>
    </w:p>
    <w:p w14:paraId="53550795" w14:textId="77777777" w:rsidR="002F3004" w:rsidRPr="00930EAE" w:rsidRDefault="002F3004" w:rsidP="00C17A09">
      <w:pPr>
        <w:jc w:val="both"/>
        <w:rPr>
          <w:rFonts w:cs="Times New Roman"/>
          <w:szCs w:val="24"/>
        </w:rPr>
      </w:pPr>
      <w:r w:rsidRPr="00930EAE">
        <w:rPr>
          <w:rFonts w:cs="Times New Roman"/>
          <w:szCs w:val="24"/>
        </w:rPr>
        <w:t>Botanical constituents can undergo oxidation, hydrolysis and photodegradation. Physical instability may involve phase separation, precipitation, viscosity change, foam collapse, color change or pH drift. Stability studies should monitor both physical and chemical attributes, including marker content. Stability is particularly important for herbal formulations because the active composition may change through oxidation, hydrolysis, photochemical degradation or other reactions. Physical changes can be equally important and may include phase separation, precipitation, viscosity drift, color change, odor change, altered foam expansion or premature collapse. A formulation that is acceptable immediately after manufacture may therefore become unsuitable during storage even if the container remains intact. Stability studies should monitor both physical and chemical attributes at predefined intervals and under appropriately justified storage conditions. Marker assays can reveal quantitative loss of important constituents, while chromatographic fingerprints can provide evidence of broader compositional change. For foams, stability should also consider the dispensing system because changes in pump performance or headspace conditions may influence the generated foam. The purpose of stability testing is not simply to assign a shelf life; it is also to identify degradation pathways and formulation weaknesses that can be corrected during development. Including stability as a critical quality consideration from the beginning is therefore preferable to treating it as a final regulatory exercise.</w:t>
      </w:r>
    </w:p>
    <w:p w14:paraId="0010B4C7"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2.34 Quality by Design Approach in Pharmaceutical Development</w:t>
      </w:r>
    </w:p>
    <w:p w14:paraId="1BF3DB03" w14:textId="77777777" w:rsidR="002F3004" w:rsidRDefault="002F3004" w:rsidP="00C17A09">
      <w:pPr>
        <w:jc w:val="both"/>
        <w:rPr>
          <w:rFonts w:cs="Times New Roman"/>
          <w:szCs w:val="24"/>
        </w:rPr>
      </w:pPr>
      <w:proofErr w:type="spellStart"/>
      <w:r w:rsidRPr="00930EAE">
        <w:rPr>
          <w:rFonts w:cs="Times New Roman"/>
          <w:szCs w:val="24"/>
        </w:rPr>
        <w:t>QbD</w:t>
      </w:r>
      <w:proofErr w:type="spellEnd"/>
      <w:r w:rsidRPr="00930EAE">
        <w:rPr>
          <w:rFonts w:cs="Times New Roman"/>
          <w:szCs w:val="24"/>
        </w:rPr>
        <w:t xml:space="preserve"> establishes predefined quality objectives and systematic understanding of relationships among material attributes, process variables, critical quality attributes and product performance. ICH Q8, Q9 and Q10 provide the framework. </w:t>
      </w:r>
      <w:proofErr w:type="spellStart"/>
      <w:r w:rsidRPr="00930EAE">
        <w:rPr>
          <w:rFonts w:cs="Times New Roman"/>
          <w:szCs w:val="24"/>
        </w:rPr>
        <w:t>QbD</w:t>
      </w:r>
      <w:proofErr w:type="spellEnd"/>
      <w:r w:rsidRPr="00930EAE">
        <w:rPr>
          <w:rFonts w:cs="Times New Roman"/>
          <w:szCs w:val="24"/>
        </w:rPr>
        <w:t xml:space="preserve"> is particularly suitable for a multi-component herbal foam because formulation factors can interact strongly. Quality by Design provides a structured framework for understanding how formulation and process variables influence the quality and performance of a finished dosage form. The approach begins with a quality target product profile and translates that profile into critical quality attributes that can be measured. Material attributes, formulation factors and process variables are then evaluated for their potential impact, with risk assessment used to prioritize the most important relationships. For a turmeric–guggul foam, this is </w:t>
      </w:r>
      <w:r w:rsidRPr="00930EAE">
        <w:rPr>
          <w:rFonts w:cs="Times New Roman"/>
          <w:szCs w:val="24"/>
        </w:rPr>
        <w:lastRenderedPageBreak/>
        <w:t xml:space="preserve">useful because several variables may interact and because the botanicals themselves are chemically complex. </w:t>
      </w:r>
      <w:proofErr w:type="spellStart"/>
      <w:r w:rsidRPr="00930EAE">
        <w:rPr>
          <w:rFonts w:cs="Times New Roman"/>
          <w:szCs w:val="24"/>
        </w:rPr>
        <w:t>QbD</w:t>
      </w:r>
      <w:proofErr w:type="spellEnd"/>
      <w:r w:rsidRPr="00930EAE">
        <w:rPr>
          <w:rFonts w:cs="Times New Roman"/>
          <w:szCs w:val="24"/>
        </w:rPr>
        <w:t xml:space="preserve"> does not eliminate experimental work; rather, it makes experimentation more informative by linking each experiment to a defined quality question. The approach also supports the concept of a design space or acceptable operating region rather than identifying a single formulation point that may be sensitive to small manufacturing changes. In the context of herbal product development, </w:t>
      </w:r>
      <w:proofErr w:type="spellStart"/>
      <w:r w:rsidRPr="00930EAE">
        <w:rPr>
          <w:rFonts w:cs="Times New Roman"/>
          <w:szCs w:val="24"/>
        </w:rPr>
        <w:t>QbD</w:t>
      </w:r>
      <w:proofErr w:type="spellEnd"/>
      <w:r w:rsidRPr="00930EAE">
        <w:rPr>
          <w:rFonts w:cs="Times New Roman"/>
          <w:szCs w:val="24"/>
        </w:rPr>
        <w:t xml:space="preserve"> can therefore improve reproducibility by connecting raw-material specifications, formulation composition, process conditions and final-product tests into one development rationale consistent with ICH principles (Lionberger et al., 2008).</w:t>
      </w:r>
    </w:p>
    <w:p w14:paraId="7525B5B7" w14:textId="77777777" w:rsidR="002F3004" w:rsidRPr="00930EAE" w:rsidRDefault="002F3004" w:rsidP="00C17A09">
      <w:pPr>
        <w:jc w:val="both"/>
        <w:rPr>
          <w:rFonts w:cs="Times New Roman"/>
          <w:szCs w:val="24"/>
        </w:rPr>
      </w:pPr>
      <w:r w:rsidRPr="00826116">
        <w:rPr>
          <w:rFonts w:cs="Times New Roman"/>
          <w:szCs w:val="24"/>
        </w:rPr>
        <w:drawing>
          <wp:inline distT="0" distB="0" distL="0" distR="0" wp14:anchorId="52F0276B" wp14:editId="62250757">
            <wp:extent cx="6126480" cy="4941570"/>
            <wp:effectExtent l="0" t="0" r="7620" b="0"/>
            <wp:docPr id="91760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02956" name=""/>
                    <pic:cNvPicPr/>
                  </pic:nvPicPr>
                  <pic:blipFill>
                    <a:blip r:embed="rId11"/>
                    <a:stretch>
                      <a:fillRect/>
                    </a:stretch>
                  </pic:blipFill>
                  <pic:spPr>
                    <a:xfrm>
                      <a:off x="0" y="0"/>
                      <a:ext cx="6126480" cy="4941570"/>
                    </a:xfrm>
                    <a:prstGeom prst="rect">
                      <a:avLst/>
                    </a:prstGeom>
                  </pic:spPr>
                </pic:pic>
              </a:graphicData>
            </a:graphic>
          </wp:inline>
        </w:drawing>
      </w:r>
    </w:p>
    <w:p w14:paraId="42B91ABA" w14:textId="77777777" w:rsidR="002F3004" w:rsidRPr="00930EAE" w:rsidRDefault="002F3004" w:rsidP="00C17A09">
      <w:pPr>
        <w:jc w:val="both"/>
        <w:rPr>
          <w:rFonts w:cs="Times New Roman"/>
          <w:szCs w:val="24"/>
        </w:rPr>
      </w:pPr>
    </w:p>
    <w:p w14:paraId="5243251D"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Figure 2.2. Quality-by-Design framework for turmeric–guggul non-propellant foam</w:t>
      </w:r>
    </w:p>
    <w:p w14:paraId="74F3B7AD"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Source: Conceptual framework based on ICH Q8(R2), ICH Q9(R1), ICH Q10, Lionberger et al. (2008), Fukuda et al. (2018), and Rantanen et al. (2015).</w:t>
      </w:r>
    </w:p>
    <w:p w14:paraId="44DA6880"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lastRenderedPageBreak/>
        <w:t>2.35 Design of Experiments in Formulation Optimization</w:t>
      </w:r>
    </w:p>
    <w:p w14:paraId="09E7CBB2" w14:textId="77777777" w:rsidR="002F3004" w:rsidRPr="00930EAE" w:rsidRDefault="002F3004" w:rsidP="00C17A09">
      <w:pPr>
        <w:jc w:val="both"/>
        <w:rPr>
          <w:rFonts w:cs="Times New Roman"/>
          <w:szCs w:val="24"/>
        </w:rPr>
      </w:pPr>
      <w:r w:rsidRPr="00930EAE">
        <w:rPr>
          <w:rFonts w:cs="Times New Roman"/>
          <w:szCs w:val="24"/>
        </w:rPr>
        <w:t xml:space="preserve">DoE investigates multiple variables simultaneously and identifies main effects and interactions. Response-surface methods can identify an optimum region or design space. This is more informative than one-factor-at-a-time experimentation (Fukuda et al., 2018). Design of Experiments is particularly valuable when several formulation factors may affect the same response. One-factor-at-a-time studies can identify obvious trends but cannot efficiently reveal interactions, and they may require many experiments to cover the same factor space. A structured DoE can evaluate multiple factors simultaneously and estimate main effects, interaction effects and, where appropriate, curvature. Screening designs can first identify the variables with the greatest influence, followed by response-surface designs for optimization. For the proposed foam, responses could include foam expansion, drainage, viscosity, </w:t>
      </w:r>
      <w:proofErr w:type="spellStart"/>
      <w:r w:rsidRPr="00930EAE">
        <w:rPr>
          <w:rFonts w:cs="Times New Roman"/>
          <w:szCs w:val="24"/>
        </w:rPr>
        <w:t>spreadability</w:t>
      </w:r>
      <w:proofErr w:type="spellEnd"/>
      <w:r w:rsidRPr="00930EAE">
        <w:rPr>
          <w:rFonts w:cs="Times New Roman"/>
          <w:szCs w:val="24"/>
        </w:rPr>
        <w:t>, marker content and release, with biological responses incorporated where the experimental capacity permits. Statistical modeling should be accompanied by practical interpretation because a mathematically optimal point may not be manufacturable or robust. Confirmation experiments at the predicted optimum are therefore essential. The value of DoE lies not only in obtaining an optimum but also in understanding why the optimum performs well and how sensitive the formulation is to variation. This information can support later scale-up and establish a more defensible formulation-development history than empirical trial-and-error alone (Fukuda et al., 2018).</w:t>
      </w:r>
    </w:p>
    <w:p w14:paraId="1C7E334C"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2.36 Critical Quality Attributes of the Proposed Herbal Foam</w:t>
      </w:r>
    </w:p>
    <w:p w14:paraId="3082B6F6" w14:textId="77777777" w:rsidR="002F3004" w:rsidRPr="00930EAE" w:rsidRDefault="002F3004" w:rsidP="00C17A09">
      <w:pPr>
        <w:jc w:val="both"/>
        <w:rPr>
          <w:rFonts w:cs="Times New Roman"/>
          <w:szCs w:val="24"/>
        </w:rPr>
      </w:pPr>
      <w:r w:rsidRPr="00930EAE">
        <w:rPr>
          <w:rFonts w:cs="Times New Roman"/>
          <w:szCs w:val="24"/>
        </w:rPr>
        <w:t xml:space="preserve">Potential CQAs include appearance, homogeneity, pH, viscosity, foamability, stability, </w:t>
      </w:r>
      <w:proofErr w:type="spellStart"/>
      <w:r w:rsidRPr="00930EAE">
        <w:rPr>
          <w:rFonts w:cs="Times New Roman"/>
          <w:szCs w:val="24"/>
        </w:rPr>
        <w:t>spreadability</w:t>
      </w:r>
      <w:proofErr w:type="spellEnd"/>
      <w:r w:rsidRPr="00930EAE">
        <w:rPr>
          <w:rFonts w:cs="Times New Roman"/>
          <w:szCs w:val="24"/>
        </w:rPr>
        <w:t xml:space="preserve">, density, drainage, marker uniformity, chromatographic fingerprint, release, permeation, microbial quality, biological activity and stability. Prioritization should reflect potential influence on safety, efficacy, quality and patient acceptability. Critical quality attributes should be selected according to their potential influence on safety, efficacy, quality and patient acceptability. Appearance and homogeneity provide initial evidence of consistency, while pH and viscosity can affect tissue compatibility and application behavior. Foamability, expansion, density, drainage and collapse characteristics describe the performance of the delivery platform. Marker content and chromatographic fingerprinting address chemical quality, while release and permeation characterize delivery. Microbial quality and stability protect against loss of quality during storage. These attributes should not be treated as independent because a change in one can influence several others. For example, increasing polymer concentration may improve drainage resistance but also increase </w:t>
      </w:r>
      <w:r w:rsidRPr="00930EAE">
        <w:rPr>
          <w:rFonts w:cs="Times New Roman"/>
          <w:szCs w:val="24"/>
        </w:rPr>
        <w:lastRenderedPageBreak/>
        <w:t>viscosity and slow release. Similarly, increasing surfactant concentration may improve foam generation but could affect tissue compatibility or the distribution of poorly soluble constituents. A rational CQA framework therefore requires prioritization based on risk and an understanding of relationships among attributes. The final specification should contain measurable criteria that can be assessed reproducibly. This creates a bridge between the scientific objectives of the study and the practical definition of an optimized turmeric–guggul foam.</w:t>
      </w:r>
    </w:p>
    <w:p w14:paraId="21B1D8BB"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 xml:space="preserve">2.37 Regulatory and </w:t>
      </w:r>
      <w:proofErr w:type="spellStart"/>
      <w:r w:rsidRPr="00930EAE">
        <w:rPr>
          <w:rFonts w:ascii="Times New Roman" w:hAnsi="Times New Roman" w:cs="Times New Roman"/>
          <w:color w:val="auto"/>
          <w:sz w:val="24"/>
          <w:szCs w:val="24"/>
        </w:rPr>
        <w:t>Pharmacopoeial</w:t>
      </w:r>
      <w:proofErr w:type="spellEnd"/>
      <w:r w:rsidRPr="00930EAE">
        <w:rPr>
          <w:rFonts w:ascii="Times New Roman" w:hAnsi="Times New Roman" w:cs="Times New Roman"/>
          <w:color w:val="auto"/>
          <w:sz w:val="24"/>
          <w:szCs w:val="24"/>
        </w:rPr>
        <w:t xml:space="preserve"> Considerations for Herbal Formulations</w:t>
      </w:r>
    </w:p>
    <w:p w14:paraId="3ED43DD9" w14:textId="77777777" w:rsidR="002F3004" w:rsidRPr="00930EAE" w:rsidRDefault="002F3004" w:rsidP="00C17A09">
      <w:pPr>
        <w:jc w:val="both"/>
        <w:rPr>
          <w:rFonts w:cs="Times New Roman"/>
          <w:szCs w:val="24"/>
        </w:rPr>
      </w:pPr>
      <w:r w:rsidRPr="00930EAE">
        <w:rPr>
          <w:rFonts w:cs="Times New Roman"/>
          <w:szCs w:val="24"/>
        </w:rPr>
        <w:t xml:space="preserve">Herbal products require appropriate controls for identity, purity, strength, safety and reproducibility. WHO guidance, </w:t>
      </w:r>
      <w:proofErr w:type="spellStart"/>
      <w:r w:rsidRPr="00930EAE">
        <w:rPr>
          <w:rFonts w:cs="Times New Roman"/>
          <w:szCs w:val="24"/>
        </w:rPr>
        <w:t>pharmacopoeial</w:t>
      </w:r>
      <w:proofErr w:type="spellEnd"/>
      <w:r w:rsidRPr="00930EAE">
        <w:rPr>
          <w:rFonts w:cs="Times New Roman"/>
          <w:szCs w:val="24"/>
        </w:rPr>
        <w:t xml:space="preserve"> standards and ICH principles provide complementary frameworks for quality and pharmaceutical development. Regulatory and </w:t>
      </w:r>
      <w:proofErr w:type="spellStart"/>
      <w:r w:rsidRPr="00930EAE">
        <w:rPr>
          <w:rFonts w:cs="Times New Roman"/>
          <w:szCs w:val="24"/>
        </w:rPr>
        <w:t>pharmacopoeial</w:t>
      </w:r>
      <w:proofErr w:type="spellEnd"/>
      <w:r w:rsidRPr="00930EAE">
        <w:rPr>
          <w:rFonts w:cs="Times New Roman"/>
          <w:szCs w:val="24"/>
        </w:rPr>
        <w:t xml:space="preserve"> considerations provide a quality framework even when a formulation is being developed primarily for research. Botanical identity, purity, strength, contaminant control, microbial quality and reproducibility are central concerns for herbal materials. </w:t>
      </w:r>
      <w:proofErr w:type="spellStart"/>
      <w:r w:rsidRPr="00930EAE">
        <w:rPr>
          <w:rFonts w:cs="Times New Roman"/>
          <w:szCs w:val="24"/>
        </w:rPr>
        <w:t>Pharmacopoeial</w:t>
      </w:r>
      <w:proofErr w:type="spellEnd"/>
      <w:r w:rsidRPr="00930EAE">
        <w:rPr>
          <w:rFonts w:cs="Times New Roman"/>
          <w:szCs w:val="24"/>
        </w:rPr>
        <w:t xml:space="preserve"> methods may provide validated or standardized approaches for selected tests, while WHO guidance emphasizes appropriate sourcing, authentication and quality control of medicinal plants. ICH quality concepts are useful for organizing pharmaceutical development, risk assessment and stability even when the active ingredients are complex botanical mixtures. The exact regulatory pathway depends on the intended classification and jurisdiction, so a literature review should avoid presenting a single framework as universally applicable. From a development perspective, however, the underlying principles are consistent: the identity of the material should be known, critical attributes should be controlled, analytical methods should be fit for purpose, and the final product should remain within predefined quality limits. Incorporating these principles early can reduce later uncertainty and can improve the scientific credibility of experimental findings by ensuring that the formulation is reproducible and adequately characterized.</w:t>
      </w:r>
    </w:p>
    <w:p w14:paraId="6F558559"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2.38 Research on Curcumin-Based Topical Systems</w:t>
      </w:r>
    </w:p>
    <w:p w14:paraId="3EE9872A" w14:textId="77777777" w:rsidR="002F3004" w:rsidRPr="00930EAE" w:rsidRDefault="002F3004" w:rsidP="00C17A09">
      <w:pPr>
        <w:jc w:val="both"/>
        <w:rPr>
          <w:rFonts w:cs="Times New Roman"/>
          <w:szCs w:val="24"/>
        </w:rPr>
      </w:pPr>
      <w:r w:rsidRPr="00930EAE">
        <w:rPr>
          <w:rFonts w:cs="Times New Roman"/>
          <w:szCs w:val="24"/>
        </w:rPr>
        <w:t xml:space="preserve">Curcumin has been incorporated into collagen films, hydrogels, nanoparticles, lipid systems, emulsions and other delivery platforms. These studies demonstrate that delivery technology can influence local availability and biological performance (Gopinath et al., 2004; Mohanty &amp; Sahoo, 2017). Whole standardized turmeric extracts present additional formulation complexity. The literature on curcumin-based topical systems illustrates how delivery technology can modify the apparent </w:t>
      </w:r>
      <w:r w:rsidRPr="00930EAE">
        <w:rPr>
          <w:rFonts w:cs="Times New Roman"/>
          <w:szCs w:val="24"/>
        </w:rPr>
        <w:lastRenderedPageBreak/>
        <w:t>performance of a poorly water-soluble constituent. Curcumin has been incorporated into films, hydrogels, emulsions, lipid-based systems and nanoscale carriers, with each platform attempting to improve one or more properties such as dispersion, retention, protection from degradation or local availability. These studies demonstrate a broader pharmaceutical principle: the biological activity of an active constituent cannot be considered independently of the dosage form in which it is delivered. For the proposed turmeric–guggul foam, this principle is especially relevant because the formulation must simultaneously accommodate curcuminoids and the chemically different guggul fraction. The literature therefore supports investigating formulation variables that influence solubilization, interfacial behavior and release. It also suggests that comparison with a simple extract dispersion or non-optimized vehicle can be useful for demonstrating the contribution of the foam platform. Importantly, evidence from purified curcumin systems should be used to inform formulation strategy but should not be assumed to predict the behavior of a whole standardized turmeric extract (Gopinath et al., 2004; Mohanty et al., 2017).</w:t>
      </w:r>
    </w:p>
    <w:p w14:paraId="1FF33C63"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2.39 Research on Guggul-Based Pharmaceutical Systems</w:t>
      </w:r>
    </w:p>
    <w:p w14:paraId="51606B8B" w14:textId="77777777" w:rsidR="002F3004" w:rsidRPr="00930EAE" w:rsidRDefault="002F3004" w:rsidP="00C17A09">
      <w:pPr>
        <w:jc w:val="both"/>
        <w:rPr>
          <w:rFonts w:cs="Times New Roman"/>
          <w:szCs w:val="24"/>
        </w:rPr>
      </w:pPr>
      <w:r w:rsidRPr="00930EAE">
        <w:rPr>
          <w:rFonts w:cs="Times New Roman"/>
          <w:szCs w:val="24"/>
        </w:rPr>
        <w:t xml:space="preserve">Guggul research has focused mainly on traditional use, phytochemistry, metabolic effects, anti-inflammatory mechanisms and </w:t>
      </w:r>
      <w:proofErr w:type="spellStart"/>
      <w:r w:rsidRPr="00930EAE">
        <w:rPr>
          <w:rFonts w:cs="Times New Roman"/>
          <w:szCs w:val="24"/>
        </w:rPr>
        <w:t>guggulsterone</w:t>
      </w:r>
      <w:proofErr w:type="spellEnd"/>
      <w:r w:rsidRPr="00930EAE">
        <w:rPr>
          <w:rFonts w:cs="Times New Roman"/>
          <w:szCs w:val="24"/>
        </w:rPr>
        <w:t xml:space="preserve"> pharmacology. Compared with this background, standardized guggul-containing topical wound formulations remain comparatively underdeveloped. Compared with the extensive formulation literature for curcumin, topical pharmaceutical systems containing standardized guggul remain less developed. Much of the available work has focused on traditional use, phytochemical characterization, metabolic effects and the pharmacology of </w:t>
      </w:r>
      <w:proofErr w:type="spellStart"/>
      <w:r w:rsidRPr="00930EAE">
        <w:rPr>
          <w:rFonts w:cs="Times New Roman"/>
          <w:szCs w:val="24"/>
        </w:rPr>
        <w:t>guggulsterones</w:t>
      </w:r>
      <w:proofErr w:type="spellEnd"/>
      <w:r w:rsidRPr="00930EAE">
        <w:rPr>
          <w:rFonts w:cs="Times New Roman"/>
          <w:szCs w:val="24"/>
        </w:rPr>
        <w:t>. This imbalance creates a clear opportunity for formulation research but also means that assumptions about optimal concentrations, vehicles and delivery behavior should be avoided. The resinous character of guggul can create practical challenges related to solubilization, odor, color and compatibility with surfactants or polymers. A systematic development program can address these issues by first establishing the chemical profile of the selected extract and then evaluating its compatibility with candidate excipients. The combination with turmeric adds another dimension because the two extracts may influence each other's physical behavior even if their pharmacological activities are complementary. Consequently, research on guggul-containing pharmaceutical systems should be interpreted as a developing evidence base. The proposed work can contribute by linking standardized guggul chemistry with a defined topical delivery platform and by generating product-specific data on quality, release and biological response (Sarup et al., 2015; Shishodia et al., 2004).</w:t>
      </w:r>
    </w:p>
    <w:p w14:paraId="7B0A9B91"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lastRenderedPageBreak/>
        <w:t>2.40 Research Gap</w:t>
      </w:r>
    </w:p>
    <w:p w14:paraId="60FF1557" w14:textId="77777777" w:rsidR="002F3004" w:rsidRPr="00930EAE" w:rsidRDefault="002F3004" w:rsidP="00C17A09">
      <w:pPr>
        <w:jc w:val="both"/>
        <w:rPr>
          <w:rFonts w:cs="Times New Roman"/>
          <w:szCs w:val="24"/>
        </w:rPr>
      </w:pPr>
      <w:r w:rsidRPr="00930EAE">
        <w:rPr>
          <w:rFonts w:cs="Times New Roman"/>
          <w:szCs w:val="24"/>
        </w:rPr>
        <w:t xml:space="preserve">Major gaps include limited systematic integration of turmeric and guggul; limited standardized botanical combinations; comparatively limited wound-specific evidence for guggul; need for improved topical delivery of curcuminoids; limited evidence on non-propellant herbal foam systems; need for </w:t>
      </w:r>
      <w:proofErr w:type="spellStart"/>
      <w:r w:rsidRPr="00930EAE">
        <w:rPr>
          <w:rFonts w:cs="Times New Roman"/>
          <w:szCs w:val="24"/>
        </w:rPr>
        <w:t>QbD</w:t>
      </w:r>
      <w:proofErr w:type="spellEnd"/>
      <w:r w:rsidRPr="00930EAE">
        <w:rPr>
          <w:rFonts w:cs="Times New Roman"/>
          <w:szCs w:val="24"/>
        </w:rPr>
        <w:t>/DoE optimization; and need for integrated evaluation from standardization through biological response and stability. The literature review identifies several connected research gaps rather than a single missing experiment. First, turmeric and guggul have rarely been integrated within a standardized, well-characterized topical foam specifically directed toward wound-related applications. Second, the direct wound-healing evidence for guggul is less developed than that for curcumin, making comparative experimentation important. Third, curcumin's physicochemical limitations create a continuing need for delivery systems that improve local availability without compromising stability or tolerability. Fourth, non-propellant foam technology introduces formulation and device variables that require systematic optimization. Finally, the evidence chain from botanical authentication through extraction, chemical standardization, formulation, release, biological activity and stability is often fragmented across separate studies. Addressing these gaps requires an integrated development strategy rather than isolated testing. The proposed research is therefore positioned at the intersection of botanical standardization, topical pharmaceutics, foam technology and wound biology. Its novelty should be described cautiously as integration and systematic evaluation, not as an assumption that the combination is inherently superior. Experimental comparison and statistical optimization are needed to determine whether the proposed formulation offers measurable advantages.</w:t>
      </w:r>
    </w:p>
    <w:p w14:paraId="34E29AA0"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Table 2.4. Literature-to-research-gap matrix for the proposed formulation</w:t>
      </w:r>
    </w:p>
    <w:tbl>
      <w:tblPr>
        <w:tblStyle w:val="TableGrid"/>
        <w:tblW w:w="0" w:type="auto"/>
        <w:jc w:val="center"/>
        <w:tblLook w:val="04A0" w:firstRow="1" w:lastRow="0" w:firstColumn="1" w:lastColumn="0" w:noHBand="0" w:noVBand="1"/>
      </w:tblPr>
      <w:tblGrid>
        <w:gridCol w:w="2514"/>
        <w:gridCol w:w="2682"/>
        <w:gridCol w:w="2207"/>
        <w:gridCol w:w="2235"/>
      </w:tblGrid>
      <w:tr w:rsidR="002F3004" w:rsidRPr="00930EAE" w14:paraId="485410BE" w14:textId="77777777" w:rsidTr="00E239B7">
        <w:trPr>
          <w:jc w:val="center"/>
        </w:trPr>
        <w:tc>
          <w:tcPr>
            <w:tcW w:w="2412" w:type="dxa"/>
            <w:shd w:val="clear" w:color="auto" w:fill="D9E2F3"/>
            <w:vAlign w:val="center"/>
          </w:tcPr>
          <w:p w14:paraId="7452B4CD" w14:textId="77777777" w:rsidR="002F3004" w:rsidRPr="00930EAE" w:rsidRDefault="002F3004" w:rsidP="00C17A09">
            <w:pPr>
              <w:spacing w:after="0"/>
              <w:jc w:val="both"/>
              <w:rPr>
                <w:rFonts w:cs="Times New Roman"/>
                <w:szCs w:val="24"/>
              </w:rPr>
            </w:pPr>
            <w:r w:rsidRPr="00930EAE">
              <w:rPr>
                <w:rFonts w:cs="Times New Roman"/>
                <w:b/>
                <w:szCs w:val="24"/>
              </w:rPr>
              <w:t>Research area</w:t>
            </w:r>
          </w:p>
        </w:tc>
        <w:tc>
          <w:tcPr>
            <w:tcW w:w="2412" w:type="dxa"/>
            <w:shd w:val="clear" w:color="auto" w:fill="D9E2F3"/>
            <w:vAlign w:val="center"/>
          </w:tcPr>
          <w:p w14:paraId="23EF2405" w14:textId="77777777" w:rsidR="002F3004" w:rsidRPr="00930EAE" w:rsidRDefault="002F3004" w:rsidP="00C17A09">
            <w:pPr>
              <w:spacing w:after="0"/>
              <w:jc w:val="both"/>
              <w:rPr>
                <w:rFonts w:cs="Times New Roman"/>
                <w:szCs w:val="24"/>
              </w:rPr>
            </w:pPr>
            <w:r w:rsidRPr="00930EAE">
              <w:rPr>
                <w:rFonts w:cs="Times New Roman"/>
                <w:b/>
                <w:szCs w:val="24"/>
              </w:rPr>
              <w:t>Current evidence</w:t>
            </w:r>
          </w:p>
        </w:tc>
        <w:tc>
          <w:tcPr>
            <w:tcW w:w="2412" w:type="dxa"/>
            <w:shd w:val="clear" w:color="auto" w:fill="D9E2F3"/>
            <w:vAlign w:val="center"/>
          </w:tcPr>
          <w:p w14:paraId="28459DEC" w14:textId="77777777" w:rsidR="002F3004" w:rsidRPr="00930EAE" w:rsidRDefault="002F3004" w:rsidP="00C17A09">
            <w:pPr>
              <w:spacing w:after="0"/>
              <w:jc w:val="both"/>
              <w:rPr>
                <w:rFonts w:cs="Times New Roman"/>
                <w:szCs w:val="24"/>
              </w:rPr>
            </w:pPr>
            <w:r w:rsidRPr="00930EAE">
              <w:rPr>
                <w:rFonts w:cs="Times New Roman"/>
                <w:b/>
                <w:szCs w:val="24"/>
              </w:rPr>
              <w:t>Identified gap</w:t>
            </w:r>
          </w:p>
        </w:tc>
        <w:tc>
          <w:tcPr>
            <w:tcW w:w="2412" w:type="dxa"/>
            <w:shd w:val="clear" w:color="auto" w:fill="D9E2F3"/>
            <w:vAlign w:val="center"/>
          </w:tcPr>
          <w:p w14:paraId="11C832DD" w14:textId="77777777" w:rsidR="002F3004" w:rsidRPr="00930EAE" w:rsidRDefault="002F3004" w:rsidP="00C17A09">
            <w:pPr>
              <w:spacing w:after="0"/>
              <w:jc w:val="both"/>
              <w:rPr>
                <w:rFonts w:cs="Times New Roman"/>
                <w:szCs w:val="24"/>
              </w:rPr>
            </w:pPr>
            <w:r w:rsidRPr="00930EAE">
              <w:rPr>
                <w:rFonts w:cs="Times New Roman"/>
                <w:b/>
                <w:szCs w:val="24"/>
              </w:rPr>
              <w:t>Implication for present study</w:t>
            </w:r>
          </w:p>
        </w:tc>
      </w:tr>
      <w:tr w:rsidR="002F3004" w:rsidRPr="00930EAE" w14:paraId="51626A56" w14:textId="77777777" w:rsidTr="00E239B7">
        <w:trPr>
          <w:jc w:val="center"/>
        </w:trPr>
        <w:tc>
          <w:tcPr>
            <w:tcW w:w="2412" w:type="dxa"/>
            <w:vAlign w:val="center"/>
          </w:tcPr>
          <w:p w14:paraId="5C13154D" w14:textId="77777777" w:rsidR="002F3004" w:rsidRPr="00930EAE" w:rsidRDefault="002F3004" w:rsidP="00C17A09">
            <w:pPr>
              <w:spacing w:after="0"/>
              <w:jc w:val="both"/>
              <w:rPr>
                <w:rFonts w:cs="Times New Roman"/>
                <w:szCs w:val="24"/>
              </w:rPr>
            </w:pPr>
            <w:r w:rsidRPr="00930EAE">
              <w:rPr>
                <w:rFonts w:cs="Times New Roman"/>
                <w:szCs w:val="24"/>
              </w:rPr>
              <w:t>Research area</w:t>
            </w:r>
          </w:p>
        </w:tc>
        <w:tc>
          <w:tcPr>
            <w:tcW w:w="2412" w:type="dxa"/>
            <w:vAlign w:val="center"/>
          </w:tcPr>
          <w:p w14:paraId="6325015D" w14:textId="77777777" w:rsidR="002F3004" w:rsidRPr="00930EAE" w:rsidRDefault="002F3004" w:rsidP="00C17A09">
            <w:pPr>
              <w:spacing w:after="0"/>
              <w:jc w:val="both"/>
              <w:rPr>
                <w:rFonts w:cs="Times New Roman"/>
                <w:szCs w:val="24"/>
              </w:rPr>
            </w:pPr>
            <w:r w:rsidRPr="00930EAE">
              <w:rPr>
                <w:rFonts w:cs="Times New Roman"/>
                <w:szCs w:val="24"/>
              </w:rPr>
              <w:t>Current evidence</w:t>
            </w:r>
          </w:p>
        </w:tc>
        <w:tc>
          <w:tcPr>
            <w:tcW w:w="2412" w:type="dxa"/>
            <w:vAlign w:val="center"/>
          </w:tcPr>
          <w:p w14:paraId="1DB23730" w14:textId="77777777" w:rsidR="002F3004" w:rsidRPr="00930EAE" w:rsidRDefault="002F3004" w:rsidP="00C17A09">
            <w:pPr>
              <w:spacing w:after="0"/>
              <w:jc w:val="both"/>
              <w:rPr>
                <w:rFonts w:cs="Times New Roman"/>
                <w:szCs w:val="24"/>
              </w:rPr>
            </w:pPr>
            <w:r w:rsidRPr="00930EAE">
              <w:rPr>
                <w:rFonts w:cs="Times New Roman"/>
                <w:szCs w:val="24"/>
              </w:rPr>
              <w:t>Identified gap</w:t>
            </w:r>
          </w:p>
        </w:tc>
        <w:tc>
          <w:tcPr>
            <w:tcW w:w="2412" w:type="dxa"/>
            <w:vAlign w:val="center"/>
          </w:tcPr>
          <w:p w14:paraId="58FBDD37" w14:textId="77777777" w:rsidR="002F3004" w:rsidRPr="00930EAE" w:rsidRDefault="002F3004" w:rsidP="00C17A09">
            <w:pPr>
              <w:spacing w:after="0"/>
              <w:jc w:val="both"/>
              <w:rPr>
                <w:rFonts w:cs="Times New Roman"/>
                <w:szCs w:val="24"/>
              </w:rPr>
            </w:pPr>
            <w:r w:rsidRPr="00930EAE">
              <w:rPr>
                <w:rFonts w:cs="Times New Roman"/>
                <w:szCs w:val="24"/>
              </w:rPr>
              <w:t>Implication for present study</w:t>
            </w:r>
          </w:p>
        </w:tc>
      </w:tr>
      <w:tr w:rsidR="002F3004" w:rsidRPr="00930EAE" w14:paraId="0001008A" w14:textId="77777777" w:rsidTr="00E239B7">
        <w:trPr>
          <w:jc w:val="center"/>
        </w:trPr>
        <w:tc>
          <w:tcPr>
            <w:tcW w:w="2412" w:type="dxa"/>
            <w:vAlign w:val="center"/>
          </w:tcPr>
          <w:p w14:paraId="47963989" w14:textId="77777777" w:rsidR="002F3004" w:rsidRPr="00930EAE" w:rsidRDefault="002F3004" w:rsidP="00C17A09">
            <w:pPr>
              <w:spacing w:after="0"/>
              <w:jc w:val="both"/>
              <w:rPr>
                <w:rFonts w:cs="Times New Roman"/>
                <w:szCs w:val="24"/>
              </w:rPr>
            </w:pPr>
            <w:r w:rsidRPr="00930EAE">
              <w:rPr>
                <w:rFonts w:cs="Times New Roman"/>
                <w:szCs w:val="24"/>
              </w:rPr>
              <w:t>Turmeric/curcumin</w:t>
            </w:r>
          </w:p>
        </w:tc>
        <w:tc>
          <w:tcPr>
            <w:tcW w:w="2412" w:type="dxa"/>
            <w:vAlign w:val="center"/>
          </w:tcPr>
          <w:p w14:paraId="692A23DE" w14:textId="77777777" w:rsidR="002F3004" w:rsidRPr="00930EAE" w:rsidRDefault="002F3004" w:rsidP="00C17A09">
            <w:pPr>
              <w:spacing w:after="0"/>
              <w:jc w:val="both"/>
              <w:rPr>
                <w:rFonts w:cs="Times New Roman"/>
                <w:szCs w:val="24"/>
              </w:rPr>
            </w:pPr>
            <w:r w:rsidRPr="00930EAE">
              <w:rPr>
                <w:rFonts w:cs="Times New Roman"/>
                <w:szCs w:val="24"/>
              </w:rPr>
              <w:t>Substantial pharmacological and topical literature</w:t>
            </w:r>
          </w:p>
        </w:tc>
        <w:tc>
          <w:tcPr>
            <w:tcW w:w="2412" w:type="dxa"/>
            <w:vAlign w:val="center"/>
          </w:tcPr>
          <w:p w14:paraId="10AEF975" w14:textId="77777777" w:rsidR="002F3004" w:rsidRPr="00930EAE" w:rsidRDefault="002F3004" w:rsidP="00C17A09">
            <w:pPr>
              <w:spacing w:after="0"/>
              <w:jc w:val="both"/>
              <w:rPr>
                <w:rFonts w:cs="Times New Roman"/>
                <w:szCs w:val="24"/>
              </w:rPr>
            </w:pPr>
            <w:r w:rsidRPr="00930EAE">
              <w:rPr>
                <w:rFonts w:cs="Times New Roman"/>
                <w:szCs w:val="24"/>
              </w:rPr>
              <w:t xml:space="preserve">Translation into standardized whole-extract foam remains </w:t>
            </w:r>
            <w:r w:rsidRPr="00930EAE">
              <w:rPr>
                <w:rFonts w:cs="Times New Roman"/>
                <w:szCs w:val="24"/>
              </w:rPr>
              <w:lastRenderedPageBreak/>
              <w:t>formulation-dependent</w:t>
            </w:r>
          </w:p>
        </w:tc>
        <w:tc>
          <w:tcPr>
            <w:tcW w:w="2412" w:type="dxa"/>
            <w:vAlign w:val="center"/>
          </w:tcPr>
          <w:p w14:paraId="23A4B002" w14:textId="77777777" w:rsidR="002F3004" w:rsidRPr="00930EAE" w:rsidRDefault="002F3004" w:rsidP="00C17A09">
            <w:pPr>
              <w:spacing w:after="0"/>
              <w:jc w:val="both"/>
              <w:rPr>
                <w:rFonts w:cs="Times New Roman"/>
                <w:szCs w:val="24"/>
              </w:rPr>
            </w:pPr>
            <w:r w:rsidRPr="00930EAE">
              <w:rPr>
                <w:rFonts w:cs="Times New Roman"/>
                <w:szCs w:val="24"/>
              </w:rPr>
              <w:lastRenderedPageBreak/>
              <w:t>Standardize extract and evaluate finished dosage form</w:t>
            </w:r>
          </w:p>
        </w:tc>
      </w:tr>
      <w:tr w:rsidR="002F3004" w:rsidRPr="00930EAE" w14:paraId="5DF00485" w14:textId="77777777" w:rsidTr="00E239B7">
        <w:trPr>
          <w:jc w:val="center"/>
        </w:trPr>
        <w:tc>
          <w:tcPr>
            <w:tcW w:w="2412" w:type="dxa"/>
            <w:vAlign w:val="center"/>
          </w:tcPr>
          <w:p w14:paraId="417E705F" w14:textId="77777777" w:rsidR="002F3004" w:rsidRPr="00930EAE" w:rsidRDefault="002F3004" w:rsidP="00C17A09">
            <w:pPr>
              <w:spacing w:after="0"/>
              <w:jc w:val="both"/>
              <w:rPr>
                <w:rFonts w:cs="Times New Roman"/>
                <w:szCs w:val="24"/>
              </w:rPr>
            </w:pPr>
            <w:r w:rsidRPr="00930EAE">
              <w:rPr>
                <w:rFonts w:cs="Times New Roman"/>
                <w:szCs w:val="24"/>
              </w:rPr>
              <w:t>Guggul</w:t>
            </w:r>
          </w:p>
        </w:tc>
        <w:tc>
          <w:tcPr>
            <w:tcW w:w="2412" w:type="dxa"/>
            <w:vAlign w:val="center"/>
          </w:tcPr>
          <w:p w14:paraId="2AA9B5DF" w14:textId="77777777" w:rsidR="002F3004" w:rsidRPr="00930EAE" w:rsidRDefault="002F3004" w:rsidP="00C17A09">
            <w:pPr>
              <w:spacing w:after="0"/>
              <w:jc w:val="both"/>
              <w:rPr>
                <w:rFonts w:cs="Times New Roman"/>
                <w:szCs w:val="24"/>
              </w:rPr>
            </w:pPr>
            <w:r w:rsidRPr="00930EAE">
              <w:rPr>
                <w:rFonts w:cs="Times New Roman"/>
                <w:szCs w:val="24"/>
              </w:rPr>
              <w:t>Strong traditional/phytochemical background and signaling literature</w:t>
            </w:r>
          </w:p>
        </w:tc>
        <w:tc>
          <w:tcPr>
            <w:tcW w:w="2412" w:type="dxa"/>
            <w:vAlign w:val="center"/>
          </w:tcPr>
          <w:p w14:paraId="4BB2E6AE" w14:textId="77777777" w:rsidR="002F3004" w:rsidRPr="00930EAE" w:rsidRDefault="002F3004" w:rsidP="00C17A09">
            <w:pPr>
              <w:spacing w:after="0"/>
              <w:jc w:val="both"/>
              <w:rPr>
                <w:rFonts w:cs="Times New Roman"/>
                <w:szCs w:val="24"/>
              </w:rPr>
            </w:pPr>
            <w:r w:rsidRPr="00930EAE">
              <w:rPr>
                <w:rFonts w:cs="Times New Roman"/>
                <w:szCs w:val="24"/>
              </w:rPr>
              <w:t>Limited direct wound-specific formulation evidence</w:t>
            </w:r>
          </w:p>
        </w:tc>
        <w:tc>
          <w:tcPr>
            <w:tcW w:w="2412" w:type="dxa"/>
            <w:vAlign w:val="center"/>
          </w:tcPr>
          <w:p w14:paraId="294883AB" w14:textId="77777777" w:rsidR="002F3004" w:rsidRPr="00930EAE" w:rsidRDefault="002F3004" w:rsidP="00C17A09">
            <w:pPr>
              <w:spacing w:after="0"/>
              <w:jc w:val="both"/>
              <w:rPr>
                <w:rFonts w:cs="Times New Roman"/>
                <w:szCs w:val="24"/>
              </w:rPr>
            </w:pPr>
            <w:r w:rsidRPr="00930EAE">
              <w:rPr>
                <w:rFonts w:cs="Times New Roman"/>
                <w:szCs w:val="24"/>
              </w:rPr>
              <w:t>Generate product-specific wound-related evidence</w:t>
            </w:r>
          </w:p>
        </w:tc>
      </w:tr>
      <w:tr w:rsidR="002F3004" w:rsidRPr="00930EAE" w14:paraId="2BF4EE47" w14:textId="77777777" w:rsidTr="00E239B7">
        <w:trPr>
          <w:jc w:val="center"/>
        </w:trPr>
        <w:tc>
          <w:tcPr>
            <w:tcW w:w="2412" w:type="dxa"/>
            <w:vAlign w:val="center"/>
          </w:tcPr>
          <w:p w14:paraId="5BEA5481" w14:textId="77777777" w:rsidR="002F3004" w:rsidRPr="00930EAE" w:rsidRDefault="002F3004" w:rsidP="00C17A09">
            <w:pPr>
              <w:spacing w:after="0"/>
              <w:jc w:val="both"/>
              <w:rPr>
                <w:rFonts w:cs="Times New Roman"/>
                <w:szCs w:val="24"/>
              </w:rPr>
            </w:pPr>
            <w:r w:rsidRPr="00930EAE">
              <w:rPr>
                <w:rFonts w:cs="Times New Roman"/>
                <w:szCs w:val="24"/>
              </w:rPr>
              <w:t>Botanical combination</w:t>
            </w:r>
          </w:p>
        </w:tc>
        <w:tc>
          <w:tcPr>
            <w:tcW w:w="2412" w:type="dxa"/>
            <w:vAlign w:val="center"/>
          </w:tcPr>
          <w:p w14:paraId="47B8D22C" w14:textId="77777777" w:rsidR="002F3004" w:rsidRPr="00930EAE" w:rsidRDefault="002F3004" w:rsidP="00C17A09">
            <w:pPr>
              <w:spacing w:after="0"/>
              <w:jc w:val="both"/>
              <w:rPr>
                <w:rFonts w:cs="Times New Roman"/>
                <w:szCs w:val="24"/>
              </w:rPr>
            </w:pPr>
            <w:r w:rsidRPr="00930EAE">
              <w:rPr>
                <w:rFonts w:cs="Times New Roman"/>
                <w:szCs w:val="24"/>
              </w:rPr>
              <w:t>Plausible complementary mechanisms</w:t>
            </w:r>
          </w:p>
        </w:tc>
        <w:tc>
          <w:tcPr>
            <w:tcW w:w="2412" w:type="dxa"/>
            <w:vAlign w:val="center"/>
          </w:tcPr>
          <w:p w14:paraId="1863BEC0" w14:textId="77777777" w:rsidR="002F3004" w:rsidRPr="00930EAE" w:rsidRDefault="002F3004" w:rsidP="00C17A09">
            <w:pPr>
              <w:spacing w:after="0"/>
              <w:jc w:val="both"/>
              <w:rPr>
                <w:rFonts w:cs="Times New Roman"/>
                <w:szCs w:val="24"/>
              </w:rPr>
            </w:pPr>
            <w:r w:rsidRPr="00930EAE">
              <w:rPr>
                <w:rFonts w:cs="Times New Roman"/>
                <w:szCs w:val="24"/>
              </w:rPr>
              <w:t>Synergy cannot be assumed</w:t>
            </w:r>
          </w:p>
        </w:tc>
        <w:tc>
          <w:tcPr>
            <w:tcW w:w="2412" w:type="dxa"/>
            <w:vAlign w:val="center"/>
          </w:tcPr>
          <w:p w14:paraId="45997A48" w14:textId="77777777" w:rsidR="002F3004" w:rsidRPr="00930EAE" w:rsidRDefault="002F3004" w:rsidP="00C17A09">
            <w:pPr>
              <w:spacing w:after="0"/>
              <w:jc w:val="both"/>
              <w:rPr>
                <w:rFonts w:cs="Times New Roman"/>
                <w:szCs w:val="24"/>
              </w:rPr>
            </w:pPr>
            <w:r w:rsidRPr="00930EAE">
              <w:rPr>
                <w:rFonts w:cs="Times New Roman"/>
                <w:szCs w:val="24"/>
              </w:rPr>
              <w:t>Compare individual and combined treatments</w:t>
            </w:r>
          </w:p>
        </w:tc>
      </w:tr>
      <w:tr w:rsidR="002F3004" w:rsidRPr="00930EAE" w14:paraId="2184DEA6" w14:textId="77777777" w:rsidTr="00E239B7">
        <w:trPr>
          <w:jc w:val="center"/>
        </w:trPr>
        <w:tc>
          <w:tcPr>
            <w:tcW w:w="2412" w:type="dxa"/>
            <w:vAlign w:val="center"/>
          </w:tcPr>
          <w:p w14:paraId="6E65F6A0" w14:textId="77777777" w:rsidR="002F3004" w:rsidRPr="00930EAE" w:rsidRDefault="002F3004" w:rsidP="00C17A09">
            <w:pPr>
              <w:spacing w:after="0"/>
              <w:jc w:val="both"/>
              <w:rPr>
                <w:rFonts w:cs="Times New Roman"/>
                <w:szCs w:val="24"/>
              </w:rPr>
            </w:pPr>
            <w:r w:rsidRPr="00930EAE">
              <w:rPr>
                <w:rFonts w:cs="Times New Roman"/>
                <w:szCs w:val="24"/>
              </w:rPr>
              <w:t>Non-propellant foam</w:t>
            </w:r>
          </w:p>
        </w:tc>
        <w:tc>
          <w:tcPr>
            <w:tcW w:w="2412" w:type="dxa"/>
            <w:vAlign w:val="center"/>
          </w:tcPr>
          <w:p w14:paraId="58B35A59" w14:textId="77777777" w:rsidR="002F3004" w:rsidRPr="00930EAE" w:rsidRDefault="002F3004" w:rsidP="00C17A09">
            <w:pPr>
              <w:spacing w:after="0"/>
              <w:jc w:val="both"/>
              <w:rPr>
                <w:rFonts w:cs="Times New Roman"/>
                <w:szCs w:val="24"/>
              </w:rPr>
            </w:pPr>
            <w:r w:rsidRPr="00930EAE">
              <w:rPr>
                <w:rFonts w:cs="Times New Roman"/>
                <w:szCs w:val="24"/>
              </w:rPr>
              <w:t>Emerging pharmaceutical platform</w:t>
            </w:r>
          </w:p>
        </w:tc>
        <w:tc>
          <w:tcPr>
            <w:tcW w:w="2412" w:type="dxa"/>
            <w:vAlign w:val="center"/>
          </w:tcPr>
          <w:p w14:paraId="739DFCD8" w14:textId="77777777" w:rsidR="002F3004" w:rsidRPr="00930EAE" w:rsidRDefault="002F3004" w:rsidP="00C17A09">
            <w:pPr>
              <w:spacing w:after="0"/>
              <w:jc w:val="both"/>
              <w:rPr>
                <w:rFonts w:cs="Times New Roman"/>
                <w:szCs w:val="24"/>
              </w:rPr>
            </w:pPr>
            <w:r w:rsidRPr="00930EAE">
              <w:rPr>
                <w:rFonts w:cs="Times New Roman"/>
                <w:szCs w:val="24"/>
              </w:rPr>
              <w:t>Limited botanical wound-formulation evidence</w:t>
            </w:r>
          </w:p>
        </w:tc>
        <w:tc>
          <w:tcPr>
            <w:tcW w:w="2412" w:type="dxa"/>
            <w:vAlign w:val="center"/>
          </w:tcPr>
          <w:p w14:paraId="0EF9D59F" w14:textId="77777777" w:rsidR="002F3004" w:rsidRPr="00930EAE" w:rsidRDefault="002F3004" w:rsidP="00C17A09">
            <w:pPr>
              <w:spacing w:after="0"/>
              <w:jc w:val="both"/>
              <w:rPr>
                <w:rFonts w:cs="Times New Roman"/>
                <w:szCs w:val="24"/>
              </w:rPr>
            </w:pPr>
            <w:r w:rsidRPr="00930EAE">
              <w:rPr>
                <w:rFonts w:cs="Times New Roman"/>
                <w:szCs w:val="24"/>
              </w:rPr>
              <w:t>Optimize formulation and device-related performance</w:t>
            </w:r>
          </w:p>
        </w:tc>
      </w:tr>
      <w:tr w:rsidR="002F3004" w:rsidRPr="00930EAE" w14:paraId="250189B7" w14:textId="77777777" w:rsidTr="00E239B7">
        <w:trPr>
          <w:jc w:val="center"/>
        </w:trPr>
        <w:tc>
          <w:tcPr>
            <w:tcW w:w="2412" w:type="dxa"/>
            <w:vAlign w:val="center"/>
          </w:tcPr>
          <w:p w14:paraId="015E4E64" w14:textId="77777777" w:rsidR="002F3004" w:rsidRPr="00930EAE" w:rsidRDefault="002F3004" w:rsidP="00C17A09">
            <w:pPr>
              <w:spacing w:after="0"/>
              <w:jc w:val="both"/>
              <w:rPr>
                <w:rFonts w:cs="Times New Roman"/>
                <w:szCs w:val="24"/>
              </w:rPr>
            </w:pPr>
            <w:proofErr w:type="spellStart"/>
            <w:r w:rsidRPr="00930EAE">
              <w:rPr>
                <w:rFonts w:cs="Times New Roman"/>
                <w:szCs w:val="24"/>
              </w:rPr>
              <w:t>QbD</w:t>
            </w:r>
            <w:proofErr w:type="spellEnd"/>
            <w:r w:rsidRPr="00930EAE">
              <w:rPr>
                <w:rFonts w:cs="Times New Roman"/>
                <w:szCs w:val="24"/>
              </w:rPr>
              <w:t>/DoE</w:t>
            </w:r>
          </w:p>
        </w:tc>
        <w:tc>
          <w:tcPr>
            <w:tcW w:w="2412" w:type="dxa"/>
            <w:vAlign w:val="center"/>
          </w:tcPr>
          <w:p w14:paraId="19F1FBC4" w14:textId="77777777" w:rsidR="002F3004" w:rsidRPr="00930EAE" w:rsidRDefault="002F3004" w:rsidP="00C17A09">
            <w:pPr>
              <w:spacing w:after="0"/>
              <w:jc w:val="both"/>
              <w:rPr>
                <w:rFonts w:cs="Times New Roman"/>
                <w:szCs w:val="24"/>
              </w:rPr>
            </w:pPr>
            <w:r w:rsidRPr="00930EAE">
              <w:rPr>
                <w:rFonts w:cs="Times New Roman"/>
                <w:szCs w:val="24"/>
              </w:rPr>
              <w:t>Established pharmaceutical development framework</w:t>
            </w:r>
          </w:p>
        </w:tc>
        <w:tc>
          <w:tcPr>
            <w:tcW w:w="2412" w:type="dxa"/>
            <w:vAlign w:val="center"/>
          </w:tcPr>
          <w:p w14:paraId="735452D6" w14:textId="77777777" w:rsidR="002F3004" w:rsidRPr="00930EAE" w:rsidRDefault="002F3004" w:rsidP="00C17A09">
            <w:pPr>
              <w:spacing w:after="0"/>
              <w:jc w:val="both"/>
              <w:rPr>
                <w:rFonts w:cs="Times New Roman"/>
                <w:szCs w:val="24"/>
              </w:rPr>
            </w:pPr>
            <w:r w:rsidRPr="00930EAE">
              <w:rPr>
                <w:rFonts w:cs="Times New Roman"/>
                <w:szCs w:val="24"/>
              </w:rPr>
              <w:t>Needs application to this specific multi-component foam</w:t>
            </w:r>
          </w:p>
        </w:tc>
        <w:tc>
          <w:tcPr>
            <w:tcW w:w="2412" w:type="dxa"/>
            <w:vAlign w:val="center"/>
          </w:tcPr>
          <w:p w14:paraId="04FACFC6" w14:textId="77777777" w:rsidR="002F3004" w:rsidRPr="00930EAE" w:rsidRDefault="002F3004" w:rsidP="00C17A09">
            <w:pPr>
              <w:spacing w:after="0"/>
              <w:jc w:val="both"/>
              <w:rPr>
                <w:rFonts w:cs="Times New Roman"/>
                <w:szCs w:val="24"/>
              </w:rPr>
            </w:pPr>
            <w:r w:rsidRPr="00930EAE">
              <w:rPr>
                <w:rFonts w:cs="Times New Roman"/>
                <w:szCs w:val="24"/>
              </w:rPr>
              <w:t>Use risk-based screening and response-surface optimization</w:t>
            </w:r>
          </w:p>
        </w:tc>
      </w:tr>
      <w:tr w:rsidR="002F3004" w:rsidRPr="00930EAE" w14:paraId="63AE8E23" w14:textId="77777777" w:rsidTr="00E239B7">
        <w:trPr>
          <w:jc w:val="center"/>
        </w:trPr>
        <w:tc>
          <w:tcPr>
            <w:tcW w:w="2412" w:type="dxa"/>
            <w:vAlign w:val="center"/>
          </w:tcPr>
          <w:p w14:paraId="470D0074" w14:textId="77777777" w:rsidR="002F3004" w:rsidRPr="00930EAE" w:rsidRDefault="002F3004" w:rsidP="00C17A09">
            <w:pPr>
              <w:spacing w:after="0"/>
              <w:jc w:val="both"/>
              <w:rPr>
                <w:rFonts w:cs="Times New Roman"/>
                <w:szCs w:val="24"/>
              </w:rPr>
            </w:pPr>
            <w:r w:rsidRPr="00930EAE">
              <w:rPr>
                <w:rFonts w:cs="Times New Roman"/>
                <w:szCs w:val="24"/>
              </w:rPr>
              <w:t>Integrated evaluation</w:t>
            </w:r>
          </w:p>
        </w:tc>
        <w:tc>
          <w:tcPr>
            <w:tcW w:w="2412" w:type="dxa"/>
            <w:vAlign w:val="center"/>
          </w:tcPr>
          <w:p w14:paraId="58D74D36" w14:textId="77777777" w:rsidR="002F3004" w:rsidRPr="00930EAE" w:rsidRDefault="002F3004" w:rsidP="00C17A09">
            <w:pPr>
              <w:spacing w:after="0"/>
              <w:jc w:val="both"/>
              <w:rPr>
                <w:rFonts w:cs="Times New Roman"/>
                <w:szCs w:val="24"/>
              </w:rPr>
            </w:pPr>
            <w:r w:rsidRPr="00930EAE">
              <w:rPr>
                <w:rFonts w:cs="Times New Roman"/>
                <w:szCs w:val="24"/>
              </w:rPr>
              <w:t>Methods exist across separate literature areas</w:t>
            </w:r>
          </w:p>
        </w:tc>
        <w:tc>
          <w:tcPr>
            <w:tcW w:w="2412" w:type="dxa"/>
            <w:vAlign w:val="center"/>
          </w:tcPr>
          <w:p w14:paraId="56BA001C" w14:textId="77777777" w:rsidR="002F3004" w:rsidRPr="00930EAE" w:rsidRDefault="002F3004" w:rsidP="00C17A09">
            <w:pPr>
              <w:spacing w:after="0"/>
              <w:jc w:val="both"/>
              <w:rPr>
                <w:rFonts w:cs="Times New Roman"/>
                <w:szCs w:val="24"/>
              </w:rPr>
            </w:pPr>
            <w:r w:rsidRPr="00930EAE">
              <w:rPr>
                <w:rFonts w:cs="Times New Roman"/>
                <w:szCs w:val="24"/>
              </w:rPr>
              <w:t>Limited end-to-end evidence chain</w:t>
            </w:r>
          </w:p>
        </w:tc>
        <w:tc>
          <w:tcPr>
            <w:tcW w:w="2412" w:type="dxa"/>
            <w:vAlign w:val="center"/>
          </w:tcPr>
          <w:p w14:paraId="38A316CD" w14:textId="77777777" w:rsidR="002F3004" w:rsidRPr="00930EAE" w:rsidRDefault="002F3004" w:rsidP="00C17A09">
            <w:pPr>
              <w:spacing w:after="0"/>
              <w:jc w:val="both"/>
              <w:rPr>
                <w:rFonts w:cs="Times New Roman"/>
                <w:szCs w:val="24"/>
              </w:rPr>
            </w:pPr>
            <w:r w:rsidRPr="00930EAE">
              <w:rPr>
                <w:rFonts w:cs="Times New Roman"/>
                <w:szCs w:val="24"/>
              </w:rPr>
              <w:t>Link standardization, performance, biology and stability</w:t>
            </w:r>
          </w:p>
        </w:tc>
      </w:tr>
    </w:tbl>
    <w:p w14:paraId="3A8FC27C"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Source: Analytical synthesis of the literature reviewed in this chapter.</w:t>
      </w:r>
    </w:p>
    <w:p w14:paraId="3824ECDC"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2.41 Proposed Scientific Rationale of the Present Study</w:t>
      </w:r>
    </w:p>
    <w:p w14:paraId="7B9F7747" w14:textId="77777777" w:rsidR="002F3004" w:rsidRPr="00930EAE" w:rsidRDefault="002F3004" w:rsidP="00C17A09">
      <w:pPr>
        <w:jc w:val="both"/>
        <w:rPr>
          <w:rFonts w:cs="Times New Roman"/>
          <w:szCs w:val="24"/>
        </w:rPr>
      </w:pPr>
      <w:r w:rsidRPr="00930EAE">
        <w:rPr>
          <w:rFonts w:cs="Times New Roman"/>
          <w:szCs w:val="24"/>
        </w:rPr>
        <w:t>Wound healing involves interconnected inflammation, oxidative stress, microbial interactions, matrix remodeling, angiogenesis and epithelialization. Turmeric/curcumin and guggul/</w:t>
      </w:r>
      <w:proofErr w:type="spellStart"/>
      <w:r w:rsidRPr="00930EAE">
        <w:rPr>
          <w:rFonts w:cs="Times New Roman"/>
          <w:szCs w:val="24"/>
        </w:rPr>
        <w:t>guggulsterones</w:t>
      </w:r>
      <w:proofErr w:type="spellEnd"/>
      <w:r w:rsidRPr="00930EAE">
        <w:rPr>
          <w:rFonts w:cs="Times New Roman"/>
          <w:szCs w:val="24"/>
        </w:rPr>
        <w:t xml:space="preserve"> provide potentially complementary activities. Standardized extracts in a non-propellant foam can combine local delivery with convenient application, while </w:t>
      </w:r>
      <w:proofErr w:type="spellStart"/>
      <w:r w:rsidRPr="00930EAE">
        <w:rPr>
          <w:rFonts w:cs="Times New Roman"/>
          <w:szCs w:val="24"/>
        </w:rPr>
        <w:t>QbD</w:t>
      </w:r>
      <w:proofErr w:type="spellEnd"/>
      <w:r w:rsidRPr="00930EAE">
        <w:rPr>
          <w:rFonts w:cs="Times New Roman"/>
          <w:szCs w:val="24"/>
        </w:rPr>
        <w:t xml:space="preserve"> and DoE provide a rigorous optimization framework. The study integrates wound biology, standardized botanical pharmacology, topical delivery and foam technology. The scientific rationale of the present study rests on alignment between wound biology, botanical pharmacology and dosage-form engineering. Wounds involve overlapping inflammatory, oxidative, microbial, proliferative and remodeling </w:t>
      </w:r>
      <w:r w:rsidRPr="00930EAE">
        <w:rPr>
          <w:rFonts w:cs="Times New Roman"/>
          <w:szCs w:val="24"/>
        </w:rPr>
        <w:lastRenderedPageBreak/>
        <w:t xml:space="preserve">processes, creating a plausible rationale for a formulation containing constituents with multiple biological activities. Turmeric provides a relatively strong evidence base for antioxidant and anti-inflammatory effects, while guggul offers a complementary phytochemical profile with signaling-related activity. The non-propellant foam is proposed as the delivery platform because it can provide localized application, broad surface coverage and a potentially convenient dosage form. However, the formulation must be developed so that chemical stability, marker uniformity, foam performance and biological compatibility are maintained together. </w:t>
      </w:r>
      <w:proofErr w:type="spellStart"/>
      <w:r w:rsidRPr="00930EAE">
        <w:rPr>
          <w:rFonts w:cs="Times New Roman"/>
          <w:szCs w:val="24"/>
        </w:rPr>
        <w:t>QbD</w:t>
      </w:r>
      <w:proofErr w:type="spellEnd"/>
      <w:r w:rsidRPr="00930EAE">
        <w:rPr>
          <w:rFonts w:cs="Times New Roman"/>
          <w:szCs w:val="24"/>
        </w:rPr>
        <w:t xml:space="preserve"> and DoE provide the methodological framework for achieving this by defining target attributes, identifying important variables and optimizing responses simultaneously. The resulting research question is therefore not simply whether turmeric and guggul are biologically active, but whether standardized extracts can be incorporated into a reproducible foam that provides acceptable pharmaceutical performance and measurable biological activity. This framing creates a clearer connection between the literature review and the experimental objectives.</w:t>
      </w:r>
    </w:p>
    <w:p w14:paraId="2FAFEA50"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2.42 Integrated Literature-Based Development Strategy</w:t>
      </w:r>
    </w:p>
    <w:p w14:paraId="0ABCBAEF" w14:textId="77777777" w:rsidR="002F3004" w:rsidRPr="00930EAE" w:rsidRDefault="002F3004" w:rsidP="00C17A09">
      <w:pPr>
        <w:jc w:val="both"/>
        <w:rPr>
          <w:rFonts w:cs="Times New Roman"/>
          <w:szCs w:val="24"/>
        </w:rPr>
      </w:pPr>
      <w:r w:rsidRPr="00930EAE">
        <w:rPr>
          <w:rFonts w:cs="Times New Roman"/>
          <w:szCs w:val="24"/>
        </w:rPr>
        <w:t xml:space="preserve">The proposed sequence is: botanical authentication and standardization; controlled extract development; preliminary formulation screening; </w:t>
      </w:r>
      <w:proofErr w:type="spellStart"/>
      <w:r w:rsidRPr="00930EAE">
        <w:rPr>
          <w:rFonts w:cs="Times New Roman"/>
          <w:szCs w:val="24"/>
        </w:rPr>
        <w:t>QbD</w:t>
      </w:r>
      <w:proofErr w:type="spellEnd"/>
      <w:r w:rsidRPr="00930EAE">
        <w:rPr>
          <w:rFonts w:cs="Times New Roman"/>
          <w:szCs w:val="24"/>
        </w:rPr>
        <w:t xml:space="preserve">-based optimization; physicochemical and analytical characterization; biological assessment; and stability testing. This links raw-material quality to final product performance. An integrated development strategy should begin with authentication and standardization of the botanical materials because formulation optimization cannot compensate for uncontrolled input variability. Controlled extraction should then establish reproducible marker content and chemical profiles. Preliminary compatibility studies can identify excipients and composition ranges capable of generating a stable foam, followed by risk assessment and DoE-based optimization. The optimized formulation should be characterized using physicochemical, analytical and performance tests, followed by release and permeation studies and a structured biological evaluation. Stability testing should be incorporated to determine whether the optimized product retains its critical attributes during storage. This sequence creates a logical progression from raw material to final product and allows information from each stage to inform the next. For example, a marker loss identified during stability may indicate a formulation incompatibility, while poor release may explain a weak biological response. Such feedback is a central advantage of an integrated development approach. The final product should therefore be </w:t>
      </w:r>
      <w:r w:rsidRPr="00930EAE">
        <w:rPr>
          <w:rFonts w:cs="Times New Roman"/>
          <w:szCs w:val="24"/>
        </w:rPr>
        <w:lastRenderedPageBreak/>
        <w:t>selected using a multi-response perspective in which no single property is allowed to dominate the decision at the expense of overall quality.</w:t>
      </w:r>
    </w:p>
    <w:p w14:paraId="055C1B53"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2.43 Integrated Risk Assessment and Control Strategy</w:t>
      </w:r>
    </w:p>
    <w:p w14:paraId="3990F0FB" w14:textId="77777777" w:rsidR="002F3004" w:rsidRDefault="002F3004" w:rsidP="00C17A09">
      <w:pPr>
        <w:jc w:val="both"/>
        <w:rPr>
          <w:rFonts w:cs="Times New Roman"/>
          <w:szCs w:val="24"/>
        </w:rPr>
      </w:pPr>
      <w:r w:rsidRPr="00930EAE">
        <w:rPr>
          <w:rFonts w:cs="Times New Roman"/>
          <w:szCs w:val="24"/>
        </w:rPr>
        <w:t xml:space="preserve">An explicit risk-assessment stage can strengthen the development process by identifying which material attributes and process variables are most likely to affect critical quality attributes. For the proposed formulation, potential risks include variability in botanical marker content, extract solubility, surfactant–extract interactions, polymer-induced changes in viscosity and release, pH-related degradation, inadequate foam generation and microbial contamination. Each risk can be ranked according to severity, probability and detectability, after which high-priority risks can be addressed experimentally. Process controls can then be linked to measurable acceptance criteria. This approach is useful because a formulation can fail for different reasons: a chemically stable product may have poor foam performance, while an attractive foam may show inadequate marker release or unacceptable biological compatibility. Risk-based development encourages these possibilities to be considered before final optimization. It also supports a more transparent justification for the variables selected for DoE and for the CQAs included in the final specification. In combination with </w:t>
      </w:r>
      <w:proofErr w:type="spellStart"/>
      <w:r w:rsidRPr="00930EAE">
        <w:rPr>
          <w:rFonts w:cs="Times New Roman"/>
          <w:szCs w:val="24"/>
        </w:rPr>
        <w:t>QbD</w:t>
      </w:r>
      <w:proofErr w:type="spellEnd"/>
      <w:r w:rsidRPr="00930EAE">
        <w:rPr>
          <w:rFonts w:cs="Times New Roman"/>
          <w:szCs w:val="24"/>
        </w:rPr>
        <w:t>, risk assessment therefore provides a practical bridge between literature knowledge and experimental decision-making.</w:t>
      </w:r>
    </w:p>
    <w:p w14:paraId="08799F02" w14:textId="77777777" w:rsidR="002F3004" w:rsidRPr="00930EAE" w:rsidRDefault="002F3004" w:rsidP="00C17A09">
      <w:pPr>
        <w:jc w:val="both"/>
        <w:rPr>
          <w:rFonts w:cs="Times New Roman"/>
          <w:szCs w:val="24"/>
        </w:rPr>
      </w:pPr>
      <w:r>
        <w:rPr>
          <w:rFonts w:cs="Times New Roman"/>
          <w:noProof/>
          <w:szCs w:val="24"/>
        </w:rPr>
        <w:lastRenderedPageBreak/>
        <w:drawing>
          <wp:inline distT="0" distB="0" distL="0" distR="0" wp14:anchorId="41977BC8" wp14:editId="6B748610">
            <wp:extent cx="5958840" cy="6962775"/>
            <wp:effectExtent l="0" t="0" r="3810" b="9525"/>
            <wp:docPr id="570899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8840" cy="6962775"/>
                    </a:xfrm>
                    <a:prstGeom prst="rect">
                      <a:avLst/>
                    </a:prstGeom>
                    <a:noFill/>
                  </pic:spPr>
                </pic:pic>
              </a:graphicData>
            </a:graphic>
          </wp:inline>
        </w:drawing>
      </w:r>
    </w:p>
    <w:p w14:paraId="3CD5D0B1" w14:textId="77777777" w:rsidR="002F3004" w:rsidRPr="00930EAE" w:rsidRDefault="002F3004" w:rsidP="00C17A09">
      <w:pPr>
        <w:jc w:val="both"/>
        <w:rPr>
          <w:rFonts w:cs="Times New Roman"/>
          <w:szCs w:val="24"/>
        </w:rPr>
      </w:pPr>
    </w:p>
    <w:p w14:paraId="71B3DC48"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Figure 2.3. Integrated literature-based development pathway</w:t>
      </w:r>
    </w:p>
    <w:p w14:paraId="1C16A906" w14:textId="77777777" w:rsidR="002F3004" w:rsidRPr="00930EAE" w:rsidRDefault="002F3004" w:rsidP="00C17A09">
      <w:pPr>
        <w:pStyle w:val="CaptionThesis"/>
        <w:spacing w:line="360" w:lineRule="auto"/>
        <w:jc w:val="both"/>
        <w:rPr>
          <w:rFonts w:cs="Times New Roman"/>
          <w:sz w:val="24"/>
          <w:szCs w:val="24"/>
        </w:rPr>
      </w:pPr>
      <w:r w:rsidRPr="00930EAE">
        <w:rPr>
          <w:rFonts w:cs="Times New Roman"/>
          <w:sz w:val="24"/>
          <w:szCs w:val="24"/>
        </w:rPr>
        <w:t xml:space="preserve">Source: Conceptual synthesis based on the reviewed literature and </w:t>
      </w:r>
      <w:proofErr w:type="spellStart"/>
      <w:r w:rsidRPr="00930EAE">
        <w:rPr>
          <w:rFonts w:cs="Times New Roman"/>
          <w:sz w:val="24"/>
          <w:szCs w:val="24"/>
        </w:rPr>
        <w:t>QbD</w:t>
      </w:r>
      <w:proofErr w:type="spellEnd"/>
      <w:r w:rsidRPr="00930EAE">
        <w:rPr>
          <w:rFonts w:cs="Times New Roman"/>
          <w:sz w:val="24"/>
          <w:szCs w:val="24"/>
        </w:rPr>
        <w:t>/DoE principles.</w:t>
      </w:r>
    </w:p>
    <w:p w14:paraId="2C5F1031"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lastRenderedPageBreak/>
        <w:t>2.44 Overall Critical Appraisal of the Literature</w:t>
      </w:r>
    </w:p>
    <w:p w14:paraId="55FCE671" w14:textId="77777777" w:rsidR="002F3004" w:rsidRPr="00930EAE" w:rsidRDefault="002F3004" w:rsidP="00C17A09">
      <w:pPr>
        <w:jc w:val="both"/>
        <w:rPr>
          <w:rFonts w:cs="Times New Roman"/>
          <w:szCs w:val="24"/>
        </w:rPr>
      </w:pPr>
      <w:r w:rsidRPr="00930EAE">
        <w:rPr>
          <w:rFonts w:cs="Times New Roman"/>
          <w:szCs w:val="24"/>
        </w:rPr>
        <w:t xml:space="preserve">The literature supports a multifactorial approach to wound management. Curcumin is extensively investigated but constrained by physicochemical and formulation challenges. Guggul has a complementary pharmacological profile but less direct wound evidence. Foam provides a useful topical platform, while non-propellant technology is emerging. The principal research contribution is the integration of standardized botanicals, topical delivery, foam technology, </w:t>
      </w:r>
      <w:proofErr w:type="spellStart"/>
      <w:r w:rsidRPr="00930EAE">
        <w:rPr>
          <w:rFonts w:cs="Times New Roman"/>
          <w:szCs w:val="24"/>
        </w:rPr>
        <w:t>QbD</w:t>
      </w:r>
      <w:proofErr w:type="spellEnd"/>
      <w:r w:rsidRPr="00930EAE">
        <w:rPr>
          <w:rFonts w:cs="Times New Roman"/>
          <w:szCs w:val="24"/>
        </w:rPr>
        <w:t xml:space="preserve"> optimization and comprehensive biological evaluation. Overall, the literature supports the investigation of a multifunctional topical system but also highlights the limitations that must be addressed before strong conclusions can be drawn. Curcumin and turmeric have a substantial experimental evidence base, yet poor solubility, instability and formulation-dependent availability remain important barriers. Guggul provides an interesting complementary phytochemical profile and mechanistic rationale, but its direct wound-healing evidence is comparatively limited. Foam technology offers practical advantages for localized coverage, although its performance depends strongly on interfacial and rheological behavior. Non-propellant systems provide an emerging route that shifts attention toward device–formulation compatibility and mechanical foam generation. Across all these areas, standardization and reproducibility are recurring requirements. The literature therefore favors a development pathway that integrates chemical quality, formulation science, biological evaluation and stability rather than treating them as separate tasks. The principal scientific contribution of the proposed work would be the systematic connection of these elements within one standardized turmeric–guggul foam platform. Any claim of superiority, synergy or clinical relevance should remain conditional on the results of comparative experiments and appropriately controlled studies.</w:t>
      </w:r>
    </w:p>
    <w:p w14:paraId="62215132" w14:textId="77777777" w:rsidR="002F3004" w:rsidRPr="00930EAE" w:rsidRDefault="002F3004" w:rsidP="00C17A09">
      <w:pPr>
        <w:pStyle w:val="Heading1"/>
        <w:jc w:val="both"/>
        <w:rPr>
          <w:rFonts w:ascii="Times New Roman" w:hAnsi="Times New Roman" w:cs="Times New Roman"/>
          <w:color w:val="auto"/>
          <w:sz w:val="24"/>
          <w:szCs w:val="24"/>
        </w:rPr>
      </w:pPr>
      <w:r w:rsidRPr="00930EAE">
        <w:rPr>
          <w:rFonts w:ascii="Times New Roman" w:hAnsi="Times New Roman" w:cs="Times New Roman"/>
          <w:color w:val="auto"/>
          <w:sz w:val="24"/>
          <w:szCs w:val="24"/>
        </w:rPr>
        <w:t>2.45 Chapter Summary</w:t>
      </w:r>
    </w:p>
    <w:p w14:paraId="3334C454" w14:textId="77777777" w:rsidR="002F3004" w:rsidRDefault="002F3004" w:rsidP="00C17A09">
      <w:pPr>
        <w:jc w:val="both"/>
        <w:rPr>
          <w:rFonts w:cs="Times New Roman"/>
          <w:szCs w:val="24"/>
        </w:rPr>
      </w:pPr>
      <w:r w:rsidRPr="00930EAE">
        <w:rPr>
          <w:rFonts w:cs="Times New Roman"/>
          <w:szCs w:val="24"/>
        </w:rPr>
        <w:t xml:space="preserve">Wound healing is a coordinated process involving hemostasis, inflammation, proliferation, angiogenesis, epithelialization, extracellular matrix formation and remodeling. Chronic wounds may become trapped in inflammatory, oxidative, proteolytic and microbial cycles. Turmeric/curcumin provides substantial evidence for antioxidant, anti-inflammatory, antimicrobial and wound-related activity but has solubility and stability limitations. Guggul provides </w:t>
      </w:r>
      <w:proofErr w:type="spellStart"/>
      <w:r w:rsidRPr="00930EAE">
        <w:rPr>
          <w:rFonts w:cs="Times New Roman"/>
          <w:szCs w:val="24"/>
        </w:rPr>
        <w:t>guggulsterones</w:t>
      </w:r>
      <w:proofErr w:type="spellEnd"/>
      <w:r w:rsidRPr="00930EAE">
        <w:rPr>
          <w:rFonts w:cs="Times New Roman"/>
          <w:szCs w:val="24"/>
        </w:rPr>
        <w:t xml:space="preserve"> and other constituents with anti-inflammatory and signaling-related activity, while direct wound evidence is comparatively limited. Standardization, topical delivery, non-propellant foam technology, </w:t>
      </w:r>
      <w:proofErr w:type="spellStart"/>
      <w:r w:rsidRPr="00930EAE">
        <w:rPr>
          <w:rFonts w:cs="Times New Roman"/>
          <w:szCs w:val="24"/>
        </w:rPr>
        <w:t>QbD</w:t>
      </w:r>
      <w:proofErr w:type="spellEnd"/>
      <w:r w:rsidRPr="00930EAE">
        <w:rPr>
          <w:rFonts w:cs="Times New Roman"/>
          <w:szCs w:val="24"/>
        </w:rPr>
        <w:t xml:space="preserve">, DoE, biological evaluation, safety and stability provide a coherent basis for development of a standardized turmeric–guggul non-propellant topical foam. In summary, wound healing is a dynamic and </w:t>
      </w:r>
      <w:r w:rsidRPr="00930EAE">
        <w:rPr>
          <w:rFonts w:cs="Times New Roman"/>
          <w:szCs w:val="24"/>
        </w:rPr>
        <w:lastRenderedPageBreak/>
        <w:t xml:space="preserve">overlapping biological process in which inflammation, oxidative balance, microbial burden, angiogenesis, matrix formation and epithelialization interact continuously. Chronic wounds can become trapped in pathological cycles that delay progression toward repair, creating a rationale for localized multifunctional interventions. Turmeric and curcumin offer substantial evidence for antioxidant, anti-inflammatory, antimicrobial and wound-related activity, but their pharmaceutical use is constrained by solubility and stability challenges. Guggul and </w:t>
      </w:r>
      <w:proofErr w:type="spellStart"/>
      <w:r w:rsidRPr="00930EAE">
        <w:rPr>
          <w:rFonts w:cs="Times New Roman"/>
          <w:szCs w:val="24"/>
        </w:rPr>
        <w:t>guggulsterones</w:t>
      </w:r>
      <w:proofErr w:type="spellEnd"/>
      <w:r w:rsidRPr="00930EAE">
        <w:rPr>
          <w:rFonts w:cs="Times New Roman"/>
          <w:szCs w:val="24"/>
        </w:rPr>
        <w:t xml:space="preserve"> provide complementary pharmacological interest, although direct wound-specific evidence is less extensive. Standardization, controlled extraction and analytical quality control are therefore essential for obtaining reproducible botanical materials. A non-propellant foam may provide a practical local delivery platform, but its performance depends on surfactants, polymers, processing conditions, device characteristics and the chemical properties of the extracts. </w:t>
      </w:r>
      <w:proofErr w:type="spellStart"/>
      <w:r w:rsidRPr="00930EAE">
        <w:rPr>
          <w:rFonts w:cs="Times New Roman"/>
          <w:szCs w:val="24"/>
        </w:rPr>
        <w:t>QbD</w:t>
      </w:r>
      <w:proofErr w:type="spellEnd"/>
      <w:r w:rsidRPr="00930EAE">
        <w:rPr>
          <w:rFonts w:cs="Times New Roman"/>
          <w:szCs w:val="24"/>
        </w:rPr>
        <w:t xml:space="preserve"> and DoE provide a rational means of managing these interactions, while release, permeation, biological and stability studies establish whether the optimized formulation performs as intended. Collectively, the reviewed literature supports the scientific rationale for systematic development of a standardized turmeric–guggul non-propellant topical foam and defines the major questions that the experimental chapters should address.</w:t>
      </w:r>
    </w:p>
    <w:p w14:paraId="0A5CAA34" w14:textId="77777777" w:rsidR="002F3004" w:rsidRDefault="002F3004" w:rsidP="00C17A09">
      <w:pPr>
        <w:jc w:val="both"/>
        <w:rPr>
          <w:rFonts w:cs="Times New Roman"/>
          <w:szCs w:val="24"/>
        </w:rPr>
      </w:pPr>
    </w:p>
    <w:p w14:paraId="1FFA3EA5" w14:textId="77777777" w:rsidR="002F3004" w:rsidRDefault="002F3004" w:rsidP="00C17A09">
      <w:pPr>
        <w:jc w:val="both"/>
        <w:rPr>
          <w:rFonts w:cs="Times New Roman"/>
          <w:szCs w:val="24"/>
        </w:rPr>
      </w:pPr>
    </w:p>
    <w:p w14:paraId="5E420ACB" w14:textId="77777777" w:rsidR="002F3004" w:rsidRDefault="002F3004" w:rsidP="00C17A09">
      <w:pPr>
        <w:jc w:val="both"/>
        <w:rPr>
          <w:rFonts w:cs="Times New Roman"/>
          <w:szCs w:val="24"/>
        </w:rPr>
      </w:pPr>
    </w:p>
    <w:p w14:paraId="26A4F932" w14:textId="77777777" w:rsidR="002F3004" w:rsidRDefault="002F3004" w:rsidP="00C17A09">
      <w:pPr>
        <w:jc w:val="both"/>
        <w:rPr>
          <w:rFonts w:cs="Times New Roman"/>
          <w:szCs w:val="24"/>
        </w:rPr>
      </w:pPr>
    </w:p>
    <w:p w14:paraId="21F8B8C6" w14:textId="77777777" w:rsidR="002F3004" w:rsidRDefault="002F3004" w:rsidP="00C17A09">
      <w:pPr>
        <w:jc w:val="both"/>
        <w:rPr>
          <w:rFonts w:cs="Times New Roman"/>
          <w:szCs w:val="24"/>
        </w:rPr>
      </w:pPr>
    </w:p>
    <w:p w14:paraId="5DD553F4" w14:textId="77777777" w:rsidR="002F3004" w:rsidRDefault="002F3004" w:rsidP="00C17A09">
      <w:pPr>
        <w:jc w:val="both"/>
        <w:rPr>
          <w:rFonts w:cs="Times New Roman"/>
          <w:szCs w:val="24"/>
        </w:rPr>
      </w:pPr>
    </w:p>
    <w:p w14:paraId="5C02912E" w14:textId="77777777" w:rsidR="002F3004" w:rsidRDefault="002F3004" w:rsidP="00C17A09">
      <w:pPr>
        <w:jc w:val="both"/>
        <w:rPr>
          <w:rFonts w:cs="Times New Roman"/>
          <w:szCs w:val="24"/>
        </w:rPr>
      </w:pPr>
    </w:p>
    <w:p w14:paraId="69886DDF" w14:textId="77777777" w:rsidR="002F3004" w:rsidRDefault="002F3004" w:rsidP="00C17A09">
      <w:pPr>
        <w:jc w:val="both"/>
        <w:rPr>
          <w:rFonts w:cs="Times New Roman"/>
          <w:szCs w:val="24"/>
        </w:rPr>
      </w:pPr>
    </w:p>
    <w:p w14:paraId="31EBEDE3" w14:textId="77777777" w:rsidR="002F3004" w:rsidRDefault="002F3004" w:rsidP="00C17A09">
      <w:pPr>
        <w:jc w:val="both"/>
        <w:rPr>
          <w:rFonts w:cs="Times New Roman"/>
          <w:szCs w:val="24"/>
        </w:rPr>
      </w:pPr>
    </w:p>
    <w:p w14:paraId="4311EA31" w14:textId="77777777" w:rsidR="002F3004" w:rsidRDefault="002F3004" w:rsidP="00C17A09">
      <w:pPr>
        <w:jc w:val="both"/>
        <w:rPr>
          <w:rFonts w:cs="Times New Roman"/>
          <w:szCs w:val="24"/>
        </w:rPr>
      </w:pPr>
    </w:p>
    <w:p w14:paraId="215233A4" w14:textId="77777777" w:rsidR="002F3004" w:rsidRDefault="002F3004" w:rsidP="00C17A09">
      <w:pPr>
        <w:jc w:val="both"/>
        <w:rPr>
          <w:rFonts w:cs="Times New Roman"/>
          <w:szCs w:val="24"/>
        </w:rPr>
      </w:pPr>
    </w:p>
    <w:p w14:paraId="6993EC3F" w14:textId="77777777" w:rsidR="002F3004" w:rsidRDefault="002F3004" w:rsidP="00C17A09">
      <w:pPr>
        <w:jc w:val="both"/>
        <w:rPr>
          <w:rFonts w:cs="Times New Roman"/>
          <w:szCs w:val="24"/>
        </w:rPr>
      </w:pPr>
    </w:p>
    <w:p w14:paraId="6ADB2CA3" w14:textId="77777777" w:rsidR="002F3004" w:rsidRDefault="002F3004" w:rsidP="00C17A09">
      <w:pPr>
        <w:jc w:val="both"/>
        <w:rPr>
          <w:rFonts w:cs="Times New Roman"/>
          <w:szCs w:val="24"/>
        </w:rPr>
      </w:pPr>
    </w:p>
    <w:p w14:paraId="754C5DCD" w14:textId="77777777" w:rsidR="002F3004" w:rsidRPr="00826116" w:rsidRDefault="002F3004" w:rsidP="00C17A09">
      <w:pPr>
        <w:jc w:val="both"/>
        <w:rPr>
          <w:rFonts w:cs="Times New Roman"/>
          <w:b/>
          <w:bCs/>
          <w:szCs w:val="24"/>
        </w:rPr>
      </w:pPr>
      <w:r w:rsidRPr="00826116">
        <w:rPr>
          <w:rFonts w:cs="Times New Roman"/>
          <w:b/>
          <w:bCs/>
          <w:szCs w:val="24"/>
        </w:rPr>
        <w:t>References</w:t>
      </w:r>
    </w:p>
    <w:p w14:paraId="0DB77398" w14:textId="77777777" w:rsidR="002F3004" w:rsidRPr="00F078E4" w:rsidRDefault="002F3004" w:rsidP="00C17A09">
      <w:pPr>
        <w:spacing w:after="80" w:line="276" w:lineRule="auto"/>
        <w:ind w:left="360" w:hanging="360"/>
        <w:jc w:val="both"/>
        <w:rPr>
          <w:lang w:val="en-IN"/>
        </w:rPr>
      </w:pPr>
      <w:r w:rsidRPr="00F078E4">
        <w:rPr>
          <w:lang w:val="en-IN"/>
        </w:rPr>
        <w:t xml:space="preserve">Adarsh Krishna, T. P., Ajeesh Krishna, T. P., </w:t>
      </w:r>
      <w:proofErr w:type="spellStart"/>
      <w:r w:rsidRPr="00F078E4">
        <w:rPr>
          <w:lang w:val="en-IN"/>
        </w:rPr>
        <w:t>Edachery</w:t>
      </w:r>
      <w:proofErr w:type="spellEnd"/>
      <w:r w:rsidRPr="00F078E4">
        <w:rPr>
          <w:lang w:val="en-IN"/>
        </w:rPr>
        <w:t xml:space="preserve">, B., &amp; Ceasar, S. A. (2024). </w:t>
      </w:r>
      <w:proofErr w:type="spellStart"/>
      <w:r w:rsidRPr="00F078E4">
        <w:rPr>
          <w:lang w:val="en-IN"/>
        </w:rPr>
        <w:t>Guggulsterone</w:t>
      </w:r>
      <w:proofErr w:type="spellEnd"/>
      <w:r w:rsidRPr="00F078E4">
        <w:rPr>
          <w:lang w:val="en-IN"/>
        </w:rPr>
        <w:t xml:space="preserve">—A potent bioactive </w:t>
      </w:r>
      <w:proofErr w:type="spellStart"/>
      <w:r w:rsidRPr="00F078E4">
        <w:rPr>
          <w:lang w:val="en-IN"/>
        </w:rPr>
        <w:t>phytosteroid</w:t>
      </w:r>
      <w:proofErr w:type="spellEnd"/>
      <w:r w:rsidRPr="00F078E4">
        <w:rPr>
          <w:lang w:val="en-IN"/>
        </w:rPr>
        <w:t xml:space="preserve">: Synthesis, structural modification, and its improved bioactivities. </w:t>
      </w:r>
      <w:r w:rsidRPr="00F078E4">
        <w:rPr>
          <w:i/>
          <w:iCs/>
          <w:lang w:val="en-IN"/>
        </w:rPr>
        <w:t>RSC Medicinal Chemistry, 15</w:t>
      </w:r>
      <w:r w:rsidRPr="00F078E4">
        <w:rPr>
          <w:lang w:val="en-IN"/>
        </w:rPr>
        <w:t xml:space="preserve">, 55–69. </w:t>
      </w:r>
      <w:hyperlink r:id="rId13" w:tgtFrame="_new" w:history="1">
        <w:r w:rsidRPr="00F078E4">
          <w:rPr>
            <w:rStyle w:val="Hyperlink"/>
            <w:lang w:val="en-IN"/>
          </w:rPr>
          <w:t>https://doi.org/10.1039/D3MD00432E</w:t>
        </w:r>
      </w:hyperlink>
    </w:p>
    <w:p w14:paraId="51DA33E8" w14:textId="77777777" w:rsidR="002F3004" w:rsidRPr="00F078E4" w:rsidRDefault="002F3004" w:rsidP="00C17A09">
      <w:pPr>
        <w:spacing w:after="80" w:line="276" w:lineRule="auto"/>
        <w:ind w:left="360" w:hanging="360"/>
        <w:jc w:val="both"/>
        <w:rPr>
          <w:lang w:val="en-IN"/>
        </w:rPr>
      </w:pPr>
      <w:proofErr w:type="spellStart"/>
      <w:r w:rsidRPr="00F078E4">
        <w:rPr>
          <w:lang w:val="en-IN"/>
        </w:rPr>
        <w:t>Akbik</w:t>
      </w:r>
      <w:proofErr w:type="spellEnd"/>
      <w:r w:rsidRPr="00F078E4">
        <w:rPr>
          <w:lang w:val="en-IN"/>
        </w:rPr>
        <w:t xml:space="preserve">, D., Ghadiri, M., Chrzanowski, W., &amp; </w:t>
      </w:r>
      <w:proofErr w:type="spellStart"/>
      <w:r w:rsidRPr="00F078E4">
        <w:rPr>
          <w:lang w:val="en-IN"/>
        </w:rPr>
        <w:t>Rohanizadeh</w:t>
      </w:r>
      <w:proofErr w:type="spellEnd"/>
      <w:r w:rsidRPr="00F078E4">
        <w:rPr>
          <w:lang w:val="en-IN"/>
        </w:rPr>
        <w:t xml:space="preserve">, R. (2014). Curcumin as a wound healing agent. </w:t>
      </w:r>
      <w:r w:rsidRPr="00F078E4">
        <w:rPr>
          <w:i/>
          <w:iCs/>
          <w:lang w:val="en-IN"/>
        </w:rPr>
        <w:t>Life Sciences, 116</w:t>
      </w:r>
      <w:r w:rsidRPr="00F078E4">
        <w:rPr>
          <w:lang w:val="en-IN"/>
        </w:rPr>
        <w:t xml:space="preserve">(1), 1–7. </w:t>
      </w:r>
      <w:hyperlink r:id="rId14" w:tgtFrame="_new" w:history="1">
        <w:r w:rsidRPr="00F078E4">
          <w:rPr>
            <w:rStyle w:val="Hyperlink"/>
            <w:lang w:val="en-IN"/>
          </w:rPr>
          <w:t>https://doi.org/10.1016/j.lfs.2014.08.016</w:t>
        </w:r>
      </w:hyperlink>
    </w:p>
    <w:p w14:paraId="3B063322" w14:textId="77777777" w:rsidR="002F3004" w:rsidRPr="00F078E4" w:rsidRDefault="002F3004" w:rsidP="00C17A09">
      <w:pPr>
        <w:spacing w:after="80" w:line="276" w:lineRule="auto"/>
        <w:ind w:left="360" w:hanging="360"/>
        <w:jc w:val="both"/>
        <w:rPr>
          <w:lang w:val="en-IN"/>
        </w:rPr>
      </w:pPr>
      <w:r w:rsidRPr="00F078E4">
        <w:rPr>
          <w:lang w:val="en-IN"/>
        </w:rPr>
        <w:t xml:space="preserve">Anand, P., </w:t>
      </w:r>
      <w:proofErr w:type="spellStart"/>
      <w:r w:rsidRPr="00F078E4">
        <w:rPr>
          <w:lang w:val="en-IN"/>
        </w:rPr>
        <w:t>Kunnumakkara</w:t>
      </w:r>
      <w:proofErr w:type="spellEnd"/>
      <w:r w:rsidRPr="00F078E4">
        <w:rPr>
          <w:lang w:val="en-IN"/>
        </w:rPr>
        <w:t xml:space="preserve">, A. B., Newman, R. A., &amp; Aggarwal, B. B. (2007). Bioavailability of curcumin: Problems and promises. </w:t>
      </w:r>
      <w:r w:rsidRPr="00F078E4">
        <w:rPr>
          <w:i/>
          <w:iCs/>
          <w:lang w:val="en-IN"/>
        </w:rPr>
        <w:t>Molecular Pharmaceutics, 4</w:t>
      </w:r>
      <w:r w:rsidRPr="00F078E4">
        <w:rPr>
          <w:lang w:val="en-IN"/>
        </w:rPr>
        <w:t xml:space="preserve">(6), 807–818. </w:t>
      </w:r>
      <w:hyperlink r:id="rId15" w:tgtFrame="_new" w:history="1">
        <w:r w:rsidRPr="00F078E4">
          <w:rPr>
            <w:rStyle w:val="Hyperlink"/>
            <w:lang w:val="en-IN"/>
          </w:rPr>
          <w:t>https://doi.org/10.1021/mp700113r</w:t>
        </w:r>
      </w:hyperlink>
    </w:p>
    <w:p w14:paraId="77E46FBF" w14:textId="77777777" w:rsidR="002F3004" w:rsidRPr="00F078E4" w:rsidRDefault="002F3004" w:rsidP="00C17A09">
      <w:pPr>
        <w:spacing w:after="80" w:line="276" w:lineRule="auto"/>
        <w:ind w:left="360" w:hanging="360"/>
        <w:jc w:val="both"/>
        <w:rPr>
          <w:lang w:val="en-IN"/>
        </w:rPr>
      </w:pPr>
      <w:proofErr w:type="spellStart"/>
      <w:r w:rsidRPr="00F078E4">
        <w:rPr>
          <w:lang w:val="en-IN"/>
        </w:rPr>
        <w:t>Arzhavitina</w:t>
      </w:r>
      <w:proofErr w:type="spellEnd"/>
      <w:r w:rsidRPr="00F078E4">
        <w:rPr>
          <w:lang w:val="en-IN"/>
        </w:rPr>
        <w:t xml:space="preserve">, A., &amp; Steckel, H. (2010). Foams for pharmaceutical and cosmetic application. </w:t>
      </w:r>
      <w:r w:rsidRPr="00F078E4">
        <w:rPr>
          <w:i/>
          <w:iCs/>
          <w:lang w:val="en-IN"/>
        </w:rPr>
        <w:t>International Journal of Pharmaceutics, 394</w:t>
      </w:r>
      <w:r w:rsidRPr="00F078E4">
        <w:rPr>
          <w:lang w:val="en-IN"/>
        </w:rPr>
        <w:t xml:space="preserve">(1–2), 1–17. </w:t>
      </w:r>
      <w:hyperlink r:id="rId16" w:tgtFrame="_new" w:history="1">
        <w:r w:rsidRPr="00F078E4">
          <w:rPr>
            <w:rStyle w:val="Hyperlink"/>
            <w:lang w:val="en-IN"/>
          </w:rPr>
          <w:t>https://doi.org/10.1016/j.ijpharm.2010.04.028</w:t>
        </w:r>
      </w:hyperlink>
    </w:p>
    <w:p w14:paraId="119FEEC5" w14:textId="77777777" w:rsidR="002F3004" w:rsidRPr="00F078E4" w:rsidRDefault="002F3004" w:rsidP="00C17A09">
      <w:pPr>
        <w:spacing w:after="80" w:line="276" w:lineRule="auto"/>
        <w:ind w:left="360" w:hanging="360"/>
        <w:jc w:val="both"/>
        <w:rPr>
          <w:lang w:val="en-IN"/>
        </w:rPr>
      </w:pPr>
      <w:r w:rsidRPr="00F078E4">
        <w:rPr>
          <w:lang w:val="en-IN"/>
        </w:rPr>
        <w:t xml:space="preserve">Benson, H. A. E. (2005). Transdermal drug delivery: Penetration enhancement techniques. </w:t>
      </w:r>
      <w:r w:rsidRPr="00F078E4">
        <w:rPr>
          <w:i/>
          <w:iCs/>
          <w:lang w:val="en-IN"/>
        </w:rPr>
        <w:t>Current Drug Delivery, 2</w:t>
      </w:r>
      <w:r w:rsidRPr="00F078E4">
        <w:rPr>
          <w:lang w:val="en-IN"/>
        </w:rPr>
        <w:t>(1), 23–33.</w:t>
      </w:r>
    </w:p>
    <w:p w14:paraId="3F97C320" w14:textId="77777777" w:rsidR="002F3004" w:rsidRPr="00F078E4" w:rsidRDefault="002F3004" w:rsidP="00C17A09">
      <w:pPr>
        <w:spacing w:after="80" w:line="276" w:lineRule="auto"/>
        <w:ind w:left="360" w:hanging="360"/>
        <w:jc w:val="both"/>
        <w:rPr>
          <w:lang w:val="en-IN"/>
        </w:rPr>
      </w:pPr>
      <w:r w:rsidRPr="00F078E4">
        <w:rPr>
          <w:lang w:val="en-IN"/>
        </w:rPr>
        <w:t xml:space="preserve">Bjarnsholt, T., Kirketerp-Møller, K., Jensen, P. Ø., Madsen, K. G., Phipps, R., Krogfelt, K., Høiby, N., &amp; Givskov, M. (2008). Why chronic wounds will not heal: A novel hypothesis. </w:t>
      </w:r>
      <w:r w:rsidRPr="00F078E4">
        <w:rPr>
          <w:i/>
          <w:iCs/>
          <w:lang w:val="en-IN"/>
        </w:rPr>
        <w:t>Wound Repair and Regeneration, 16</w:t>
      </w:r>
      <w:r w:rsidRPr="00F078E4">
        <w:rPr>
          <w:lang w:val="en-IN"/>
        </w:rPr>
        <w:t xml:space="preserve">(1), 2–10. </w:t>
      </w:r>
      <w:hyperlink r:id="rId17" w:tgtFrame="_new" w:history="1">
        <w:r w:rsidRPr="00F078E4">
          <w:rPr>
            <w:rStyle w:val="Hyperlink"/>
            <w:lang w:val="en-IN"/>
          </w:rPr>
          <w:t>https://doi.org/10.1111/j.1524-475X.2007.00283.x</w:t>
        </w:r>
      </w:hyperlink>
    </w:p>
    <w:p w14:paraId="3C256802" w14:textId="77777777" w:rsidR="002F3004" w:rsidRPr="00F078E4" w:rsidRDefault="002F3004" w:rsidP="00C17A09">
      <w:pPr>
        <w:spacing w:after="80" w:line="276" w:lineRule="auto"/>
        <w:ind w:left="360" w:hanging="360"/>
        <w:jc w:val="both"/>
        <w:rPr>
          <w:lang w:val="en-IN"/>
        </w:rPr>
      </w:pPr>
      <w:r w:rsidRPr="00F078E4">
        <w:rPr>
          <w:lang w:val="en-IN"/>
        </w:rPr>
        <w:t xml:space="preserve">Boateng, J. S., &amp; Catanzano, O. (2015). Advanced therapeutic dressings for effective wound healing—A review. </w:t>
      </w:r>
      <w:r w:rsidRPr="00F078E4">
        <w:rPr>
          <w:i/>
          <w:iCs/>
          <w:lang w:val="en-IN"/>
        </w:rPr>
        <w:t>Journal of Pharmaceutical Sciences, 104</w:t>
      </w:r>
      <w:r w:rsidRPr="00F078E4">
        <w:rPr>
          <w:lang w:val="en-IN"/>
        </w:rPr>
        <w:t xml:space="preserve">(11), 3653–3680. </w:t>
      </w:r>
      <w:hyperlink r:id="rId18" w:tgtFrame="_new" w:history="1">
        <w:r w:rsidRPr="00F078E4">
          <w:rPr>
            <w:rStyle w:val="Hyperlink"/>
            <w:lang w:val="en-IN"/>
          </w:rPr>
          <w:t>https://doi.org/10.1002/jps.24610</w:t>
        </w:r>
      </w:hyperlink>
    </w:p>
    <w:p w14:paraId="0213F636" w14:textId="77777777" w:rsidR="002F3004" w:rsidRPr="00F078E4" w:rsidRDefault="002F3004" w:rsidP="00C17A09">
      <w:pPr>
        <w:spacing w:after="80" w:line="276" w:lineRule="auto"/>
        <w:ind w:left="360" w:hanging="360"/>
        <w:jc w:val="both"/>
        <w:rPr>
          <w:lang w:val="en-IN"/>
        </w:rPr>
      </w:pPr>
      <w:r w:rsidRPr="00F078E4">
        <w:rPr>
          <w:lang w:val="en-IN"/>
        </w:rPr>
        <w:t xml:space="preserve">Boateng, J. S., Matthews, K. H., Stevens, H. N. E., &amp; Eccleston, G. M. (2008). Wound healing dressings and drug delivery systems: A review. </w:t>
      </w:r>
      <w:r w:rsidRPr="00F078E4">
        <w:rPr>
          <w:i/>
          <w:iCs/>
          <w:lang w:val="en-IN"/>
        </w:rPr>
        <w:t>Journal of Pharmaceutical Sciences, 97</w:t>
      </w:r>
      <w:r w:rsidRPr="00F078E4">
        <w:rPr>
          <w:lang w:val="en-IN"/>
        </w:rPr>
        <w:t xml:space="preserve">(8), 2892–2923. </w:t>
      </w:r>
      <w:hyperlink r:id="rId19" w:tgtFrame="_new" w:history="1">
        <w:r w:rsidRPr="00F078E4">
          <w:rPr>
            <w:rStyle w:val="Hyperlink"/>
            <w:lang w:val="en-IN"/>
          </w:rPr>
          <w:t>https://doi.org/10.1002/jps.21210</w:t>
        </w:r>
      </w:hyperlink>
    </w:p>
    <w:p w14:paraId="52D93528" w14:textId="77777777" w:rsidR="002F3004" w:rsidRPr="00F078E4" w:rsidRDefault="002F3004" w:rsidP="00C17A09">
      <w:pPr>
        <w:spacing w:after="80" w:line="276" w:lineRule="auto"/>
        <w:ind w:left="360" w:hanging="360"/>
        <w:jc w:val="both"/>
        <w:rPr>
          <w:lang w:val="en-IN"/>
        </w:rPr>
      </w:pPr>
      <w:proofErr w:type="spellStart"/>
      <w:r w:rsidRPr="00F078E4">
        <w:rPr>
          <w:lang w:val="en-IN"/>
        </w:rPr>
        <w:t>Bureiko</w:t>
      </w:r>
      <w:proofErr w:type="spellEnd"/>
      <w:r w:rsidRPr="00F078E4">
        <w:rPr>
          <w:lang w:val="en-IN"/>
        </w:rPr>
        <w:t xml:space="preserve">, A., Trybala, A., Kovalchuk, N., &amp; Starov, V. (2015). Current applications of foams formed from mixed surfactant–polymer solutions. </w:t>
      </w:r>
      <w:r w:rsidRPr="00F078E4">
        <w:rPr>
          <w:i/>
          <w:iCs/>
          <w:lang w:val="en-IN"/>
        </w:rPr>
        <w:t>Advances in Colloid and Interface Science, 222</w:t>
      </w:r>
      <w:r w:rsidRPr="00F078E4">
        <w:rPr>
          <w:lang w:val="en-IN"/>
        </w:rPr>
        <w:t xml:space="preserve">, 670–677. </w:t>
      </w:r>
      <w:hyperlink r:id="rId20" w:tgtFrame="_new" w:history="1">
        <w:r w:rsidRPr="00F078E4">
          <w:rPr>
            <w:rStyle w:val="Hyperlink"/>
            <w:lang w:val="en-IN"/>
          </w:rPr>
          <w:t>https://doi.org/10.1016/j.cis.2014.10.001</w:t>
        </w:r>
      </w:hyperlink>
    </w:p>
    <w:p w14:paraId="71D91A92" w14:textId="77777777" w:rsidR="002F3004" w:rsidRPr="00F078E4" w:rsidRDefault="002F3004" w:rsidP="00C17A09">
      <w:pPr>
        <w:spacing w:after="80" w:line="276" w:lineRule="auto"/>
        <w:ind w:left="360" w:hanging="360"/>
        <w:jc w:val="both"/>
        <w:rPr>
          <w:lang w:val="en-IN"/>
        </w:rPr>
      </w:pPr>
      <w:r w:rsidRPr="00F078E4">
        <w:rPr>
          <w:lang w:val="en-IN"/>
        </w:rPr>
        <w:t xml:space="preserve">Dhivya, S., Padma, V. V., &amp; Santhini, E. (2015). Wound dressings—A review. </w:t>
      </w:r>
      <w:proofErr w:type="spellStart"/>
      <w:r w:rsidRPr="00F078E4">
        <w:rPr>
          <w:i/>
          <w:iCs/>
          <w:lang w:val="en-IN"/>
        </w:rPr>
        <w:t>BioMedicine</w:t>
      </w:r>
      <w:proofErr w:type="spellEnd"/>
      <w:r w:rsidRPr="00F078E4">
        <w:rPr>
          <w:i/>
          <w:iCs/>
          <w:lang w:val="en-IN"/>
        </w:rPr>
        <w:t>, 5</w:t>
      </w:r>
      <w:r w:rsidRPr="00F078E4">
        <w:rPr>
          <w:lang w:val="en-IN"/>
        </w:rPr>
        <w:t xml:space="preserve">(4), 22. </w:t>
      </w:r>
      <w:hyperlink r:id="rId21" w:tgtFrame="_new" w:history="1">
        <w:r w:rsidRPr="00F078E4">
          <w:rPr>
            <w:rStyle w:val="Hyperlink"/>
            <w:lang w:val="en-IN"/>
          </w:rPr>
          <w:t>https://doi.org/10.7603/s40681-015-0022-9</w:t>
        </w:r>
      </w:hyperlink>
    </w:p>
    <w:p w14:paraId="30DD381E" w14:textId="77777777" w:rsidR="002F3004" w:rsidRPr="00F078E4" w:rsidRDefault="002F3004" w:rsidP="00C17A09">
      <w:pPr>
        <w:spacing w:after="80" w:line="276" w:lineRule="auto"/>
        <w:ind w:left="360" w:hanging="360"/>
        <w:jc w:val="both"/>
        <w:rPr>
          <w:lang w:val="en-IN"/>
        </w:rPr>
      </w:pPr>
      <w:proofErr w:type="spellStart"/>
      <w:r w:rsidRPr="00F078E4">
        <w:rPr>
          <w:lang w:val="en-IN"/>
        </w:rPr>
        <w:t>Dreifke</w:t>
      </w:r>
      <w:proofErr w:type="spellEnd"/>
      <w:r w:rsidRPr="00F078E4">
        <w:rPr>
          <w:lang w:val="en-IN"/>
        </w:rPr>
        <w:t xml:space="preserve">, M. B., Jayasuriya, A. A., &amp; Jayasuriya, A. C. (2015). Current wound healing procedures and potential care. </w:t>
      </w:r>
      <w:r w:rsidRPr="00F078E4">
        <w:rPr>
          <w:i/>
          <w:iCs/>
          <w:lang w:val="en-IN"/>
        </w:rPr>
        <w:t>Materials Science and Engineering: C, 48</w:t>
      </w:r>
      <w:r w:rsidRPr="00F078E4">
        <w:rPr>
          <w:lang w:val="en-IN"/>
        </w:rPr>
        <w:t xml:space="preserve">, 651–662. </w:t>
      </w:r>
      <w:hyperlink r:id="rId22" w:tgtFrame="_new" w:history="1">
        <w:r w:rsidRPr="00F078E4">
          <w:rPr>
            <w:rStyle w:val="Hyperlink"/>
            <w:lang w:val="en-IN"/>
          </w:rPr>
          <w:t>https://doi.org/10.1016/j.msec.2014.12.068</w:t>
        </w:r>
      </w:hyperlink>
    </w:p>
    <w:p w14:paraId="31BEB216" w14:textId="77777777" w:rsidR="002F3004" w:rsidRPr="00F078E4" w:rsidRDefault="002F3004" w:rsidP="00C17A09">
      <w:pPr>
        <w:spacing w:after="80" w:line="276" w:lineRule="auto"/>
        <w:ind w:left="360" w:hanging="360"/>
        <w:jc w:val="both"/>
        <w:rPr>
          <w:lang w:val="en-IN"/>
        </w:rPr>
      </w:pPr>
      <w:proofErr w:type="spellStart"/>
      <w:r w:rsidRPr="00F078E4">
        <w:rPr>
          <w:lang w:val="en-IN"/>
        </w:rPr>
        <w:t>Eming</w:t>
      </w:r>
      <w:proofErr w:type="spellEnd"/>
      <w:r w:rsidRPr="00F078E4">
        <w:rPr>
          <w:lang w:val="en-IN"/>
        </w:rPr>
        <w:t>, S. A., Martin, P., &amp; Tomic-</w:t>
      </w:r>
      <w:proofErr w:type="spellStart"/>
      <w:r w:rsidRPr="00F078E4">
        <w:rPr>
          <w:lang w:val="en-IN"/>
        </w:rPr>
        <w:t>Canic</w:t>
      </w:r>
      <w:proofErr w:type="spellEnd"/>
      <w:r w:rsidRPr="00F078E4">
        <w:rPr>
          <w:lang w:val="en-IN"/>
        </w:rPr>
        <w:t xml:space="preserve">, M. (2014). Wound repair and regeneration: Mechanisms, </w:t>
      </w:r>
      <w:proofErr w:type="spellStart"/>
      <w:r w:rsidRPr="00F078E4">
        <w:rPr>
          <w:lang w:val="en-IN"/>
        </w:rPr>
        <w:t>signaling</w:t>
      </w:r>
      <w:proofErr w:type="spellEnd"/>
      <w:r w:rsidRPr="00F078E4">
        <w:rPr>
          <w:lang w:val="en-IN"/>
        </w:rPr>
        <w:t xml:space="preserve">, and translation. </w:t>
      </w:r>
      <w:r w:rsidRPr="00F078E4">
        <w:rPr>
          <w:i/>
          <w:iCs/>
          <w:lang w:val="en-IN"/>
        </w:rPr>
        <w:t>Science Translational Medicine, 6</w:t>
      </w:r>
      <w:r w:rsidRPr="00F078E4">
        <w:rPr>
          <w:lang w:val="en-IN"/>
        </w:rPr>
        <w:t xml:space="preserve">(265), 265sr6. </w:t>
      </w:r>
      <w:hyperlink r:id="rId23" w:tgtFrame="_new" w:history="1">
        <w:r w:rsidRPr="00F078E4">
          <w:rPr>
            <w:rStyle w:val="Hyperlink"/>
            <w:lang w:val="en-IN"/>
          </w:rPr>
          <w:t>https://doi.org/10.1126/scitranslmed.3009337</w:t>
        </w:r>
      </w:hyperlink>
    </w:p>
    <w:p w14:paraId="7BC2D200" w14:textId="77777777" w:rsidR="002F3004" w:rsidRPr="00F078E4" w:rsidRDefault="002F3004" w:rsidP="00C17A09">
      <w:pPr>
        <w:spacing w:after="80" w:line="276" w:lineRule="auto"/>
        <w:ind w:left="360" w:hanging="360"/>
        <w:jc w:val="both"/>
        <w:rPr>
          <w:lang w:val="en-IN"/>
        </w:rPr>
      </w:pPr>
      <w:r w:rsidRPr="00F078E4">
        <w:rPr>
          <w:lang w:val="en-IN"/>
        </w:rPr>
        <w:t xml:space="preserve">European Medicines Agency. (2014). </w:t>
      </w:r>
      <w:r w:rsidRPr="00F078E4">
        <w:rPr>
          <w:i/>
          <w:iCs/>
          <w:lang w:val="en-IN"/>
        </w:rPr>
        <w:t>ICH Q8, Q9 and Q10 questions and answers</w:t>
      </w:r>
      <w:r w:rsidRPr="00F078E4">
        <w:rPr>
          <w:lang w:val="en-IN"/>
        </w:rPr>
        <w:t>. European Medicines Agency.</w:t>
      </w:r>
    </w:p>
    <w:p w14:paraId="7BFF4C4C" w14:textId="77777777" w:rsidR="002F3004" w:rsidRPr="00F078E4" w:rsidRDefault="002F3004" w:rsidP="00C17A09">
      <w:pPr>
        <w:spacing w:after="80" w:line="276" w:lineRule="auto"/>
        <w:ind w:left="360" w:hanging="360"/>
        <w:jc w:val="both"/>
        <w:rPr>
          <w:lang w:val="en-IN"/>
        </w:rPr>
      </w:pPr>
      <w:r w:rsidRPr="00F078E4">
        <w:rPr>
          <w:lang w:val="en-IN"/>
        </w:rPr>
        <w:lastRenderedPageBreak/>
        <w:t xml:space="preserve">European Medicines Agency. (2018). </w:t>
      </w:r>
      <w:r w:rsidRPr="00F078E4">
        <w:rPr>
          <w:i/>
          <w:iCs/>
          <w:lang w:val="en-IN"/>
        </w:rPr>
        <w:t>Guideline on quality of herbal medicinal products/traditional herbal medicinal products</w:t>
      </w:r>
      <w:r w:rsidRPr="00F078E4">
        <w:rPr>
          <w:lang w:val="en-IN"/>
        </w:rPr>
        <w:t>. European Medicines Agency.</w:t>
      </w:r>
    </w:p>
    <w:p w14:paraId="0C1EFB05" w14:textId="77777777" w:rsidR="002F3004" w:rsidRPr="00F078E4" w:rsidRDefault="002F3004" w:rsidP="00C17A09">
      <w:pPr>
        <w:spacing w:after="80" w:line="276" w:lineRule="auto"/>
        <w:ind w:left="360" w:hanging="360"/>
        <w:jc w:val="both"/>
        <w:rPr>
          <w:lang w:val="en-IN"/>
        </w:rPr>
      </w:pPr>
      <w:r w:rsidRPr="00F078E4">
        <w:rPr>
          <w:lang w:val="en-IN"/>
        </w:rPr>
        <w:t xml:space="preserve">European Pharmacopoeia Commission. (2023). </w:t>
      </w:r>
      <w:r w:rsidRPr="00F078E4">
        <w:rPr>
          <w:i/>
          <w:iCs/>
          <w:lang w:val="en-IN"/>
        </w:rPr>
        <w:t>European Pharmacopoeia</w:t>
      </w:r>
      <w:r w:rsidRPr="00F078E4">
        <w:rPr>
          <w:lang w:val="en-IN"/>
        </w:rPr>
        <w:t xml:space="preserve"> (11th ed.). European Directorate for the Quality of Medicines &amp; HealthCare.</w:t>
      </w:r>
    </w:p>
    <w:p w14:paraId="1B90A897" w14:textId="77777777" w:rsidR="002F3004" w:rsidRPr="00F078E4" w:rsidRDefault="002F3004" w:rsidP="00C17A09">
      <w:pPr>
        <w:spacing w:after="80" w:line="276" w:lineRule="auto"/>
        <w:ind w:left="360" w:hanging="360"/>
        <w:jc w:val="both"/>
        <w:rPr>
          <w:lang w:val="en-IN"/>
        </w:rPr>
      </w:pPr>
      <w:r w:rsidRPr="00F078E4">
        <w:rPr>
          <w:lang w:val="en-IN"/>
        </w:rPr>
        <w:t xml:space="preserve">Evans, W. C. (2009). </w:t>
      </w:r>
      <w:r w:rsidRPr="00F078E4">
        <w:rPr>
          <w:i/>
          <w:iCs/>
          <w:lang w:val="en-IN"/>
        </w:rPr>
        <w:t>Trease and Evans' pharmacognosy</w:t>
      </w:r>
      <w:r w:rsidRPr="00F078E4">
        <w:rPr>
          <w:lang w:val="en-IN"/>
        </w:rPr>
        <w:t xml:space="preserve"> (16th ed.). Saunders/Elsevier.</w:t>
      </w:r>
    </w:p>
    <w:p w14:paraId="17A05E0F" w14:textId="77777777" w:rsidR="002F3004" w:rsidRPr="00F078E4" w:rsidRDefault="002F3004" w:rsidP="00C17A09">
      <w:pPr>
        <w:spacing w:after="80" w:line="276" w:lineRule="auto"/>
        <w:ind w:left="360" w:hanging="360"/>
        <w:jc w:val="both"/>
        <w:rPr>
          <w:lang w:val="en-IN"/>
        </w:rPr>
      </w:pPr>
      <w:proofErr w:type="spellStart"/>
      <w:r w:rsidRPr="00F078E4">
        <w:rPr>
          <w:lang w:val="en-IN"/>
        </w:rPr>
        <w:t>Frykberg</w:t>
      </w:r>
      <w:proofErr w:type="spellEnd"/>
      <w:r w:rsidRPr="00F078E4">
        <w:rPr>
          <w:lang w:val="en-IN"/>
        </w:rPr>
        <w:t xml:space="preserve">, R. G., &amp; Banks, J. (2015). Challenges in the treatment of chronic wounds. </w:t>
      </w:r>
      <w:r w:rsidRPr="00F078E4">
        <w:rPr>
          <w:i/>
          <w:iCs/>
          <w:lang w:val="en-IN"/>
        </w:rPr>
        <w:t>Advances in Wound Care, 4</w:t>
      </w:r>
      <w:r w:rsidRPr="00F078E4">
        <w:rPr>
          <w:lang w:val="en-IN"/>
        </w:rPr>
        <w:t xml:space="preserve">(9), 560–582. </w:t>
      </w:r>
      <w:hyperlink r:id="rId24" w:tgtFrame="_new" w:history="1">
        <w:r w:rsidRPr="00F078E4">
          <w:rPr>
            <w:rStyle w:val="Hyperlink"/>
            <w:lang w:val="en-IN"/>
          </w:rPr>
          <w:t>https://doi.org/10.1089/wound.2015.0635</w:t>
        </w:r>
      </w:hyperlink>
    </w:p>
    <w:p w14:paraId="7E451793" w14:textId="77777777" w:rsidR="002F3004" w:rsidRPr="00F078E4" w:rsidRDefault="002F3004" w:rsidP="00C17A09">
      <w:pPr>
        <w:spacing w:after="80" w:line="276" w:lineRule="auto"/>
        <w:ind w:left="360" w:hanging="360"/>
        <w:jc w:val="both"/>
        <w:rPr>
          <w:lang w:val="en-IN"/>
        </w:rPr>
      </w:pPr>
      <w:r w:rsidRPr="00F078E4">
        <w:rPr>
          <w:lang w:val="en-IN"/>
        </w:rPr>
        <w:t>Fukuda, I. M., Pinto, C. F. F., Moreira, C. dos S., Saviano, A. M., &amp; Lourenço, F. R. (2018). Design of experiments (DoE) applied to pharmaceutical and analytical Quality by Design (</w:t>
      </w:r>
      <w:proofErr w:type="spellStart"/>
      <w:r w:rsidRPr="00F078E4">
        <w:rPr>
          <w:lang w:val="en-IN"/>
        </w:rPr>
        <w:t>QbD</w:t>
      </w:r>
      <w:proofErr w:type="spellEnd"/>
      <w:r w:rsidRPr="00F078E4">
        <w:rPr>
          <w:lang w:val="en-IN"/>
        </w:rPr>
        <w:t xml:space="preserve">). </w:t>
      </w:r>
      <w:r w:rsidRPr="00F078E4">
        <w:rPr>
          <w:i/>
          <w:iCs/>
          <w:lang w:val="en-IN"/>
        </w:rPr>
        <w:t>Brazilian Journal of Pharmaceutical Sciences, 54</w:t>
      </w:r>
      <w:r w:rsidRPr="00F078E4">
        <w:rPr>
          <w:lang w:val="en-IN"/>
        </w:rPr>
        <w:t xml:space="preserve">(Special), e01006. </w:t>
      </w:r>
      <w:hyperlink r:id="rId25" w:tgtFrame="_new" w:history="1">
        <w:r w:rsidRPr="00F078E4">
          <w:rPr>
            <w:rStyle w:val="Hyperlink"/>
            <w:lang w:val="en-IN"/>
          </w:rPr>
          <w:t>https://doi.org/10.1590/s2175-97902018000001006</w:t>
        </w:r>
      </w:hyperlink>
    </w:p>
    <w:p w14:paraId="3BA65019" w14:textId="77777777" w:rsidR="002F3004" w:rsidRPr="00F078E4" w:rsidRDefault="002F3004" w:rsidP="00C17A09">
      <w:pPr>
        <w:spacing w:after="80" w:line="276" w:lineRule="auto"/>
        <w:ind w:left="360" w:hanging="360"/>
        <w:jc w:val="both"/>
        <w:rPr>
          <w:lang w:val="en-IN"/>
        </w:rPr>
      </w:pPr>
      <w:r w:rsidRPr="00F078E4">
        <w:rPr>
          <w:lang w:val="en-IN"/>
        </w:rPr>
        <w:t xml:space="preserve">Goel, A., </w:t>
      </w:r>
      <w:proofErr w:type="spellStart"/>
      <w:r w:rsidRPr="00F078E4">
        <w:rPr>
          <w:lang w:val="en-IN"/>
        </w:rPr>
        <w:t>Kunnumakkara</w:t>
      </w:r>
      <w:proofErr w:type="spellEnd"/>
      <w:r w:rsidRPr="00F078E4">
        <w:rPr>
          <w:lang w:val="en-IN"/>
        </w:rPr>
        <w:t>, A. B., &amp; Aggarwal, B. B. (2008). Curcumin as “</w:t>
      </w:r>
      <w:proofErr w:type="spellStart"/>
      <w:r w:rsidRPr="00F078E4">
        <w:rPr>
          <w:lang w:val="en-IN"/>
        </w:rPr>
        <w:t>Curecumin</w:t>
      </w:r>
      <w:proofErr w:type="spellEnd"/>
      <w:r w:rsidRPr="00F078E4">
        <w:rPr>
          <w:lang w:val="en-IN"/>
        </w:rPr>
        <w:t xml:space="preserve">”: From kitchen to clinic. </w:t>
      </w:r>
      <w:r w:rsidRPr="00F078E4">
        <w:rPr>
          <w:i/>
          <w:iCs/>
          <w:lang w:val="en-IN"/>
        </w:rPr>
        <w:t>Biochemical Pharmacology, 75</w:t>
      </w:r>
      <w:r w:rsidRPr="00F078E4">
        <w:rPr>
          <w:lang w:val="en-IN"/>
        </w:rPr>
        <w:t xml:space="preserve">(4), 787–809. </w:t>
      </w:r>
      <w:hyperlink r:id="rId26" w:tgtFrame="_new" w:history="1">
        <w:r w:rsidRPr="00F078E4">
          <w:rPr>
            <w:rStyle w:val="Hyperlink"/>
            <w:lang w:val="en-IN"/>
          </w:rPr>
          <w:t>https://doi.org/10.1016/j.bcp.2007.08.016</w:t>
        </w:r>
      </w:hyperlink>
    </w:p>
    <w:p w14:paraId="765BA5EC" w14:textId="77777777" w:rsidR="002F3004" w:rsidRPr="00F078E4" w:rsidRDefault="002F3004" w:rsidP="00C17A09">
      <w:pPr>
        <w:spacing w:after="80" w:line="276" w:lineRule="auto"/>
        <w:ind w:left="360" w:hanging="360"/>
        <w:jc w:val="both"/>
        <w:rPr>
          <w:lang w:val="en-IN"/>
        </w:rPr>
      </w:pPr>
      <w:r w:rsidRPr="00F078E4">
        <w:rPr>
          <w:lang w:val="en-IN"/>
        </w:rPr>
        <w:t xml:space="preserve">Gopinath, D., Ahmed, M. R., Gomathi, K., Chitra, K., Sehgal, P. K., &amp; Jayakumar, R. (2004). Dermal wound healing processes with curcumin incorporated collagen films. </w:t>
      </w:r>
      <w:r w:rsidRPr="00F078E4">
        <w:rPr>
          <w:i/>
          <w:iCs/>
          <w:lang w:val="en-IN"/>
        </w:rPr>
        <w:t>Biomaterials, 25</w:t>
      </w:r>
      <w:r w:rsidRPr="00F078E4">
        <w:rPr>
          <w:lang w:val="en-IN"/>
        </w:rPr>
        <w:t>(10), 1911–1917. https://doi.org/10.1016/S0142-9612(03)00625-2</w:t>
      </w:r>
    </w:p>
    <w:p w14:paraId="34F93C95" w14:textId="77777777" w:rsidR="002F3004" w:rsidRPr="00F078E4" w:rsidRDefault="002F3004" w:rsidP="00C17A09">
      <w:pPr>
        <w:spacing w:after="80" w:line="276" w:lineRule="auto"/>
        <w:ind w:left="360" w:hanging="360"/>
        <w:jc w:val="both"/>
        <w:rPr>
          <w:lang w:val="en-IN"/>
        </w:rPr>
      </w:pPr>
      <w:r w:rsidRPr="00F078E4">
        <w:rPr>
          <w:lang w:val="en-IN"/>
        </w:rPr>
        <w:t xml:space="preserve">Guo, S., &amp; DiPietro, L. A. (2010). Factors affecting wound healing. </w:t>
      </w:r>
      <w:r w:rsidRPr="00F078E4">
        <w:rPr>
          <w:i/>
          <w:iCs/>
          <w:lang w:val="en-IN"/>
        </w:rPr>
        <w:t>Journal of Dental Research, 89</w:t>
      </w:r>
      <w:r w:rsidRPr="00F078E4">
        <w:rPr>
          <w:lang w:val="en-IN"/>
        </w:rPr>
        <w:t xml:space="preserve">(3), 219–229. </w:t>
      </w:r>
      <w:hyperlink r:id="rId27" w:tgtFrame="_new" w:history="1">
        <w:r w:rsidRPr="00F078E4">
          <w:rPr>
            <w:rStyle w:val="Hyperlink"/>
            <w:lang w:val="en-IN"/>
          </w:rPr>
          <w:t>https://doi.org/10.1177/0022034509359125</w:t>
        </w:r>
      </w:hyperlink>
    </w:p>
    <w:p w14:paraId="5895DEB1" w14:textId="77777777" w:rsidR="002F3004" w:rsidRPr="00F078E4" w:rsidRDefault="002F3004" w:rsidP="00C17A09">
      <w:pPr>
        <w:spacing w:after="80" w:line="276" w:lineRule="auto"/>
        <w:ind w:left="360" w:hanging="360"/>
        <w:jc w:val="both"/>
        <w:rPr>
          <w:lang w:val="en-IN"/>
        </w:rPr>
      </w:pPr>
      <w:r w:rsidRPr="00F078E4">
        <w:rPr>
          <w:lang w:val="en-IN"/>
        </w:rPr>
        <w:t xml:space="preserve">Gupta, S. C., </w:t>
      </w:r>
      <w:proofErr w:type="spellStart"/>
      <w:r w:rsidRPr="00F078E4">
        <w:rPr>
          <w:lang w:val="en-IN"/>
        </w:rPr>
        <w:t>Patchva</w:t>
      </w:r>
      <w:proofErr w:type="spellEnd"/>
      <w:r w:rsidRPr="00F078E4">
        <w:rPr>
          <w:lang w:val="en-IN"/>
        </w:rPr>
        <w:t xml:space="preserve">, S., &amp; Aggarwal, B. B. (2013). Therapeutic roles of curcumin: Lessons learned from clinical trials. </w:t>
      </w:r>
      <w:r w:rsidRPr="00F078E4">
        <w:rPr>
          <w:i/>
          <w:iCs/>
          <w:lang w:val="en-IN"/>
        </w:rPr>
        <w:t>The AAPS Journal, 15</w:t>
      </w:r>
      <w:r w:rsidRPr="00F078E4">
        <w:rPr>
          <w:lang w:val="en-IN"/>
        </w:rPr>
        <w:t xml:space="preserve">(1), 195–218. </w:t>
      </w:r>
      <w:hyperlink r:id="rId28" w:tgtFrame="_new" w:history="1">
        <w:r w:rsidRPr="00F078E4">
          <w:rPr>
            <w:rStyle w:val="Hyperlink"/>
            <w:lang w:val="en-IN"/>
          </w:rPr>
          <w:t>https://doi.org/10.1208/s12248-012-9432-8</w:t>
        </w:r>
      </w:hyperlink>
    </w:p>
    <w:p w14:paraId="088D1FD8" w14:textId="77777777" w:rsidR="002F3004" w:rsidRPr="00F078E4" w:rsidRDefault="002F3004" w:rsidP="00C17A09">
      <w:pPr>
        <w:spacing w:after="80" w:line="276" w:lineRule="auto"/>
        <w:ind w:left="360" w:hanging="360"/>
        <w:jc w:val="both"/>
        <w:rPr>
          <w:lang w:val="en-IN"/>
        </w:rPr>
      </w:pPr>
      <w:r w:rsidRPr="00F078E4">
        <w:rPr>
          <w:lang w:val="en-IN"/>
        </w:rPr>
        <w:t xml:space="preserve">Gurtner, G. C., Werner, S., Barrandon, Y., &amp; Longaker, M. T. (2008). Wound repair and regeneration. </w:t>
      </w:r>
      <w:r w:rsidRPr="00F078E4">
        <w:rPr>
          <w:i/>
          <w:iCs/>
          <w:lang w:val="en-IN"/>
        </w:rPr>
        <w:t>Nature, 453</w:t>
      </w:r>
      <w:r w:rsidRPr="00F078E4">
        <w:rPr>
          <w:lang w:val="en-IN"/>
        </w:rPr>
        <w:t xml:space="preserve">, 314–321. </w:t>
      </w:r>
      <w:hyperlink r:id="rId29" w:tgtFrame="_new" w:history="1">
        <w:r w:rsidRPr="00F078E4">
          <w:rPr>
            <w:rStyle w:val="Hyperlink"/>
            <w:lang w:val="en-IN"/>
          </w:rPr>
          <w:t>https://doi.org/10.1038/nature07039</w:t>
        </w:r>
      </w:hyperlink>
    </w:p>
    <w:p w14:paraId="290B5865" w14:textId="77777777" w:rsidR="002F3004" w:rsidRPr="00F078E4" w:rsidRDefault="002F3004" w:rsidP="00C17A09">
      <w:pPr>
        <w:spacing w:after="80" w:line="276" w:lineRule="auto"/>
        <w:ind w:left="360" w:hanging="360"/>
        <w:jc w:val="both"/>
        <w:rPr>
          <w:lang w:val="en-IN"/>
        </w:rPr>
      </w:pPr>
      <w:proofErr w:type="spellStart"/>
      <w:r w:rsidRPr="00F078E4">
        <w:rPr>
          <w:lang w:val="en-IN"/>
        </w:rPr>
        <w:t>Hadgraft</w:t>
      </w:r>
      <w:proofErr w:type="spellEnd"/>
      <w:r w:rsidRPr="00F078E4">
        <w:rPr>
          <w:lang w:val="en-IN"/>
        </w:rPr>
        <w:t xml:space="preserve">, J., &amp; Lane, M. E. (2016). Skin permeation: The years of enlightenment. </w:t>
      </w:r>
      <w:r w:rsidRPr="00F078E4">
        <w:rPr>
          <w:i/>
          <w:iCs/>
          <w:lang w:val="en-IN"/>
        </w:rPr>
        <w:t>International Journal of Pharmaceutics, 514</w:t>
      </w:r>
      <w:r w:rsidRPr="00F078E4">
        <w:rPr>
          <w:lang w:val="en-IN"/>
        </w:rPr>
        <w:t>(1), 29–34.</w:t>
      </w:r>
    </w:p>
    <w:p w14:paraId="334AD3A3" w14:textId="77777777" w:rsidR="002F3004" w:rsidRPr="00F078E4" w:rsidRDefault="002F3004" w:rsidP="00C17A09">
      <w:pPr>
        <w:spacing w:after="80" w:line="276" w:lineRule="auto"/>
        <w:ind w:left="360" w:hanging="360"/>
        <w:jc w:val="both"/>
        <w:rPr>
          <w:lang w:val="en-IN"/>
        </w:rPr>
      </w:pPr>
      <w:proofErr w:type="spellStart"/>
      <w:r w:rsidRPr="00F078E4">
        <w:rPr>
          <w:lang w:val="en-IN"/>
        </w:rPr>
        <w:t>Hajirasouliha</w:t>
      </w:r>
      <w:proofErr w:type="spellEnd"/>
      <w:r w:rsidRPr="00F078E4">
        <w:rPr>
          <w:lang w:val="en-IN"/>
        </w:rPr>
        <w:t xml:space="preserve">, F., &amp; McAuley, W. J. (2025). Towards sustainable pharmaceutical foams: A comparative review of propellant-containing, propellant-aided and propellant-free foams. </w:t>
      </w:r>
      <w:r w:rsidRPr="00F078E4">
        <w:rPr>
          <w:i/>
          <w:iCs/>
          <w:lang w:val="en-IN"/>
        </w:rPr>
        <w:t>Journal of Drug Delivery Science and Technology, 112</w:t>
      </w:r>
      <w:r w:rsidRPr="00F078E4">
        <w:rPr>
          <w:lang w:val="en-IN"/>
        </w:rPr>
        <w:t xml:space="preserve">, 107274. </w:t>
      </w:r>
      <w:hyperlink r:id="rId30" w:tgtFrame="_new" w:history="1">
        <w:r w:rsidRPr="00F078E4">
          <w:rPr>
            <w:rStyle w:val="Hyperlink"/>
            <w:lang w:val="en-IN"/>
          </w:rPr>
          <w:t>https://doi.org/10.1016/j.jddst.2025.107274</w:t>
        </w:r>
      </w:hyperlink>
    </w:p>
    <w:p w14:paraId="58A5EFDA" w14:textId="77777777" w:rsidR="002F3004" w:rsidRPr="00F078E4" w:rsidRDefault="002F3004" w:rsidP="00C17A09">
      <w:pPr>
        <w:spacing w:after="80" w:line="276" w:lineRule="auto"/>
        <w:ind w:left="360" w:hanging="360"/>
        <w:jc w:val="both"/>
        <w:rPr>
          <w:lang w:val="en-IN"/>
        </w:rPr>
      </w:pPr>
      <w:r w:rsidRPr="00F078E4">
        <w:rPr>
          <w:lang w:val="en-IN"/>
        </w:rPr>
        <w:t xml:space="preserve">Herbig, M. E., Evers, D.-H., </w:t>
      </w:r>
      <w:proofErr w:type="spellStart"/>
      <w:r w:rsidRPr="00F078E4">
        <w:rPr>
          <w:lang w:val="en-IN"/>
        </w:rPr>
        <w:t>Gorissen</w:t>
      </w:r>
      <w:proofErr w:type="spellEnd"/>
      <w:r w:rsidRPr="00F078E4">
        <w:rPr>
          <w:lang w:val="en-IN"/>
        </w:rPr>
        <w:t xml:space="preserve">, S., &amp; </w:t>
      </w:r>
      <w:proofErr w:type="spellStart"/>
      <w:r w:rsidRPr="00F078E4">
        <w:rPr>
          <w:lang w:val="en-IN"/>
        </w:rPr>
        <w:t>Köllmer</w:t>
      </w:r>
      <w:proofErr w:type="spellEnd"/>
      <w:r w:rsidRPr="00F078E4">
        <w:rPr>
          <w:lang w:val="en-IN"/>
        </w:rPr>
        <w:t xml:space="preserve">, M. (2023). Rational design of topical semi-solid dosage forms—How far are we? </w:t>
      </w:r>
      <w:r w:rsidRPr="00F078E4">
        <w:rPr>
          <w:i/>
          <w:iCs/>
          <w:lang w:val="en-IN"/>
        </w:rPr>
        <w:t>Pharmaceutics, 15</w:t>
      </w:r>
      <w:r w:rsidRPr="00F078E4">
        <w:rPr>
          <w:lang w:val="en-IN"/>
        </w:rPr>
        <w:t xml:space="preserve">(7), 1822. </w:t>
      </w:r>
      <w:hyperlink r:id="rId31" w:tgtFrame="_new" w:history="1">
        <w:r w:rsidRPr="00F078E4">
          <w:rPr>
            <w:rStyle w:val="Hyperlink"/>
            <w:lang w:val="en-IN"/>
          </w:rPr>
          <w:t>https://doi.org/10.3390/pharmaceutics15071822</w:t>
        </w:r>
      </w:hyperlink>
    </w:p>
    <w:p w14:paraId="70EF5DA7" w14:textId="77777777" w:rsidR="002F3004" w:rsidRPr="00F078E4" w:rsidRDefault="002F3004" w:rsidP="00C17A09">
      <w:pPr>
        <w:spacing w:after="80" w:line="276" w:lineRule="auto"/>
        <w:ind w:left="360" w:hanging="360"/>
        <w:jc w:val="both"/>
        <w:rPr>
          <w:lang w:val="en-IN"/>
        </w:rPr>
      </w:pPr>
      <w:proofErr w:type="spellStart"/>
      <w:r w:rsidRPr="00F078E4">
        <w:rPr>
          <w:lang w:val="en-IN"/>
        </w:rPr>
        <w:t>Hewlings</w:t>
      </w:r>
      <w:proofErr w:type="spellEnd"/>
      <w:r w:rsidRPr="00F078E4">
        <w:rPr>
          <w:lang w:val="en-IN"/>
        </w:rPr>
        <w:t xml:space="preserve">, S. J., &amp; Kalman, D. S. (2017). Curcumin: A review of its effects on human health. </w:t>
      </w:r>
      <w:r w:rsidRPr="00F078E4">
        <w:rPr>
          <w:i/>
          <w:iCs/>
          <w:lang w:val="en-IN"/>
        </w:rPr>
        <w:t>Foods, 6</w:t>
      </w:r>
      <w:r w:rsidRPr="00F078E4">
        <w:rPr>
          <w:lang w:val="en-IN"/>
        </w:rPr>
        <w:t xml:space="preserve">(10), 92. </w:t>
      </w:r>
      <w:hyperlink r:id="rId32" w:tgtFrame="_new" w:history="1">
        <w:r w:rsidRPr="00F078E4">
          <w:rPr>
            <w:rStyle w:val="Hyperlink"/>
            <w:lang w:val="en-IN"/>
          </w:rPr>
          <w:t>https://doi.org/10.3390/foods6100092</w:t>
        </w:r>
      </w:hyperlink>
    </w:p>
    <w:p w14:paraId="29E8B93E" w14:textId="77777777" w:rsidR="002F3004" w:rsidRPr="00F078E4" w:rsidRDefault="002F3004" w:rsidP="00C17A09">
      <w:pPr>
        <w:spacing w:after="80" w:line="276" w:lineRule="auto"/>
        <w:ind w:left="360" w:hanging="360"/>
        <w:jc w:val="both"/>
        <w:rPr>
          <w:lang w:val="en-IN"/>
        </w:rPr>
      </w:pPr>
      <w:r w:rsidRPr="00F078E4">
        <w:rPr>
          <w:lang w:val="en-IN"/>
        </w:rPr>
        <w:t xml:space="preserve">International Council for Harmonisation. (2008). </w:t>
      </w:r>
      <w:r w:rsidRPr="00F078E4">
        <w:rPr>
          <w:i/>
          <w:iCs/>
          <w:lang w:val="en-IN"/>
        </w:rPr>
        <w:t>ICH Q10: Pharmaceutical quality system</w:t>
      </w:r>
      <w:r w:rsidRPr="00F078E4">
        <w:rPr>
          <w:lang w:val="en-IN"/>
        </w:rPr>
        <w:t>. International Council for Harmonisation.</w:t>
      </w:r>
    </w:p>
    <w:p w14:paraId="601756D0" w14:textId="77777777" w:rsidR="002F3004" w:rsidRPr="00F078E4" w:rsidRDefault="002F3004" w:rsidP="00C17A09">
      <w:pPr>
        <w:spacing w:after="80" w:line="276" w:lineRule="auto"/>
        <w:ind w:left="360" w:hanging="360"/>
        <w:jc w:val="both"/>
        <w:rPr>
          <w:lang w:val="en-IN"/>
        </w:rPr>
      </w:pPr>
      <w:r w:rsidRPr="00F078E4">
        <w:rPr>
          <w:lang w:val="en-IN"/>
        </w:rPr>
        <w:t xml:space="preserve">International Council for Harmonisation. (2009). </w:t>
      </w:r>
      <w:r w:rsidRPr="00F078E4">
        <w:rPr>
          <w:i/>
          <w:iCs/>
          <w:lang w:val="en-IN"/>
        </w:rPr>
        <w:t>ICH Q8(R2): Pharmaceutical development</w:t>
      </w:r>
      <w:r w:rsidRPr="00F078E4">
        <w:rPr>
          <w:lang w:val="en-IN"/>
        </w:rPr>
        <w:t>. International Council for Harmonisation.</w:t>
      </w:r>
    </w:p>
    <w:p w14:paraId="7A6A5ADA" w14:textId="77777777" w:rsidR="002F3004" w:rsidRPr="00F078E4" w:rsidRDefault="002F3004" w:rsidP="00C17A09">
      <w:pPr>
        <w:spacing w:after="80" w:line="276" w:lineRule="auto"/>
        <w:ind w:left="360" w:hanging="360"/>
        <w:jc w:val="both"/>
        <w:rPr>
          <w:lang w:val="en-IN"/>
        </w:rPr>
      </w:pPr>
      <w:r w:rsidRPr="00F078E4">
        <w:rPr>
          <w:lang w:val="en-IN"/>
        </w:rPr>
        <w:lastRenderedPageBreak/>
        <w:t xml:space="preserve">International Council for Harmonisation. (2023). </w:t>
      </w:r>
      <w:r w:rsidRPr="00F078E4">
        <w:rPr>
          <w:i/>
          <w:iCs/>
          <w:lang w:val="en-IN"/>
        </w:rPr>
        <w:t>ICH Q9(R1): Quality risk management</w:t>
      </w:r>
      <w:r w:rsidRPr="00F078E4">
        <w:rPr>
          <w:lang w:val="en-IN"/>
        </w:rPr>
        <w:t>. International Council for Harmonisation.</w:t>
      </w:r>
    </w:p>
    <w:p w14:paraId="5D2C4F9C" w14:textId="77777777" w:rsidR="002F3004" w:rsidRPr="00F078E4" w:rsidRDefault="002F3004" w:rsidP="00C17A09">
      <w:pPr>
        <w:spacing w:after="80" w:line="276" w:lineRule="auto"/>
        <w:ind w:left="360" w:hanging="360"/>
        <w:jc w:val="both"/>
        <w:rPr>
          <w:lang w:val="en-IN"/>
        </w:rPr>
      </w:pPr>
      <w:r w:rsidRPr="00F078E4">
        <w:rPr>
          <w:lang w:val="en-IN"/>
        </w:rPr>
        <w:t xml:space="preserve">James, G. A., Swogger, E., Wolcott, R., </w:t>
      </w:r>
      <w:proofErr w:type="spellStart"/>
      <w:r w:rsidRPr="00F078E4">
        <w:rPr>
          <w:lang w:val="en-IN"/>
        </w:rPr>
        <w:t>deLancey</w:t>
      </w:r>
      <w:proofErr w:type="spellEnd"/>
      <w:r w:rsidRPr="00F078E4">
        <w:rPr>
          <w:lang w:val="en-IN"/>
        </w:rPr>
        <w:t xml:space="preserve"> Pulcini, E., Secor, P., Sestrich, J., </w:t>
      </w:r>
      <w:proofErr w:type="spellStart"/>
      <w:r w:rsidRPr="00F078E4">
        <w:rPr>
          <w:lang w:val="en-IN"/>
        </w:rPr>
        <w:t>Costerton</w:t>
      </w:r>
      <w:proofErr w:type="spellEnd"/>
      <w:r w:rsidRPr="00F078E4">
        <w:rPr>
          <w:lang w:val="en-IN"/>
        </w:rPr>
        <w:t xml:space="preserve">, J. W., &amp; Stewart, P. S. (2008). Biofilms in chronic wounds. </w:t>
      </w:r>
      <w:r w:rsidRPr="00F078E4">
        <w:rPr>
          <w:i/>
          <w:iCs/>
          <w:lang w:val="en-IN"/>
        </w:rPr>
        <w:t>Wound Repair and Regeneration, 16</w:t>
      </w:r>
      <w:r w:rsidRPr="00F078E4">
        <w:rPr>
          <w:lang w:val="en-IN"/>
        </w:rPr>
        <w:t xml:space="preserve">(1), 37–44. </w:t>
      </w:r>
      <w:hyperlink r:id="rId33" w:tgtFrame="_new" w:history="1">
        <w:r w:rsidRPr="00F078E4">
          <w:rPr>
            <w:rStyle w:val="Hyperlink"/>
            <w:lang w:val="en-IN"/>
          </w:rPr>
          <w:t>https://doi.org/10.1111/j.1524-475X.2007.00321.x</w:t>
        </w:r>
      </w:hyperlink>
    </w:p>
    <w:p w14:paraId="07F6FB9A" w14:textId="77777777" w:rsidR="002F3004" w:rsidRPr="00F078E4" w:rsidRDefault="002F3004" w:rsidP="00C17A09">
      <w:pPr>
        <w:spacing w:after="80" w:line="276" w:lineRule="auto"/>
        <w:ind w:left="360" w:hanging="360"/>
        <w:jc w:val="both"/>
        <w:rPr>
          <w:lang w:val="en-IN"/>
        </w:rPr>
      </w:pPr>
      <w:r w:rsidRPr="00F078E4">
        <w:rPr>
          <w:lang w:val="en-IN"/>
        </w:rPr>
        <w:t>Jia, S., Du, Z., Song, C., Jin, S., Zhang, Y., Feng, Y., Xiong, C., &amp; Jiang, H. (2017). Identification and characterization of curcuminoids in turmeric using ultra-</w:t>
      </w:r>
      <w:proofErr w:type="gramStart"/>
      <w:r w:rsidRPr="00F078E4">
        <w:rPr>
          <w:lang w:val="en-IN"/>
        </w:rPr>
        <w:t>high performance</w:t>
      </w:r>
      <w:proofErr w:type="gramEnd"/>
      <w:r w:rsidRPr="00F078E4">
        <w:rPr>
          <w:lang w:val="en-IN"/>
        </w:rPr>
        <w:t xml:space="preserve"> liquid chromatography–quadrupole time of flight tandem mass spectrometry. </w:t>
      </w:r>
      <w:r w:rsidRPr="00F078E4">
        <w:rPr>
          <w:i/>
          <w:iCs/>
          <w:lang w:val="en-IN"/>
        </w:rPr>
        <w:t>Journal of Chromatography A, 1521</w:t>
      </w:r>
      <w:r w:rsidRPr="00F078E4">
        <w:rPr>
          <w:lang w:val="en-IN"/>
        </w:rPr>
        <w:t xml:space="preserve">, 110–122. </w:t>
      </w:r>
      <w:hyperlink r:id="rId34" w:tgtFrame="_new" w:history="1">
        <w:r w:rsidRPr="00F078E4">
          <w:rPr>
            <w:rStyle w:val="Hyperlink"/>
            <w:lang w:val="en-IN"/>
          </w:rPr>
          <w:t>https://doi.org/10.1016/j.chroma.2017.09.032</w:t>
        </w:r>
      </w:hyperlink>
    </w:p>
    <w:p w14:paraId="291EF3F3" w14:textId="77777777" w:rsidR="002F3004" w:rsidRPr="00F078E4" w:rsidRDefault="002F3004" w:rsidP="00C17A09">
      <w:pPr>
        <w:spacing w:after="80" w:line="276" w:lineRule="auto"/>
        <w:ind w:left="360" w:hanging="360"/>
        <w:jc w:val="both"/>
        <w:rPr>
          <w:lang w:val="en-IN"/>
        </w:rPr>
      </w:pPr>
      <w:r w:rsidRPr="00F078E4">
        <w:rPr>
          <w:lang w:val="en-IN"/>
        </w:rPr>
        <w:t xml:space="preserve">Kunle, O. F., Egharevba, H. O., &amp; Ahmadu, P. O. (2012). Standardization of herbal medicines—A review. </w:t>
      </w:r>
      <w:r w:rsidRPr="00F078E4">
        <w:rPr>
          <w:i/>
          <w:iCs/>
          <w:lang w:val="en-IN"/>
        </w:rPr>
        <w:t>International Journal of Biodiversity and Conservation, 4</w:t>
      </w:r>
      <w:r w:rsidRPr="00F078E4">
        <w:rPr>
          <w:lang w:val="en-IN"/>
        </w:rPr>
        <w:t>(3), 101–112.</w:t>
      </w:r>
    </w:p>
    <w:p w14:paraId="2381832D" w14:textId="77777777" w:rsidR="002F3004" w:rsidRPr="00F078E4" w:rsidRDefault="002F3004" w:rsidP="00C17A09">
      <w:pPr>
        <w:spacing w:after="80" w:line="276" w:lineRule="auto"/>
        <w:ind w:left="360" w:hanging="360"/>
        <w:jc w:val="both"/>
        <w:rPr>
          <w:lang w:val="en-IN"/>
        </w:rPr>
      </w:pPr>
      <w:proofErr w:type="spellStart"/>
      <w:r w:rsidRPr="00F078E4">
        <w:rPr>
          <w:lang w:val="en-IN"/>
        </w:rPr>
        <w:t>Kunnumakkara</w:t>
      </w:r>
      <w:proofErr w:type="spellEnd"/>
      <w:r w:rsidRPr="00F078E4">
        <w:rPr>
          <w:lang w:val="en-IN"/>
        </w:rPr>
        <w:t xml:space="preserve">, A. B., Bordoloi, D., Padmavathi, G., Monisha, J., Roy, N. K., Prasad, S., &amp; Aggarwal, B. B. (2017). Curcumin, the golden nutraceutical: Multitargeting for multiple chronic diseases. </w:t>
      </w:r>
      <w:r w:rsidRPr="00F078E4">
        <w:rPr>
          <w:i/>
          <w:iCs/>
          <w:lang w:val="en-IN"/>
        </w:rPr>
        <w:t>British Journal of Pharmacology, 174</w:t>
      </w:r>
      <w:r w:rsidRPr="00F078E4">
        <w:rPr>
          <w:lang w:val="en-IN"/>
        </w:rPr>
        <w:t xml:space="preserve">(11), 1325–1348. </w:t>
      </w:r>
      <w:hyperlink r:id="rId35" w:tgtFrame="_new" w:history="1">
        <w:r w:rsidRPr="00F078E4">
          <w:rPr>
            <w:rStyle w:val="Hyperlink"/>
            <w:lang w:val="en-IN"/>
          </w:rPr>
          <w:t>https://doi.org/10.1111/bph.13621</w:t>
        </w:r>
      </w:hyperlink>
    </w:p>
    <w:p w14:paraId="3A921D48" w14:textId="77777777" w:rsidR="002F3004" w:rsidRPr="00F078E4" w:rsidRDefault="002F3004" w:rsidP="00C17A09">
      <w:pPr>
        <w:spacing w:after="80" w:line="276" w:lineRule="auto"/>
        <w:ind w:left="360" w:hanging="360"/>
        <w:jc w:val="both"/>
        <w:rPr>
          <w:lang w:val="en-IN"/>
        </w:rPr>
      </w:pPr>
      <w:r w:rsidRPr="00F078E4">
        <w:rPr>
          <w:lang w:val="en-IN"/>
        </w:rPr>
        <w:t xml:space="preserve">Lionberger, R. A., Lee, S. L., Lee, L., Raw, A., &amp; Yu, L. X. (2008). Quality by Design: Concepts for ANDAs. </w:t>
      </w:r>
      <w:r w:rsidRPr="00F078E4">
        <w:rPr>
          <w:i/>
          <w:iCs/>
          <w:lang w:val="en-IN"/>
        </w:rPr>
        <w:t>The AAPS Journal, 10</w:t>
      </w:r>
      <w:r w:rsidRPr="00F078E4">
        <w:rPr>
          <w:lang w:val="en-IN"/>
        </w:rPr>
        <w:t xml:space="preserve">, 268–276. </w:t>
      </w:r>
      <w:hyperlink r:id="rId36" w:tgtFrame="_new" w:history="1">
        <w:r w:rsidRPr="00F078E4">
          <w:rPr>
            <w:rStyle w:val="Hyperlink"/>
            <w:lang w:val="en-IN"/>
          </w:rPr>
          <w:t>https://doi.org/10.1208/s12248-008-9026-7</w:t>
        </w:r>
      </w:hyperlink>
    </w:p>
    <w:p w14:paraId="127A1505" w14:textId="77777777" w:rsidR="002F3004" w:rsidRPr="00F078E4" w:rsidRDefault="002F3004" w:rsidP="00C17A09">
      <w:pPr>
        <w:spacing w:after="80" w:line="276" w:lineRule="auto"/>
        <w:ind w:left="360" w:hanging="360"/>
        <w:jc w:val="both"/>
        <w:rPr>
          <w:lang w:val="en-IN"/>
        </w:rPr>
      </w:pPr>
      <w:r w:rsidRPr="00F078E4">
        <w:rPr>
          <w:lang w:val="en-IN"/>
        </w:rPr>
        <w:t xml:space="preserve">Mani, H., Sidhu, G. S., Kumari, R., Gaddipati, J. P., Seth, P., &amp; Maheshwari, R. K. (2002). Curcumin differentially regulates TGF-β1, its receptors and nitric oxide synthase during impaired wound healing. </w:t>
      </w:r>
      <w:proofErr w:type="spellStart"/>
      <w:r w:rsidRPr="00F078E4">
        <w:rPr>
          <w:i/>
          <w:iCs/>
          <w:lang w:val="en-IN"/>
        </w:rPr>
        <w:t>BioFactors</w:t>
      </w:r>
      <w:proofErr w:type="spellEnd"/>
      <w:r w:rsidRPr="00F078E4">
        <w:rPr>
          <w:i/>
          <w:iCs/>
          <w:lang w:val="en-IN"/>
        </w:rPr>
        <w:t>, 16</w:t>
      </w:r>
      <w:r w:rsidRPr="00F078E4">
        <w:rPr>
          <w:lang w:val="en-IN"/>
        </w:rPr>
        <w:t xml:space="preserve">(1–2), 29–43. </w:t>
      </w:r>
      <w:hyperlink r:id="rId37" w:tgtFrame="_new" w:history="1">
        <w:r w:rsidRPr="00F078E4">
          <w:rPr>
            <w:rStyle w:val="Hyperlink"/>
            <w:lang w:val="en-IN"/>
          </w:rPr>
          <w:t>https://doi.org/10.1002/biof.5520160104</w:t>
        </w:r>
      </w:hyperlink>
    </w:p>
    <w:p w14:paraId="70852DB1" w14:textId="77777777" w:rsidR="002F3004" w:rsidRPr="00F078E4" w:rsidRDefault="002F3004" w:rsidP="00C17A09">
      <w:pPr>
        <w:spacing w:after="80" w:line="276" w:lineRule="auto"/>
        <w:ind w:left="360" w:hanging="360"/>
        <w:jc w:val="both"/>
        <w:rPr>
          <w:lang w:val="en-IN"/>
        </w:rPr>
      </w:pPr>
      <w:r w:rsidRPr="00F078E4">
        <w:rPr>
          <w:lang w:val="en-IN"/>
        </w:rPr>
        <w:t xml:space="preserve">Mohanty, C., &amp; Sahoo, S. K. (2017). Curcumin and its topical formulations for wound healing applications. </w:t>
      </w:r>
      <w:r w:rsidRPr="00F078E4">
        <w:rPr>
          <w:i/>
          <w:iCs/>
          <w:lang w:val="en-IN"/>
        </w:rPr>
        <w:t>Drug Discovery Today, 22</w:t>
      </w:r>
      <w:r w:rsidRPr="00F078E4">
        <w:rPr>
          <w:lang w:val="en-IN"/>
        </w:rPr>
        <w:t xml:space="preserve">(10), 1582–1592. </w:t>
      </w:r>
      <w:hyperlink r:id="rId38" w:tgtFrame="_new" w:history="1">
        <w:r w:rsidRPr="00F078E4">
          <w:rPr>
            <w:rStyle w:val="Hyperlink"/>
            <w:lang w:val="en-IN"/>
          </w:rPr>
          <w:t>https://doi.org/10.1016/j.drudis.2017.07.001</w:t>
        </w:r>
      </w:hyperlink>
    </w:p>
    <w:p w14:paraId="4036C714" w14:textId="77777777" w:rsidR="002F3004" w:rsidRPr="00F078E4" w:rsidRDefault="002F3004" w:rsidP="00C17A09">
      <w:pPr>
        <w:spacing w:after="80" w:line="276" w:lineRule="auto"/>
        <w:ind w:left="360" w:hanging="360"/>
        <w:jc w:val="both"/>
        <w:rPr>
          <w:lang w:val="en-IN"/>
        </w:rPr>
      </w:pPr>
      <w:r w:rsidRPr="00F078E4">
        <w:rPr>
          <w:lang w:val="en-IN"/>
        </w:rPr>
        <w:t xml:space="preserve">Mukherjee, P. K. (2002). </w:t>
      </w:r>
      <w:r w:rsidRPr="00F078E4">
        <w:rPr>
          <w:i/>
          <w:iCs/>
          <w:lang w:val="en-IN"/>
        </w:rPr>
        <w:t>Quality control of herbal drugs: An approach to evaluation of botanicals</w:t>
      </w:r>
      <w:r w:rsidRPr="00F078E4">
        <w:rPr>
          <w:lang w:val="en-IN"/>
        </w:rPr>
        <w:t>. Business Horizons.</w:t>
      </w:r>
    </w:p>
    <w:p w14:paraId="108013C6" w14:textId="77777777" w:rsidR="002F3004" w:rsidRPr="00F078E4" w:rsidRDefault="002F3004" w:rsidP="00C17A09">
      <w:pPr>
        <w:spacing w:after="80" w:line="276" w:lineRule="auto"/>
        <w:ind w:left="360" w:hanging="360"/>
        <w:jc w:val="both"/>
        <w:rPr>
          <w:lang w:val="en-IN"/>
        </w:rPr>
      </w:pPr>
      <w:r w:rsidRPr="00F078E4">
        <w:rPr>
          <w:lang w:val="en-IN"/>
        </w:rPr>
        <w:t xml:space="preserve">Nelson, K. M., Dahlin, J. L., Bisson, J., Graham, J., Pauli, G. F., &amp; Walters, M. A. (2017). The essential medicinal chemistry of curcumin. </w:t>
      </w:r>
      <w:r w:rsidRPr="00F078E4">
        <w:rPr>
          <w:i/>
          <w:iCs/>
          <w:lang w:val="en-IN"/>
        </w:rPr>
        <w:t>Journal of Medicinal Chemistry, 60</w:t>
      </w:r>
      <w:r w:rsidRPr="00F078E4">
        <w:rPr>
          <w:lang w:val="en-IN"/>
        </w:rPr>
        <w:t xml:space="preserve">(5), 1620–1637. </w:t>
      </w:r>
      <w:hyperlink r:id="rId39" w:tgtFrame="_new" w:history="1">
        <w:r w:rsidRPr="00F078E4">
          <w:rPr>
            <w:rStyle w:val="Hyperlink"/>
            <w:lang w:val="en-IN"/>
          </w:rPr>
          <w:t>https://doi.org/10.1021/acs.jmedchem.6b00975</w:t>
        </w:r>
      </w:hyperlink>
    </w:p>
    <w:p w14:paraId="1C834DAD" w14:textId="77777777" w:rsidR="002F3004" w:rsidRPr="00F078E4" w:rsidRDefault="002F3004" w:rsidP="00C17A09">
      <w:pPr>
        <w:spacing w:after="80" w:line="276" w:lineRule="auto"/>
        <w:ind w:left="360" w:hanging="360"/>
        <w:jc w:val="both"/>
        <w:rPr>
          <w:lang w:val="en-IN"/>
        </w:rPr>
      </w:pPr>
      <w:r w:rsidRPr="00F078E4">
        <w:rPr>
          <w:lang w:val="en-IN"/>
        </w:rPr>
        <w:t xml:space="preserve">Parsa, M., Trybala, A., Malik, D. J., &amp; Starov, V. M. (2019). Foam in pharmaceutical and medical applications. </w:t>
      </w:r>
      <w:r w:rsidRPr="00F078E4">
        <w:rPr>
          <w:i/>
          <w:iCs/>
          <w:lang w:val="en-IN"/>
        </w:rPr>
        <w:t>Current Opinion in Colloid &amp; Interface Science, 44</w:t>
      </w:r>
      <w:r w:rsidRPr="00F078E4">
        <w:rPr>
          <w:lang w:val="en-IN"/>
        </w:rPr>
        <w:t xml:space="preserve">, 153–167. </w:t>
      </w:r>
      <w:hyperlink r:id="rId40" w:tgtFrame="_new" w:history="1">
        <w:r w:rsidRPr="00F078E4">
          <w:rPr>
            <w:rStyle w:val="Hyperlink"/>
            <w:lang w:val="en-IN"/>
          </w:rPr>
          <w:t>https://doi.org/10.1016/j.cocis.2019.10.007</w:t>
        </w:r>
      </w:hyperlink>
    </w:p>
    <w:p w14:paraId="7447A8E8" w14:textId="77777777" w:rsidR="002F3004" w:rsidRPr="00F078E4" w:rsidRDefault="002F3004" w:rsidP="00C17A09">
      <w:pPr>
        <w:spacing w:after="80" w:line="276" w:lineRule="auto"/>
        <w:ind w:left="360" w:hanging="360"/>
        <w:jc w:val="both"/>
        <w:rPr>
          <w:lang w:val="en-IN"/>
        </w:rPr>
      </w:pPr>
      <w:proofErr w:type="spellStart"/>
      <w:r w:rsidRPr="00F078E4">
        <w:rPr>
          <w:lang w:val="en-IN"/>
        </w:rPr>
        <w:t>Pastar</w:t>
      </w:r>
      <w:proofErr w:type="spellEnd"/>
      <w:r w:rsidRPr="00F078E4">
        <w:rPr>
          <w:lang w:val="en-IN"/>
        </w:rPr>
        <w:t xml:space="preserve">, I., </w:t>
      </w:r>
      <w:proofErr w:type="spellStart"/>
      <w:r w:rsidRPr="00F078E4">
        <w:rPr>
          <w:lang w:val="en-IN"/>
        </w:rPr>
        <w:t>Stojadinovic</w:t>
      </w:r>
      <w:proofErr w:type="spellEnd"/>
      <w:r w:rsidRPr="00F078E4">
        <w:rPr>
          <w:lang w:val="en-IN"/>
        </w:rPr>
        <w:t xml:space="preserve">, O., Yin, N. C., Ramirez, H., Nusbaum, A. G., Sawaya, A., Patel, S. B., Khalid, L., </w:t>
      </w:r>
      <w:proofErr w:type="spellStart"/>
      <w:r w:rsidRPr="00F078E4">
        <w:rPr>
          <w:lang w:val="en-IN"/>
        </w:rPr>
        <w:t>Isseroff</w:t>
      </w:r>
      <w:proofErr w:type="spellEnd"/>
      <w:r w:rsidRPr="00F078E4">
        <w:rPr>
          <w:lang w:val="en-IN"/>
        </w:rPr>
        <w:t>, R. R., &amp; Tomic-</w:t>
      </w:r>
      <w:proofErr w:type="spellStart"/>
      <w:r w:rsidRPr="00F078E4">
        <w:rPr>
          <w:lang w:val="en-IN"/>
        </w:rPr>
        <w:t>Canic</w:t>
      </w:r>
      <w:proofErr w:type="spellEnd"/>
      <w:r w:rsidRPr="00F078E4">
        <w:rPr>
          <w:lang w:val="en-IN"/>
        </w:rPr>
        <w:t xml:space="preserve">, M. (2014). Epithelialization in wound healing: A comprehensive review. </w:t>
      </w:r>
      <w:r w:rsidRPr="00F078E4">
        <w:rPr>
          <w:i/>
          <w:iCs/>
          <w:lang w:val="en-IN"/>
        </w:rPr>
        <w:t>Advances in Wound Care, 3</w:t>
      </w:r>
      <w:r w:rsidRPr="00F078E4">
        <w:rPr>
          <w:lang w:val="en-IN"/>
        </w:rPr>
        <w:t xml:space="preserve">(7), 445–464. </w:t>
      </w:r>
      <w:hyperlink r:id="rId41" w:tgtFrame="_new" w:history="1">
        <w:r w:rsidRPr="00F078E4">
          <w:rPr>
            <w:rStyle w:val="Hyperlink"/>
            <w:lang w:val="en-IN"/>
          </w:rPr>
          <w:t>https://doi.org/10.1089/wound.2013.0473</w:t>
        </w:r>
      </w:hyperlink>
    </w:p>
    <w:p w14:paraId="7C27BBEC" w14:textId="77777777" w:rsidR="002F3004" w:rsidRPr="00F078E4" w:rsidRDefault="002F3004" w:rsidP="00C17A09">
      <w:pPr>
        <w:spacing w:after="80" w:line="276" w:lineRule="auto"/>
        <w:ind w:left="360" w:hanging="360"/>
        <w:jc w:val="both"/>
        <w:rPr>
          <w:lang w:val="en-IN"/>
        </w:rPr>
      </w:pPr>
      <w:r w:rsidRPr="00F078E4">
        <w:rPr>
          <w:lang w:val="en-IN"/>
        </w:rPr>
        <w:t xml:space="preserve">Percival, S. L., Emanuel, C., Cutting, K. F., &amp; Williams, D. W. (2012). Microbiology of the skin and the role of biofilms in infection. </w:t>
      </w:r>
      <w:r w:rsidRPr="00F078E4">
        <w:rPr>
          <w:i/>
          <w:iCs/>
          <w:lang w:val="en-IN"/>
        </w:rPr>
        <w:t>International Wound Journal, 9</w:t>
      </w:r>
      <w:r w:rsidRPr="00F078E4">
        <w:rPr>
          <w:lang w:val="en-IN"/>
        </w:rPr>
        <w:t xml:space="preserve">(1), 14–32. </w:t>
      </w:r>
      <w:hyperlink r:id="rId42" w:tgtFrame="_new" w:history="1">
        <w:r w:rsidRPr="00F078E4">
          <w:rPr>
            <w:rStyle w:val="Hyperlink"/>
            <w:lang w:val="en-IN"/>
          </w:rPr>
          <w:t>https://doi.org/10.1111/j.1742-481X.2011.00836.x</w:t>
        </w:r>
      </w:hyperlink>
    </w:p>
    <w:p w14:paraId="1B613F74" w14:textId="77777777" w:rsidR="002F3004" w:rsidRPr="00F078E4" w:rsidRDefault="002F3004" w:rsidP="00C17A09">
      <w:pPr>
        <w:spacing w:after="80" w:line="276" w:lineRule="auto"/>
        <w:ind w:left="360" w:hanging="360"/>
        <w:jc w:val="both"/>
        <w:rPr>
          <w:lang w:val="en-IN"/>
        </w:rPr>
      </w:pPr>
      <w:r w:rsidRPr="00F078E4">
        <w:rPr>
          <w:lang w:val="en-IN"/>
        </w:rPr>
        <w:lastRenderedPageBreak/>
        <w:t xml:space="preserve">Percival, S. L., McCarty, S. M., &amp; Lipsky, B. (2015). Biofilms and wounds: An overview of the evidence. </w:t>
      </w:r>
      <w:r w:rsidRPr="00F078E4">
        <w:rPr>
          <w:i/>
          <w:iCs/>
          <w:lang w:val="en-IN"/>
        </w:rPr>
        <w:t>Advances in Wound Care, 4</w:t>
      </w:r>
      <w:r w:rsidRPr="00F078E4">
        <w:rPr>
          <w:lang w:val="en-IN"/>
        </w:rPr>
        <w:t xml:space="preserve">(7), 373–381. </w:t>
      </w:r>
      <w:hyperlink r:id="rId43" w:tgtFrame="_new" w:history="1">
        <w:r w:rsidRPr="00F078E4">
          <w:rPr>
            <w:rStyle w:val="Hyperlink"/>
            <w:lang w:val="en-IN"/>
          </w:rPr>
          <w:t>https://doi.org/10.1089/wound.2014.0557</w:t>
        </w:r>
      </w:hyperlink>
    </w:p>
    <w:p w14:paraId="7CCBFC36" w14:textId="77777777" w:rsidR="002F3004" w:rsidRPr="00F078E4" w:rsidRDefault="002F3004" w:rsidP="00C17A09">
      <w:pPr>
        <w:spacing w:after="80" w:line="276" w:lineRule="auto"/>
        <w:ind w:left="360" w:hanging="360"/>
        <w:jc w:val="both"/>
        <w:rPr>
          <w:lang w:val="en-IN"/>
        </w:rPr>
      </w:pPr>
      <w:proofErr w:type="spellStart"/>
      <w:r w:rsidRPr="00F078E4">
        <w:rPr>
          <w:lang w:val="en-IN"/>
        </w:rPr>
        <w:t>Prausnitz</w:t>
      </w:r>
      <w:proofErr w:type="spellEnd"/>
      <w:r w:rsidRPr="00F078E4">
        <w:rPr>
          <w:lang w:val="en-IN"/>
        </w:rPr>
        <w:t xml:space="preserve">, M. R., &amp; Langer, R. (2008). Transdermal drug delivery. </w:t>
      </w:r>
      <w:r w:rsidRPr="00F078E4">
        <w:rPr>
          <w:i/>
          <w:iCs/>
          <w:lang w:val="en-IN"/>
        </w:rPr>
        <w:t>Nature Biotechnology, 26</w:t>
      </w:r>
      <w:r w:rsidRPr="00F078E4">
        <w:rPr>
          <w:lang w:val="en-IN"/>
        </w:rPr>
        <w:t xml:space="preserve">, 1261–1268. </w:t>
      </w:r>
      <w:hyperlink r:id="rId44" w:tgtFrame="_new" w:history="1">
        <w:r w:rsidRPr="00F078E4">
          <w:rPr>
            <w:rStyle w:val="Hyperlink"/>
            <w:lang w:val="en-IN"/>
          </w:rPr>
          <w:t>https://doi.org/10.1038/nbt.1504</w:t>
        </w:r>
      </w:hyperlink>
    </w:p>
    <w:p w14:paraId="389790DD" w14:textId="77777777" w:rsidR="002F3004" w:rsidRPr="00F078E4" w:rsidRDefault="002F3004" w:rsidP="00C17A09">
      <w:pPr>
        <w:spacing w:after="80" w:line="276" w:lineRule="auto"/>
        <w:ind w:left="360" w:hanging="360"/>
        <w:jc w:val="both"/>
        <w:rPr>
          <w:lang w:val="en-IN"/>
        </w:rPr>
      </w:pPr>
      <w:proofErr w:type="spellStart"/>
      <w:r w:rsidRPr="00F078E4">
        <w:rPr>
          <w:lang w:val="en-IN"/>
        </w:rPr>
        <w:t>Prausnitz</w:t>
      </w:r>
      <w:proofErr w:type="spellEnd"/>
      <w:r w:rsidRPr="00F078E4">
        <w:rPr>
          <w:lang w:val="en-IN"/>
        </w:rPr>
        <w:t xml:space="preserve">, M. R., Mitragotri, S., &amp; Langer, R. (2004). Current status and future potential of transdermal drug delivery. </w:t>
      </w:r>
      <w:r w:rsidRPr="00F078E4">
        <w:rPr>
          <w:i/>
          <w:iCs/>
          <w:lang w:val="en-IN"/>
        </w:rPr>
        <w:t>Nature Reviews Drug Discovery, 3</w:t>
      </w:r>
      <w:r w:rsidRPr="00F078E4">
        <w:rPr>
          <w:lang w:val="en-IN"/>
        </w:rPr>
        <w:t xml:space="preserve">, 115–124. </w:t>
      </w:r>
      <w:hyperlink r:id="rId45" w:tgtFrame="_new" w:history="1">
        <w:r w:rsidRPr="00F078E4">
          <w:rPr>
            <w:rStyle w:val="Hyperlink"/>
            <w:lang w:val="en-IN"/>
          </w:rPr>
          <w:t>https://doi.org/10.1038/nrd1304</w:t>
        </w:r>
      </w:hyperlink>
    </w:p>
    <w:p w14:paraId="299D41D5" w14:textId="77777777" w:rsidR="002F3004" w:rsidRPr="00F078E4" w:rsidRDefault="002F3004" w:rsidP="00C17A09">
      <w:pPr>
        <w:spacing w:after="80" w:line="276" w:lineRule="auto"/>
        <w:ind w:left="360" w:hanging="360"/>
        <w:jc w:val="both"/>
        <w:rPr>
          <w:lang w:val="en-IN"/>
        </w:rPr>
      </w:pPr>
      <w:r w:rsidRPr="00F078E4">
        <w:rPr>
          <w:lang w:val="en-IN"/>
        </w:rPr>
        <w:t xml:space="preserve">Rantanen, J., &amp; </w:t>
      </w:r>
      <w:proofErr w:type="spellStart"/>
      <w:r w:rsidRPr="00F078E4">
        <w:rPr>
          <w:lang w:val="en-IN"/>
        </w:rPr>
        <w:t>Khinast</w:t>
      </w:r>
      <w:proofErr w:type="spellEnd"/>
      <w:r w:rsidRPr="00F078E4">
        <w:rPr>
          <w:lang w:val="en-IN"/>
        </w:rPr>
        <w:t xml:space="preserve">, J. (2015). The future of pharmaceutical manufacturing sciences. </w:t>
      </w:r>
      <w:r w:rsidRPr="00F078E4">
        <w:rPr>
          <w:i/>
          <w:iCs/>
          <w:lang w:val="en-IN"/>
        </w:rPr>
        <w:t>Journal of Pharmaceutical Sciences, 104</w:t>
      </w:r>
      <w:r w:rsidRPr="00F078E4">
        <w:rPr>
          <w:lang w:val="en-IN"/>
        </w:rPr>
        <w:t xml:space="preserve">(11), 3612–3638. </w:t>
      </w:r>
      <w:hyperlink r:id="rId46" w:tgtFrame="_new" w:history="1">
        <w:r w:rsidRPr="00F078E4">
          <w:rPr>
            <w:rStyle w:val="Hyperlink"/>
            <w:lang w:val="en-IN"/>
          </w:rPr>
          <w:t>https://doi.org/10.1002/jps.24594</w:t>
        </w:r>
      </w:hyperlink>
    </w:p>
    <w:p w14:paraId="10F3502A" w14:textId="77777777" w:rsidR="002F3004" w:rsidRPr="00F078E4" w:rsidRDefault="002F3004" w:rsidP="00C17A09">
      <w:pPr>
        <w:spacing w:after="80" w:line="276" w:lineRule="auto"/>
        <w:ind w:left="360" w:hanging="360"/>
        <w:jc w:val="both"/>
        <w:rPr>
          <w:lang w:val="en-IN"/>
        </w:rPr>
      </w:pPr>
      <w:r w:rsidRPr="00F078E4">
        <w:rPr>
          <w:lang w:val="en-IN"/>
        </w:rPr>
        <w:t xml:space="preserve">Reich, E., &amp; </w:t>
      </w:r>
      <w:proofErr w:type="spellStart"/>
      <w:r w:rsidRPr="00F078E4">
        <w:rPr>
          <w:lang w:val="en-IN"/>
        </w:rPr>
        <w:t>Schibli</w:t>
      </w:r>
      <w:proofErr w:type="spellEnd"/>
      <w:r w:rsidRPr="00F078E4">
        <w:rPr>
          <w:lang w:val="en-IN"/>
        </w:rPr>
        <w:t xml:space="preserve">, A. (2007). </w:t>
      </w:r>
      <w:r w:rsidRPr="00F078E4">
        <w:rPr>
          <w:i/>
          <w:iCs/>
          <w:lang w:val="en-IN"/>
        </w:rPr>
        <w:t>High-performance thin-layer chromatography for the analysis of medicinal plants</w:t>
      </w:r>
      <w:r w:rsidRPr="00F078E4">
        <w:rPr>
          <w:lang w:val="en-IN"/>
        </w:rPr>
        <w:t>. Thieme.</w:t>
      </w:r>
    </w:p>
    <w:p w14:paraId="61570F2E" w14:textId="77777777" w:rsidR="002F3004" w:rsidRPr="00F078E4" w:rsidRDefault="002F3004" w:rsidP="00C17A09">
      <w:pPr>
        <w:spacing w:after="80" w:line="276" w:lineRule="auto"/>
        <w:ind w:left="360" w:hanging="360"/>
        <w:jc w:val="both"/>
        <w:rPr>
          <w:lang w:val="en-IN"/>
        </w:rPr>
      </w:pPr>
      <w:r w:rsidRPr="00F078E4">
        <w:rPr>
          <w:lang w:val="en-IN"/>
        </w:rPr>
        <w:t xml:space="preserve">Rodrigues, M., </w:t>
      </w:r>
      <w:proofErr w:type="spellStart"/>
      <w:r w:rsidRPr="00F078E4">
        <w:rPr>
          <w:lang w:val="en-IN"/>
        </w:rPr>
        <w:t>Kosaric</w:t>
      </w:r>
      <w:proofErr w:type="spellEnd"/>
      <w:r w:rsidRPr="00F078E4">
        <w:rPr>
          <w:lang w:val="en-IN"/>
        </w:rPr>
        <w:t xml:space="preserve">, N., Bonham, C. A., &amp; Gurtner, G. C. (2021). Wound healing: A cellular perspective. </w:t>
      </w:r>
      <w:r w:rsidRPr="00F078E4">
        <w:rPr>
          <w:i/>
          <w:iCs/>
          <w:lang w:val="en-IN"/>
        </w:rPr>
        <w:t>Physiological Reviews, 101</w:t>
      </w:r>
      <w:r w:rsidRPr="00F078E4">
        <w:rPr>
          <w:lang w:val="en-IN"/>
        </w:rPr>
        <w:t xml:space="preserve">(1), 303–325. </w:t>
      </w:r>
      <w:hyperlink r:id="rId47" w:tgtFrame="_new" w:history="1">
        <w:r w:rsidRPr="00F078E4">
          <w:rPr>
            <w:rStyle w:val="Hyperlink"/>
            <w:lang w:val="en-IN"/>
          </w:rPr>
          <w:t>https://doi.org/10.1152/physrev.00067.2019</w:t>
        </w:r>
      </w:hyperlink>
    </w:p>
    <w:p w14:paraId="63EE5331" w14:textId="77777777" w:rsidR="002F3004" w:rsidRPr="00F078E4" w:rsidRDefault="002F3004" w:rsidP="00C17A09">
      <w:pPr>
        <w:spacing w:after="80" w:line="276" w:lineRule="auto"/>
        <w:ind w:left="360" w:hanging="360"/>
        <w:jc w:val="both"/>
        <w:rPr>
          <w:lang w:val="en-IN"/>
        </w:rPr>
      </w:pPr>
      <w:proofErr w:type="spellStart"/>
      <w:r w:rsidRPr="00F078E4">
        <w:rPr>
          <w:lang w:val="en-IN"/>
        </w:rPr>
        <w:t>Saghazadeh</w:t>
      </w:r>
      <w:proofErr w:type="spellEnd"/>
      <w:r w:rsidRPr="00F078E4">
        <w:rPr>
          <w:lang w:val="en-IN"/>
        </w:rPr>
        <w:t xml:space="preserve">, S., Rinoldi, C., </w:t>
      </w:r>
      <w:proofErr w:type="spellStart"/>
      <w:r w:rsidRPr="00F078E4">
        <w:rPr>
          <w:lang w:val="en-IN"/>
        </w:rPr>
        <w:t>Schot</w:t>
      </w:r>
      <w:proofErr w:type="spellEnd"/>
      <w:r w:rsidRPr="00F078E4">
        <w:rPr>
          <w:lang w:val="en-IN"/>
        </w:rPr>
        <w:t xml:space="preserve">, M., Kashaf, S. S., Sharifi, F., Jalilian, E., </w:t>
      </w:r>
      <w:proofErr w:type="spellStart"/>
      <w:r w:rsidRPr="00F078E4">
        <w:rPr>
          <w:lang w:val="en-IN"/>
        </w:rPr>
        <w:t>Nuutila</w:t>
      </w:r>
      <w:proofErr w:type="spellEnd"/>
      <w:r w:rsidRPr="00F078E4">
        <w:rPr>
          <w:lang w:val="en-IN"/>
        </w:rPr>
        <w:t xml:space="preserve">, K., Giatsidis, G., Mostafalu, P., </w:t>
      </w:r>
      <w:proofErr w:type="spellStart"/>
      <w:r w:rsidRPr="00F078E4">
        <w:rPr>
          <w:lang w:val="en-IN"/>
        </w:rPr>
        <w:t>Derakhshandeh</w:t>
      </w:r>
      <w:proofErr w:type="spellEnd"/>
      <w:r w:rsidRPr="00F078E4">
        <w:rPr>
          <w:lang w:val="en-IN"/>
        </w:rPr>
        <w:t xml:space="preserve">, H., Yue, K., </w:t>
      </w:r>
      <w:proofErr w:type="spellStart"/>
      <w:r w:rsidRPr="00F078E4">
        <w:rPr>
          <w:lang w:val="en-IN"/>
        </w:rPr>
        <w:t>Swieszkowski</w:t>
      </w:r>
      <w:proofErr w:type="spellEnd"/>
      <w:r w:rsidRPr="00F078E4">
        <w:rPr>
          <w:lang w:val="en-IN"/>
        </w:rPr>
        <w:t xml:space="preserve">, W., &amp; </w:t>
      </w:r>
      <w:proofErr w:type="spellStart"/>
      <w:r w:rsidRPr="00F078E4">
        <w:rPr>
          <w:lang w:val="en-IN"/>
        </w:rPr>
        <w:t>Khademhosseini</w:t>
      </w:r>
      <w:proofErr w:type="spellEnd"/>
      <w:r w:rsidRPr="00F078E4">
        <w:rPr>
          <w:lang w:val="en-IN"/>
        </w:rPr>
        <w:t xml:space="preserve">, A. (2018). Drug delivery systems and materials for wound healing applications. </w:t>
      </w:r>
      <w:r w:rsidRPr="00F078E4">
        <w:rPr>
          <w:i/>
          <w:iCs/>
          <w:lang w:val="en-IN"/>
        </w:rPr>
        <w:t>Advanced Drug Delivery Reviews, 127</w:t>
      </w:r>
      <w:r w:rsidRPr="00F078E4">
        <w:rPr>
          <w:lang w:val="en-IN"/>
        </w:rPr>
        <w:t xml:space="preserve">, 138–166. </w:t>
      </w:r>
      <w:hyperlink r:id="rId48" w:tgtFrame="_new" w:history="1">
        <w:r w:rsidRPr="00F078E4">
          <w:rPr>
            <w:rStyle w:val="Hyperlink"/>
            <w:lang w:val="en-IN"/>
          </w:rPr>
          <w:t>https://doi.org/10.1016/j.addr.2018.04.008</w:t>
        </w:r>
      </w:hyperlink>
    </w:p>
    <w:p w14:paraId="48FA65D4" w14:textId="77777777" w:rsidR="002F3004" w:rsidRPr="00F078E4" w:rsidRDefault="002F3004" w:rsidP="00C17A09">
      <w:pPr>
        <w:spacing w:after="80" w:line="276" w:lineRule="auto"/>
        <w:ind w:left="360" w:hanging="360"/>
        <w:jc w:val="both"/>
        <w:rPr>
          <w:lang w:val="en-IN"/>
        </w:rPr>
      </w:pPr>
      <w:r w:rsidRPr="00F078E4">
        <w:rPr>
          <w:lang w:val="en-IN"/>
        </w:rPr>
        <w:t xml:space="preserve">Sarup, P., Bala, S., &amp; Kamboj, S. (2015). Pharmacology and phytochemistry of oleo-gum resin of </w:t>
      </w:r>
      <w:r w:rsidRPr="00F078E4">
        <w:rPr>
          <w:i/>
          <w:iCs/>
          <w:lang w:val="en-IN"/>
        </w:rPr>
        <w:t xml:space="preserve">Commiphora </w:t>
      </w:r>
      <w:proofErr w:type="spellStart"/>
      <w:r w:rsidRPr="00F078E4">
        <w:rPr>
          <w:i/>
          <w:iCs/>
          <w:lang w:val="en-IN"/>
        </w:rPr>
        <w:t>wightii</w:t>
      </w:r>
      <w:proofErr w:type="spellEnd"/>
      <w:r w:rsidRPr="00F078E4">
        <w:rPr>
          <w:lang w:val="en-IN"/>
        </w:rPr>
        <w:t xml:space="preserve"> (</w:t>
      </w:r>
      <w:proofErr w:type="spellStart"/>
      <w:r w:rsidRPr="00F078E4">
        <w:rPr>
          <w:lang w:val="en-IN"/>
        </w:rPr>
        <w:t>Guggulu</w:t>
      </w:r>
      <w:proofErr w:type="spellEnd"/>
      <w:r w:rsidRPr="00F078E4">
        <w:rPr>
          <w:lang w:val="en-IN"/>
        </w:rPr>
        <w:t xml:space="preserve">). </w:t>
      </w:r>
      <w:proofErr w:type="spellStart"/>
      <w:r w:rsidRPr="00F078E4">
        <w:rPr>
          <w:i/>
          <w:iCs/>
          <w:lang w:val="en-IN"/>
        </w:rPr>
        <w:t>Scientifica</w:t>
      </w:r>
      <w:proofErr w:type="spellEnd"/>
      <w:r w:rsidRPr="00F078E4">
        <w:rPr>
          <w:i/>
          <w:iCs/>
          <w:lang w:val="en-IN"/>
        </w:rPr>
        <w:t>, 2015</w:t>
      </w:r>
      <w:r w:rsidRPr="00F078E4">
        <w:rPr>
          <w:lang w:val="en-IN"/>
        </w:rPr>
        <w:t xml:space="preserve">, 138039. </w:t>
      </w:r>
      <w:hyperlink r:id="rId49" w:tgtFrame="_new" w:history="1">
        <w:r w:rsidRPr="00F078E4">
          <w:rPr>
            <w:rStyle w:val="Hyperlink"/>
            <w:lang w:val="en-IN"/>
          </w:rPr>
          <w:t>https://doi.org/10.1155/2015/138039</w:t>
        </w:r>
      </w:hyperlink>
    </w:p>
    <w:p w14:paraId="4921467D" w14:textId="77777777" w:rsidR="002F3004" w:rsidRPr="00F078E4" w:rsidRDefault="002F3004" w:rsidP="00C17A09">
      <w:pPr>
        <w:spacing w:after="80" w:line="276" w:lineRule="auto"/>
        <w:ind w:left="360" w:hanging="360"/>
        <w:jc w:val="both"/>
        <w:rPr>
          <w:lang w:val="en-IN"/>
        </w:rPr>
      </w:pPr>
      <w:r w:rsidRPr="00F078E4">
        <w:rPr>
          <w:lang w:val="en-IN"/>
        </w:rPr>
        <w:t xml:space="preserve">Shen, T., Li, G.-H., Wang, X.-N., &amp; Lou, H.-X. (2012). The genus </w:t>
      </w:r>
      <w:r w:rsidRPr="00F078E4">
        <w:rPr>
          <w:i/>
          <w:iCs/>
          <w:lang w:val="en-IN"/>
        </w:rPr>
        <w:t>Commiphora</w:t>
      </w:r>
      <w:r w:rsidRPr="00F078E4">
        <w:rPr>
          <w:lang w:val="en-IN"/>
        </w:rPr>
        <w:t xml:space="preserve">: A review of its traditional uses, phytochemistry and pharmacology. </w:t>
      </w:r>
      <w:r w:rsidRPr="00F078E4">
        <w:rPr>
          <w:i/>
          <w:iCs/>
          <w:lang w:val="en-IN"/>
        </w:rPr>
        <w:t>Journal of Ethnopharmacology, 142</w:t>
      </w:r>
      <w:r w:rsidRPr="00F078E4">
        <w:rPr>
          <w:lang w:val="en-IN"/>
        </w:rPr>
        <w:t xml:space="preserve">(2), 319–330. </w:t>
      </w:r>
      <w:hyperlink r:id="rId50" w:tgtFrame="_new" w:history="1">
        <w:r w:rsidRPr="00F078E4">
          <w:rPr>
            <w:rStyle w:val="Hyperlink"/>
            <w:lang w:val="en-IN"/>
          </w:rPr>
          <w:t>https://doi.org/10.1016/j.jep.2012.05.025</w:t>
        </w:r>
      </w:hyperlink>
    </w:p>
    <w:p w14:paraId="1C9A0666" w14:textId="77777777" w:rsidR="002F3004" w:rsidRPr="00F078E4" w:rsidRDefault="002F3004" w:rsidP="00C17A09">
      <w:pPr>
        <w:spacing w:after="80" w:line="276" w:lineRule="auto"/>
        <w:ind w:left="360" w:hanging="360"/>
        <w:jc w:val="both"/>
        <w:rPr>
          <w:lang w:val="en-IN"/>
        </w:rPr>
      </w:pPr>
      <w:r w:rsidRPr="00F078E4">
        <w:rPr>
          <w:lang w:val="en-IN"/>
        </w:rPr>
        <w:t xml:space="preserve">Shen, T., &amp; Lou, H.-X. (2008). Bioactive constituents of myrrh and frankincense, two simultaneously prescribed gum resins in Chinese traditional medicine. </w:t>
      </w:r>
      <w:r w:rsidRPr="00F078E4">
        <w:rPr>
          <w:i/>
          <w:iCs/>
          <w:lang w:val="en-IN"/>
        </w:rPr>
        <w:t>Chemistry &amp; Biodiversity, 5</w:t>
      </w:r>
      <w:r w:rsidRPr="00F078E4">
        <w:rPr>
          <w:lang w:val="en-IN"/>
        </w:rPr>
        <w:t xml:space="preserve">(4), 540–553. </w:t>
      </w:r>
      <w:hyperlink r:id="rId51" w:tgtFrame="_new" w:history="1">
        <w:r w:rsidRPr="00F078E4">
          <w:rPr>
            <w:rStyle w:val="Hyperlink"/>
            <w:lang w:val="en-IN"/>
          </w:rPr>
          <w:t>https://doi.org/10.1002/cbdv.200890051</w:t>
        </w:r>
      </w:hyperlink>
    </w:p>
    <w:p w14:paraId="5BF43A7D" w14:textId="77777777" w:rsidR="002F3004" w:rsidRPr="00F078E4" w:rsidRDefault="002F3004" w:rsidP="00C17A09">
      <w:pPr>
        <w:spacing w:after="80" w:line="276" w:lineRule="auto"/>
        <w:ind w:left="360" w:hanging="360"/>
        <w:jc w:val="both"/>
        <w:rPr>
          <w:lang w:val="en-IN"/>
        </w:rPr>
      </w:pPr>
      <w:r w:rsidRPr="00F078E4">
        <w:rPr>
          <w:lang w:val="en-IN"/>
        </w:rPr>
        <w:t xml:space="preserve">Shishodia, S., Ahn, K. S., &amp; Aggarwal, B. B. (2004). </w:t>
      </w:r>
      <w:proofErr w:type="spellStart"/>
      <w:r w:rsidRPr="00F078E4">
        <w:rPr>
          <w:lang w:val="en-IN"/>
        </w:rPr>
        <w:t>Guggulsterone</w:t>
      </w:r>
      <w:proofErr w:type="spellEnd"/>
      <w:r w:rsidRPr="00F078E4">
        <w:rPr>
          <w:lang w:val="en-IN"/>
        </w:rPr>
        <w:t xml:space="preserve"> inhibits NF-</w:t>
      </w:r>
      <w:proofErr w:type="spellStart"/>
      <w:r w:rsidRPr="00F078E4">
        <w:rPr>
          <w:lang w:val="en-IN"/>
        </w:rPr>
        <w:t>κB</w:t>
      </w:r>
      <w:proofErr w:type="spellEnd"/>
      <w:r w:rsidRPr="00F078E4">
        <w:rPr>
          <w:lang w:val="en-IN"/>
        </w:rPr>
        <w:t xml:space="preserve"> and </w:t>
      </w:r>
      <w:proofErr w:type="spellStart"/>
      <w:r w:rsidRPr="00F078E4">
        <w:rPr>
          <w:lang w:val="en-IN"/>
        </w:rPr>
        <w:t>IκB</w:t>
      </w:r>
      <w:proofErr w:type="spellEnd"/>
      <w:r w:rsidRPr="00F078E4">
        <w:rPr>
          <w:lang w:val="en-IN"/>
        </w:rPr>
        <w:t xml:space="preserve">α kinase activation, suppresses expression of anti-apoptotic gene products, and enhances apoptosis. </w:t>
      </w:r>
      <w:r w:rsidRPr="00F078E4">
        <w:rPr>
          <w:i/>
          <w:iCs/>
          <w:lang w:val="en-IN"/>
        </w:rPr>
        <w:t>Journal of Biological Chemistry, 279</w:t>
      </w:r>
      <w:r w:rsidRPr="00F078E4">
        <w:rPr>
          <w:lang w:val="en-IN"/>
        </w:rPr>
        <w:t xml:space="preserve">(45), 47148–47158. </w:t>
      </w:r>
      <w:hyperlink r:id="rId52" w:tgtFrame="_new" w:history="1">
        <w:r w:rsidRPr="00F078E4">
          <w:rPr>
            <w:rStyle w:val="Hyperlink"/>
            <w:lang w:val="en-IN"/>
          </w:rPr>
          <w:t>https://doi.org/10.1074/jbc.M406194200</w:t>
        </w:r>
      </w:hyperlink>
    </w:p>
    <w:p w14:paraId="4374B988" w14:textId="77777777" w:rsidR="002F3004" w:rsidRPr="00F078E4" w:rsidRDefault="002F3004" w:rsidP="00C17A09">
      <w:pPr>
        <w:spacing w:after="80" w:line="276" w:lineRule="auto"/>
        <w:ind w:left="360" w:hanging="360"/>
        <w:jc w:val="both"/>
        <w:rPr>
          <w:lang w:val="en-IN"/>
        </w:rPr>
      </w:pPr>
      <w:r w:rsidRPr="00F078E4">
        <w:rPr>
          <w:lang w:val="en-IN"/>
        </w:rPr>
        <w:t xml:space="preserve">Simões, D., Miguel, S. P., Ribeiro, M. P., Coutinho, P., Mendonça, A. G., &amp; Correia, I. J. (2018). Recent advances on antimicrobial wound dressing: A review. </w:t>
      </w:r>
      <w:r w:rsidRPr="00F078E4">
        <w:rPr>
          <w:i/>
          <w:iCs/>
          <w:lang w:val="en-IN"/>
        </w:rPr>
        <w:t>European Journal of Pharmaceutics and Biopharmaceutics, 127</w:t>
      </w:r>
      <w:r w:rsidRPr="00F078E4">
        <w:rPr>
          <w:lang w:val="en-IN"/>
        </w:rPr>
        <w:t xml:space="preserve">, 130–141. </w:t>
      </w:r>
      <w:hyperlink r:id="rId53" w:tgtFrame="_new" w:history="1">
        <w:r w:rsidRPr="00F078E4">
          <w:rPr>
            <w:rStyle w:val="Hyperlink"/>
            <w:lang w:val="en-IN"/>
          </w:rPr>
          <w:t>https://doi.org/10.1016/j.ejpb.2018.02.022</w:t>
        </w:r>
      </w:hyperlink>
    </w:p>
    <w:p w14:paraId="6FFE745D" w14:textId="77777777" w:rsidR="002F3004" w:rsidRPr="00F078E4" w:rsidRDefault="002F3004" w:rsidP="00C17A09">
      <w:pPr>
        <w:spacing w:after="80" w:line="276" w:lineRule="auto"/>
        <w:ind w:left="360" w:hanging="360"/>
        <w:jc w:val="both"/>
        <w:rPr>
          <w:lang w:val="en-IN"/>
        </w:rPr>
      </w:pPr>
      <w:r w:rsidRPr="00F078E4">
        <w:rPr>
          <w:lang w:val="en-IN"/>
        </w:rPr>
        <w:t xml:space="preserve">Sidhu, G. S., Singh, A. K., </w:t>
      </w:r>
      <w:proofErr w:type="spellStart"/>
      <w:r w:rsidRPr="00F078E4">
        <w:rPr>
          <w:lang w:val="en-IN"/>
        </w:rPr>
        <w:t>Thaloor</w:t>
      </w:r>
      <w:proofErr w:type="spellEnd"/>
      <w:r w:rsidRPr="00F078E4">
        <w:rPr>
          <w:lang w:val="en-IN"/>
        </w:rPr>
        <w:t xml:space="preserve">, D., </w:t>
      </w:r>
      <w:proofErr w:type="spellStart"/>
      <w:r w:rsidRPr="00F078E4">
        <w:rPr>
          <w:lang w:val="en-IN"/>
        </w:rPr>
        <w:t>Banaudha</w:t>
      </w:r>
      <w:proofErr w:type="spellEnd"/>
      <w:r w:rsidRPr="00F078E4">
        <w:rPr>
          <w:lang w:val="en-IN"/>
        </w:rPr>
        <w:t xml:space="preserve">, K. K., Patnaik, G. K., Srimal, R. C., &amp; Maheshwari, R. K. (1998). Enhancement of wound healing by curcumin in animals. </w:t>
      </w:r>
      <w:r w:rsidRPr="00F078E4">
        <w:rPr>
          <w:i/>
          <w:iCs/>
          <w:lang w:val="en-IN"/>
        </w:rPr>
        <w:t>Wound Repair and Regeneration, 6</w:t>
      </w:r>
      <w:r w:rsidRPr="00F078E4">
        <w:rPr>
          <w:lang w:val="en-IN"/>
        </w:rPr>
        <w:t xml:space="preserve">(2), 167–177. </w:t>
      </w:r>
      <w:hyperlink r:id="rId54" w:tgtFrame="_new" w:history="1">
        <w:r w:rsidRPr="00F078E4">
          <w:rPr>
            <w:rStyle w:val="Hyperlink"/>
            <w:lang w:val="en-IN"/>
          </w:rPr>
          <w:t>https://doi.org/10.1046/j.1524-475X.1998.60211.x</w:t>
        </w:r>
      </w:hyperlink>
    </w:p>
    <w:p w14:paraId="0FC30B73" w14:textId="77777777" w:rsidR="002F3004" w:rsidRPr="00F078E4" w:rsidRDefault="002F3004" w:rsidP="00C17A09">
      <w:pPr>
        <w:spacing w:after="80" w:line="276" w:lineRule="auto"/>
        <w:ind w:left="360" w:hanging="360"/>
        <w:jc w:val="both"/>
        <w:rPr>
          <w:lang w:val="en-IN"/>
        </w:rPr>
      </w:pPr>
      <w:r w:rsidRPr="00F078E4">
        <w:rPr>
          <w:lang w:val="en-IN"/>
        </w:rPr>
        <w:t xml:space="preserve">Stanić, Z. (2017). Curcumin, a compound from natural sources, a true scientific challenge—A review. </w:t>
      </w:r>
      <w:r w:rsidRPr="00F078E4">
        <w:rPr>
          <w:i/>
          <w:iCs/>
          <w:lang w:val="en-IN"/>
        </w:rPr>
        <w:t>Plant Foods for Human Nutrition, 72</w:t>
      </w:r>
      <w:r w:rsidRPr="00F078E4">
        <w:rPr>
          <w:lang w:val="en-IN"/>
        </w:rPr>
        <w:t xml:space="preserve">(1), 1–12. </w:t>
      </w:r>
      <w:hyperlink r:id="rId55" w:tgtFrame="_new" w:history="1">
        <w:r w:rsidRPr="00F078E4">
          <w:rPr>
            <w:rStyle w:val="Hyperlink"/>
            <w:lang w:val="en-IN"/>
          </w:rPr>
          <w:t>https://doi.org/10.1007/s11130-016-0590-1</w:t>
        </w:r>
      </w:hyperlink>
    </w:p>
    <w:p w14:paraId="489AF166" w14:textId="77777777" w:rsidR="002F3004" w:rsidRPr="00F078E4" w:rsidRDefault="002F3004" w:rsidP="00C17A09">
      <w:pPr>
        <w:spacing w:after="80" w:line="276" w:lineRule="auto"/>
        <w:ind w:left="360" w:hanging="360"/>
        <w:jc w:val="both"/>
        <w:rPr>
          <w:lang w:val="en-IN"/>
        </w:rPr>
      </w:pPr>
      <w:r w:rsidRPr="00F078E4">
        <w:rPr>
          <w:lang w:val="en-IN"/>
        </w:rPr>
        <w:lastRenderedPageBreak/>
        <w:t xml:space="preserve">Sun, W., Wang, S., Zhao, W., Wu, C., Guo, S., Gao, H., Tao, H., Lu, J., Wang, Y., &amp; Chen, X. (2017). Chemical constituents and biological research on plants in the genus </w:t>
      </w:r>
      <w:r w:rsidRPr="00F078E4">
        <w:rPr>
          <w:i/>
          <w:iCs/>
          <w:lang w:val="en-IN"/>
        </w:rPr>
        <w:t>Curcuma</w:t>
      </w:r>
      <w:r w:rsidRPr="00F078E4">
        <w:rPr>
          <w:lang w:val="en-IN"/>
        </w:rPr>
        <w:t xml:space="preserve">. </w:t>
      </w:r>
      <w:r w:rsidRPr="00F078E4">
        <w:rPr>
          <w:i/>
          <w:iCs/>
          <w:lang w:val="en-IN"/>
        </w:rPr>
        <w:t>Critical Reviews in Food Science and Nutrition, 57</w:t>
      </w:r>
      <w:r w:rsidRPr="00F078E4">
        <w:rPr>
          <w:lang w:val="en-IN"/>
        </w:rPr>
        <w:t xml:space="preserve">(7), 1451–1523. </w:t>
      </w:r>
      <w:hyperlink r:id="rId56" w:tgtFrame="_new" w:history="1">
        <w:r w:rsidRPr="00F078E4">
          <w:rPr>
            <w:rStyle w:val="Hyperlink"/>
            <w:lang w:val="en-IN"/>
          </w:rPr>
          <w:t>https://doi.org/10.1080/10408398.2016.1176554</w:t>
        </w:r>
      </w:hyperlink>
    </w:p>
    <w:p w14:paraId="7B2BBFDA" w14:textId="77777777" w:rsidR="002F3004" w:rsidRPr="00F078E4" w:rsidRDefault="002F3004" w:rsidP="00C17A09">
      <w:pPr>
        <w:spacing w:after="80" w:line="276" w:lineRule="auto"/>
        <w:ind w:left="360" w:hanging="360"/>
        <w:jc w:val="both"/>
        <w:rPr>
          <w:lang w:val="en-IN"/>
        </w:rPr>
      </w:pPr>
      <w:r w:rsidRPr="00F078E4">
        <w:rPr>
          <w:lang w:val="en-IN"/>
        </w:rPr>
        <w:t xml:space="preserve">Tejada, S., Manayi, A., </w:t>
      </w:r>
      <w:proofErr w:type="spellStart"/>
      <w:r w:rsidRPr="00F078E4">
        <w:rPr>
          <w:lang w:val="en-IN"/>
        </w:rPr>
        <w:t>Daglia</w:t>
      </w:r>
      <w:proofErr w:type="spellEnd"/>
      <w:r w:rsidRPr="00F078E4">
        <w:rPr>
          <w:lang w:val="en-IN"/>
        </w:rPr>
        <w:t xml:space="preserve">, M., Nabavi, S. F., Sureda, A., </w:t>
      </w:r>
      <w:proofErr w:type="spellStart"/>
      <w:r w:rsidRPr="00F078E4">
        <w:rPr>
          <w:lang w:val="en-IN"/>
        </w:rPr>
        <w:t>Hajheydari</w:t>
      </w:r>
      <w:proofErr w:type="spellEnd"/>
      <w:r w:rsidRPr="00F078E4">
        <w:rPr>
          <w:lang w:val="en-IN"/>
        </w:rPr>
        <w:t xml:space="preserve">, Z., </w:t>
      </w:r>
      <w:proofErr w:type="spellStart"/>
      <w:r w:rsidRPr="00F078E4">
        <w:rPr>
          <w:lang w:val="en-IN"/>
        </w:rPr>
        <w:t>Gortzi</w:t>
      </w:r>
      <w:proofErr w:type="spellEnd"/>
      <w:r w:rsidRPr="00F078E4">
        <w:rPr>
          <w:lang w:val="en-IN"/>
        </w:rPr>
        <w:t xml:space="preserve">, O., </w:t>
      </w:r>
      <w:proofErr w:type="spellStart"/>
      <w:r w:rsidRPr="00F078E4">
        <w:rPr>
          <w:lang w:val="en-IN"/>
        </w:rPr>
        <w:t>Pazoki-Toroudi</w:t>
      </w:r>
      <w:proofErr w:type="spellEnd"/>
      <w:r w:rsidRPr="00F078E4">
        <w:rPr>
          <w:lang w:val="en-IN"/>
        </w:rPr>
        <w:t xml:space="preserve">, H., &amp; Nabavi, S. M. (2016). Wound healing effects of curcumin: A short review. </w:t>
      </w:r>
      <w:r w:rsidRPr="00F078E4">
        <w:rPr>
          <w:i/>
          <w:iCs/>
          <w:lang w:val="en-IN"/>
        </w:rPr>
        <w:t>Current Pharmaceutical Biotechnology, 17</w:t>
      </w:r>
      <w:r w:rsidRPr="00F078E4">
        <w:rPr>
          <w:lang w:val="en-IN"/>
        </w:rPr>
        <w:t xml:space="preserve">(11), 1002–1007. </w:t>
      </w:r>
      <w:hyperlink r:id="rId57" w:tgtFrame="_new" w:history="1">
        <w:r w:rsidRPr="00F078E4">
          <w:rPr>
            <w:rStyle w:val="Hyperlink"/>
            <w:lang w:val="en-IN"/>
          </w:rPr>
          <w:t>https://doi.org/10.2174/1389201017666160721123109</w:t>
        </w:r>
      </w:hyperlink>
    </w:p>
    <w:p w14:paraId="586BFA51" w14:textId="77777777" w:rsidR="002F3004" w:rsidRPr="00F078E4" w:rsidRDefault="002F3004" w:rsidP="00C17A09">
      <w:pPr>
        <w:spacing w:after="80" w:line="276" w:lineRule="auto"/>
        <w:ind w:left="360" w:hanging="360"/>
        <w:jc w:val="both"/>
        <w:rPr>
          <w:lang w:val="en-IN"/>
        </w:rPr>
      </w:pPr>
      <w:r w:rsidRPr="00F078E4">
        <w:rPr>
          <w:lang w:val="en-IN"/>
        </w:rPr>
        <w:t xml:space="preserve">Tiwari, R., &amp; Pathak, K. (2023). Local drug delivery strategies towards wound healing. </w:t>
      </w:r>
      <w:r w:rsidRPr="00F078E4">
        <w:rPr>
          <w:i/>
          <w:iCs/>
          <w:lang w:val="en-IN"/>
        </w:rPr>
        <w:t>Pharmaceutics, 15</w:t>
      </w:r>
      <w:r w:rsidRPr="00F078E4">
        <w:rPr>
          <w:lang w:val="en-IN"/>
        </w:rPr>
        <w:t xml:space="preserve">(2), 634. </w:t>
      </w:r>
      <w:hyperlink r:id="rId58" w:tgtFrame="_new" w:history="1">
        <w:r w:rsidRPr="00F078E4">
          <w:rPr>
            <w:rStyle w:val="Hyperlink"/>
            <w:lang w:val="en-IN"/>
          </w:rPr>
          <w:t>https://doi.org/10.3390/pharmaceutics15020634</w:t>
        </w:r>
      </w:hyperlink>
    </w:p>
    <w:p w14:paraId="416ED376" w14:textId="77777777" w:rsidR="002F3004" w:rsidRPr="00F078E4" w:rsidRDefault="002F3004" w:rsidP="00C17A09">
      <w:pPr>
        <w:spacing w:after="80" w:line="276" w:lineRule="auto"/>
        <w:ind w:left="360" w:hanging="360"/>
        <w:jc w:val="both"/>
        <w:rPr>
          <w:lang w:val="en-IN"/>
        </w:rPr>
      </w:pPr>
      <w:r w:rsidRPr="00F078E4">
        <w:rPr>
          <w:lang w:val="en-IN"/>
        </w:rPr>
        <w:t xml:space="preserve">Urizar, N. L., Liverman, A. B., Dodds, D. T., Silva, F. V., Ordentlich, P., Yan, Y., Gonzalez, F. J., Heyman, R. A., Mangelsdorf, D. J., &amp; Moore, D. D. (2002). A natural product that lowers cholesterol as an antagonist ligand for FXR. </w:t>
      </w:r>
      <w:r w:rsidRPr="00F078E4">
        <w:rPr>
          <w:i/>
          <w:iCs/>
          <w:lang w:val="en-IN"/>
        </w:rPr>
        <w:t>Science, 296</w:t>
      </w:r>
      <w:r w:rsidRPr="00F078E4">
        <w:rPr>
          <w:lang w:val="en-IN"/>
        </w:rPr>
        <w:t xml:space="preserve">(5573), 1703–1706. </w:t>
      </w:r>
      <w:hyperlink r:id="rId59" w:tgtFrame="_new" w:history="1">
        <w:r w:rsidRPr="00F078E4">
          <w:rPr>
            <w:rStyle w:val="Hyperlink"/>
            <w:lang w:val="en-IN"/>
          </w:rPr>
          <w:t>https://doi.org/10.1126/science.1072891</w:t>
        </w:r>
      </w:hyperlink>
    </w:p>
    <w:p w14:paraId="53B32E22" w14:textId="77777777" w:rsidR="002F3004" w:rsidRPr="00F078E4" w:rsidRDefault="002F3004" w:rsidP="00C17A09">
      <w:pPr>
        <w:spacing w:after="80" w:line="276" w:lineRule="auto"/>
        <w:ind w:left="360" w:hanging="360"/>
        <w:jc w:val="both"/>
        <w:rPr>
          <w:lang w:val="en-IN"/>
        </w:rPr>
      </w:pPr>
      <w:r w:rsidRPr="00F078E4">
        <w:rPr>
          <w:lang w:val="en-IN"/>
        </w:rPr>
        <w:t xml:space="preserve">Vaughn, A. R., Branum, A., &amp; </w:t>
      </w:r>
      <w:proofErr w:type="spellStart"/>
      <w:r w:rsidRPr="00F078E4">
        <w:rPr>
          <w:lang w:val="en-IN"/>
        </w:rPr>
        <w:t>Sivamani</w:t>
      </w:r>
      <w:proofErr w:type="spellEnd"/>
      <w:r w:rsidRPr="00F078E4">
        <w:rPr>
          <w:lang w:val="en-IN"/>
        </w:rPr>
        <w:t>, R. K. (2016). Effects of turmeric (</w:t>
      </w:r>
      <w:r w:rsidRPr="00F078E4">
        <w:rPr>
          <w:i/>
          <w:iCs/>
          <w:lang w:val="en-IN"/>
        </w:rPr>
        <w:t>Curcuma longa</w:t>
      </w:r>
      <w:r w:rsidRPr="00F078E4">
        <w:rPr>
          <w:lang w:val="en-IN"/>
        </w:rPr>
        <w:t xml:space="preserve">) on skin health: A systematic review of the clinical evidence. </w:t>
      </w:r>
      <w:r w:rsidRPr="00F078E4">
        <w:rPr>
          <w:i/>
          <w:iCs/>
          <w:lang w:val="en-IN"/>
        </w:rPr>
        <w:t>Phytotherapy Research, 30</w:t>
      </w:r>
      <w:r w:rsidRPr="00F078E4">
        <w:rPr>
          <w:lang w:val="en-IN"/>
        </w:rPr>
        <w:t xml:space="preserve">(8), 1243–1264. </w:t>
      </w:r>
      <w:hyperlink r:id="rId60" w:tgtFrame="_new" w:history="1">
        <w:r w:rsidRPr="00F078E4">
          <w:rPr>
            <w:rStyle w:val="Hyperlink"/>
            <w:lang w:val="en-IN"/>
          </w:rPr>
          <w:t>https://doi.org/10.1002/ptr.5640</w:t>
        </w:r>
      </w:hyperlink>
    </w:p>
    <w:p w14:paraId="1BFDA725" w14:textId="77777777" w:rsidR="002F3004" w:rsidRPr="00F078E4" w:rsidRDefault="002F3004" w:rsidP="00C17A09">
      <w:pPr>
        <w:spacing w:after="80" w:line="276" w:lineRule="auto"/>
        <w:ind w:left="360" w:hanging="360"/>
        <w:jc w:val="both"/>
        <w:rPr>
          <w:lang w:val="en-IN"/>
        </w:rPr>
      </w:pPr>
      <w:r w:rsidRPr="00F078E4">
        <w:rPr>
          <w:lang w:val="en-IN"/>
        </w:rPr>
        <w:t xml:space="preserve">Vaughn, A. R., Haas, K. N., Burney, W., Andersen, E., Clark, A. K., Crawford, R., &amp; </w:t>
      </w:r>
      <w:proofErr w:type="spellStart"/>
      <w:r w:rsidRPr="00F078E4">
        <w:rPr>
          <w:lang w:val="en-IN"/>
        </w:rPr>
        <w:t>Sivamani</w:t>
      </w:r>
      <w:proofErr w:type="spellEnd"/>
      <w:r w:rsidRPr="00F078E4">
        <w:rPr>
          <w:lang w:val="en-IN"/>
        </w:rPr>
        <w:t xml:space="preserve">, R. K. (2017). Potential role of curcumin against biofilm-producing organisms on the skin: A review. </w:t>
      </w:r>
      <w:r w:rsidRPr="00F078E4">
        <w:rPr>
          <w:i/>
          <w:iCs/>
          <w:lang w:val="en-IN"/>
        </w:rPr>
        <w:t>Phytotherapy Research, 31</w:t>
      </w:r>
      <w:r w:rsidRPr="00F078E4">
        <w:rPr>
          <w:lang w:val="en-IN"/>
        </w:rPr>
        <w:t xml:space="preserve">(12), 1807–1816. </w:t>
      </w:r>
      <w:hyperlink r:id="rId61" w:tgtFrame="_new" w:history="1">
        <w:r w:rsidRPr="00F078E4">
          <w:rPr>
            <w:rStyle w:val="Hyperlink"/>
            <w:lang w:val="en-IN"/>
          </w:rPr>
          <w:t>https://doi.org/10.1002/ptr.5912</w:t>
        </w:r>
      </w:hyperlink>
    </w:p>
    <w:p w14:paraId="6D01F348" w14:textId="77777777" w:rsidR="002F3004" w:rsidRPr="00F078E4" w:rsidRDefault="002F3004" w:rsidP="00C17A09">
      <w:pPr>
        <w:spacing w:after="80" w:line="276" w:lineRule="auto"/>
        <w:ind w:left="360" w:hanging="360"/>
        <w:jc w:val="both"/>
        <w:rPr>
          <w:lang w:val="en-IN"/>
        </w:rPr>
      </w:pPr>
      <w:r w:rsidRPr="00F078E4">
        <w:rPr>
          <w:lang w:val="en-IN"/>
        </w:rPr>
        <w:t xml:space="preserve">Wagner, H., &amp; Bladt, S. (1996). </w:t>
      </w:r>
      <w:r w:rsidRPr="00F078E4">
        <w:rPr>
          <w:i/>
          <w:iCs/>
          <w:lang w:val="en-IN"/>
        </w:rPr>
        <w:t>Plant drug analysis: A thin layer chromatography atlas</w:t>
      </w:r>
      <w:r w:rsidRPr="00F078E4">
        <w:rPr>
          <w:lang w:val="en-IN"/>
        </w:rPr>
        <w:t xml:space="preserve"> (2nd ed.). Springer.</w:t>
      </w:r>
    </w:p>
    <w:p w14:paraId="7EDEFDE0" w14:textId="77777777" w:rsidR="002F3004" w:rsidRPr="00F078E4" w:rsidRDefault="002F3004" w:rsidP="00C17A09">
      <w:pPr>
        <w:spacing w:after="80" w:line="276" w:lineRule="auto"/>
        <w:ind w:left="360" w:hanging="360"/>
        <w:jc w:val="both"/>
        <w:rPr>
          <w:lang w:val="en-IN"/>
        </w:rPr>
      </w:pPr>
      <w:r w:rsidRPr="00F078E4">
        <w:rPr>
          <w:lang w:val="en-IN"/>
        </w:rPr>
        <w:t xml:space="preserve">Wilkinson, H. N., &amp; Hardman, M. J. (2020). Wound healing: Cellular mechanisms and pathological outcomes. </w:t>
      </w:r>
      <w:r w:rsidRPr="00F078E4">
        <w:rPr>
          <w:i/>
          <w:iCs/>
          <w:lang w:val="en-IN"/>
        </w:rPr>
        <w:t>Open Biology, 10</w:t>
      </w:r>
      <w:r w:rsidRPr="00F078E4">
        <w:rPr>
          <w:lang w:val="en-IN"/>
        </w:rPr>
        <w:t xml:space="preserve">(9), 200223. </w:t>
      </w:r>
      <w:hyperlink r:id="rId62" w:tgtFrame="_new" w:history="1">
        <w:r w:rsidRPr="00F078E4">
          <w:rPr>
            <w:rStyle w:val="Hyperlink"/>
            <w:lang w:val="en-IN"/>
          </w:rPr>
          <w:t>https://doi.org/10.1098/rsob.200223</w:t>
        </w:r>
      </w:hyperlink>
    </w:p>
    <w:p w14:paraId="4BBE69CB" w14:textId="77777777" w:rsidR="002F3004" w:rsidRPr="00F078E4" w:rsidRDefault="002F3004" w:rsidP="00C17A09">
      <w:pPr>
        <w:spacing w:after="80" w:line="276" w:lineRule="auto"/>
        <w:ind w:left="360" w:hanging="360"/>
        <w:jc w:val="both"/>
        <w:rPr>
          <w:lang w:val="en-IN"/>
        </w:rPr>
      </w:pPr>
      <w:r w:rsidRPr="00F078E4">
        <w:rPr>
          <w:lang w:val="en-IN"/>
        </w:rPr>
        <w:t xml:space="preserve">Williams, A. C., &amp; Barry, B. W. (2004). Penetration enhancers. </w:t>
      </w:r>
      <w:r w:rsidRPr="00F078E4">
        <w:rPr>
          <w:i/>
          <w:iCs/>
          <w:lang w:val="en-IN"/>
        </w:rPr>
        <w:t>Advanced Drug Delivery Reviews, 56</w:t>
      </w:r>
      <w:r w:rsidRPr="00F078E4">
        <w:rPr>
          <w:lang w:val="en-IN"/>
        </w:rPr>
        <w:t xml:space="preserve">(5), 603–618. </w:t>
      </w:r>
      <w:hyperlink r:id="rId63" w:tgtFrame="_new" w:history="1">
        <w:r w:rsidRPr="00F078E4">
          <w:rPr>
            <w:rStyle w:val="Hyperlink"/>
            <w:lang w:val="en-IN"/>
          </w:rPr>
          <w:t>https://doi.org/10.1016/j.addr.2003.10.025</w:t>
        </w:r>
      </w:hyperlink>
    </w:p>
    <w:p w14:paraId="62ED6E7B" w14:textId="77777777" w:rsidR="002F3004" w:rsidRPr="00F078E4" w:rsidRDefault="002F3004" w:rsidP="00C17A09">
      <w:pPr>
        <w:spacing w:after="80" w:line="276" w:lineRule="auto"/>
        <w:ind w:left="360" w:hanging="360"/>
        <w:jc w:val="both"/>
        <w:rPr>
          <w:lang w:val="en-IN"/>
        </w:rPr>
      </w:pPr>
      <w:r w:rsidRPr="00F078E4">
        <w:rPr>
          <w:lang w:val="en-IN"/>
        </w:rPr>
        <w:t xml:space="preserve">Winter, G. D. (1962). Formation of the scab and the rate of epithelization of superficial wounds in the skin of the young domestic pig. </w:t>
      </w:r>
      <w:r w:rsidRPr="00F078E4">
        <w:rPr>
          <w:i/>
          <w:iCs/>
          <w:lang w:val="en-IN"/>
        </w:rPr>
        <w:t>Nature, 193</w:t>
      </w:r>
      <w:r w:rsidRPr="00F078E4">
        <w:rPr>
          <w:lang w:val="en-IN"/>
        </w:rPr>
        <w:t xml:space="preserve">, 293–294. </w:t>
      </w:r>
      <w:hyperlink r:id="rId64" w:tgtFrame="_new" w:history="1">
        <w:r w:rsidRPr="00F078E4">
          <w:rPr>
            <w:rStyle w:val="Hyperlink"/>
            <w:lang w:val="en-IN"/>
          </w:rPr>
          <w:t>https://doi.org/10.1038/193293a0</w:t>
        </w:r>
      </w:hyperlink>
    </w:p>
    <w:p w14:paraId="49B44770" w14:textId="77777777" w:rsidR="002F3004" w:rsidRPr="00F078E4" w:rsidRDefault="002F3004" w:rsidP="00C17A09">
      <w:pPr>
        <w:spacing w:after="80" w:line="276" w:lineRule="auto"/>
        <w:ind w:left="360" w:hanging="360"/>
        <w:jc w:val="both"/>
        <w:rPr>
          <w:lang w:val="en-IN"/>
        </w:rPr>
      </w:pPr>
      <w:r w:rsidRPr="00F078E4">
        <w:rPr>
          <w:lang w:val="en-IN"/>
        </w:rPr>
        <w:t xml:space="preserve">World Health Organization. (2003). </w:t>
      </w:r>
      <w:r w:rsidRPr="00F078E4">
        <w:rPr>
          <w:i/>
          <w:iCs/>
          <w:lang w:val="en-IN"/>
        </w:rPr>
        <w:t>WHO guidelines on good agricultural and collection practices (GACP) for medicinal plants</w:t>
      </w:r>
      <w:r w:rsidRPr="00F078E4">
        <w:rPr>
          <w:lang w:val="en-IN"/>
        </w:rPr>
        <w:t>. World Health Organization.</w:t>
      </w:r>
    </w:p>
    <w:p w14:paraId="24257CF7" w14:textId="77777777" w:rsidR="002F3004" w:rsidRPr="00F078E4" w:rsidRDefault="002F3004" w:rsidP="00C17A09">
      <w:pPr>
        <w:spacing w:after="80" w:line="276" w:lineRule="auto"/>
        <w:ind w:left="360" w:hanging="360"/>
        <w:jc w:val="both"/>
        <w:rPr>
          <w:lang w:val="en-IN"/>
        </w:rPr>
      </w:pPr>
      <w:r w:rsidRPr="00F078E4">
        <w:rPr>
          <w:lang w:val="en-IN"/>
        </w:rPr>
        <w:t xml:space="preserve">World Health Organization. (2011). </w:t>
      </w:r>
      <w:r w:rsidRPr="00F078E4">
        <w:rPr>
          <w:i/>
          <w:iCs/>
          <w:lang w:val="en-IN"/>
        </w:rPr>
        <w:t>Quality control methods for herbal materials</w:t>
      </w:r>
      <w:r w:rsidRPr="00F078E4">
        <w:rPr>
          <w:lang w:val="en-IN"/>
        </w:rPr>
        <w:t>. World Health Organization.</w:t>
      </w:r>
    </w:p>
    <w:p w14:paraId="4D37CB13" w14:textId="77777777" w:rsidR="002F3004" w:rsidRPr="00F078E4" w:rsidRDefault="002F3004" w:rsidP="00C17A09">
      <w:pPr>
        <w:spacing w:after="80" w:line="276" w:lineRule="auto"/>
        <w:ind w:left="360" w:hanging="360"/>
        <w:jc w:val="both"/>
        <w:rPr>
          <w:lang w:val="en-IN"/>
        </w:rPr>
      </w:pPr>
      <w:r w:rsidRPr="00F078E4">
        <w:rPr>
          <w:lang w:val="en-IN"/>
        </w:rPr>
        <w:t xml:space="preserve">World Health Organization. (2017). </w:t>
      </w:r>
      <w:r w:rsidRPr="00F078E4">
        <w:rPr>
          <w:i/>
          <w:iCs/>
          <w:lang w:val="en-IN"/>
        </w:rPr>
        <w:t>WHO guidelines for selecting marker substances of herbal origin for quality control of herbal medicines</w:t>
      </w:r>
      <w:r w:rsidRPr="00F078E4">
        <w:rPr>
          <w:lang w:val="en-IN"/>
        </w:rPr>
        <w:t>. World Health Organization.</w:t>
      </w:r>
    </w:p>
    <w:p w14:paraId="70766C58" w14:textId="77777777" w:rsidR="002F3004" w:rsidRPr="00F078E4" w:rsidRDefault="002F3004" w:rsidP="00C17A09">
      <w:pPr>
        <w:spacing w:after="80" w:line="276" w:lineRule="auto"/>
        <w:ind w:left="360" w:hanging="360"/>
        <w:jc w:val="both"/>
        <w:rPr>
          <w:lang w:val="en-IN"/>
        </w:rPr>
      </w:pPr>
      <w:r w:rsidRPr="00F078E4">
        <w:rPr>
          <w:lang w:val="en-IN"/>
        </w:rPr>
        <w:t xml:space="preserve">World Health Organization. (2019). </w:t>
      </w:r>
      <w:r w:rsidRPr="00F078E4">
        <w:rPr>
          <w:i/>
          <w:iCs/>
          <w:lang w:val="en-IN"/>
        </w:rPr>
        <w:t>WHO global report on traditional and complementary medicine 2019</w:t>
      </w:r>
      <w:r w:rsidRPr="00F078E4">
        <w:rPr>
          <w:lang w:val="en-IN"/>
        </w:rPr>
        <w:t>. World Health Organization.</w:t>
      </w:r>
    </w:p>
    <w:p w14:paraId="0A276103" w14:textId="77777777" w:rsidR="002F3004" w:rsidRPr="00F078E4" w:rsidRDefault="002F3004" w:rsidP="00C17A09">
      <w:pPr>
        <w:spacing w:after="80" w:line="276" w:lineRule="auto"/>
        <w:ind w:left="360" w:hanging="360"/>
        <w:jc w:val="both"/>
        <w:rPr>
          <w:lang w:val="en-IN"/>
        </w:rPr>
      </w:pPr>
      <w:r w:rsidRPr="00F078E4">
        <w:rPr>
          <w:lang w:val="en-IN"/>
        </w:rPr>
        <w:lastRenderedPageBreak/>
        <w:t xml:space="preserve">Wu, J., Xia, C., Meier, J., Li, S., Hu, X., &amp; Lala, D. S. (2002). The hypolipidemic natural product </w:t>
      </w:r>
      <w:proofErr w:type="spellStart"/>
      <w:r w:rsidRPr="00F078E4">
        <w:rPr>
          <w:lang w:val="en-IN"/>
        </w:rPr>
        <w:t>guggulsterone</w:t>
      </w:r>
      <w:proofErr w:type="spellEnd"/>
      <w:r w:rsidRPr="00F078E4">
        <w:rPr>
          <w:lang w:val="en-IN"/>
        </w:rPr>
        <w:t xml:space="preserve"> acts as an antagonist of the bile acid receptor FXR. </w:t>
      </w:r>
      <w:r w:rsidRPr="00F078E4">
        <w:rPr>
          <w:i/>
          <w:iCs/>
          <w:lang w:val="en-IN"/>
        </w:rPr>
        <w:t>Molecular Endocrinology, 16</w:t>
      </w:r>
      <w:r w:rsidRPr="00F078E4">
        <w:rPr>
          <w:lang w:val="en-IN"/>
        </w:rPr>
        <w:t xml:space="preserve">(7), 1590–1597. </w:t>
      </w:r>
      <w:hyperlink r:id="rId65" w:tgtFrame="_new" w:history="1">
        <w:r w:rsidRPr="00F078E4">
          <w:rPr>
            <w:rStyle w:val="Hyperlink"/>
            <w:lang w:val="en-IN"/>
          </w:rPr>
          <w:t>https://doi.org/10.1210/me.16.7.1590</w:t>
        </w:r>
      </w:hyperlink>
    </w:p>
    <w:p w14:paraId="23C15914" w14:textId="77777777" w:rsidR="002F3004" w:rsidRPr="00F078E4" w:rsidRDefault="002F3004" w:rsidP="00C17A09">
      <w:pPr>
        <w:spacing w:after="80" w:line="276" w:lineRule="auto"/>
        <w:ind w:left="360" w:hanging="360"/>
        <w:jc w:val="both"/>
        <w:rPr>
          <w:lang w:val="en-IN"/>
        </w:rPr>
      </w:pPr>
      <w:r>
        <w:rPr>
          <w:lang w:val="en-IN"/>
        </w:rPr>
        <w:t xml:space="preserve">  </w:t>
      </w:r>
      <w:r w:rsidRPr="00F078E4">
        <w:rPr>
          <w:lang w:val="en-IN"/>
        </w:rPr>
        <w:t xml:space="preserve">Yang, Y., Sun, X., Peng, C., Wei, J., &amp; Yang, X. (2024). The genus </w:t>
      </w:r>
      <w:r w:rsidRPr="00F078E4">
        <w:rPr>
          <w:i/>
          <w:iCs/>
          <w:lang w:val="en-IN"/>
        </w:rPr>
        <w:t>Commiphora</w:t>
      </w:r>
      <w:r w:rsidRPr="00F078E4">
        <w:rPr>
          <w:lang w:val="en-IN"/>
        </w:rPr>
        <w:t xml:space="preserve">: An overview of its traditional uses, phytochemistry, pharmacology, and quality control. </w:t>
      </w:r>
      <w:r w:rsidRPr="00F078E4">
        <w:rPr>
          <w:i/>
          <w:iCs/>
          <w:lang w:val="en-IN"/>
        </w:rPr>
        <w:t>Pharmaceuticals, 17</w:t>
      </w:r>
      <w:r w:rsidRPr="00F078E4">
        <w:rPr>
          <w:lang w:val="en-IN"/>
        </w:rPr>
        <w:t xml:space="preserve">(11), 1524. </w:t>
      </w:r>
      <w:hyperlink r:id="rId66" w:tgtFrame="_new" w:history="1">
        <w:r w:rsidRPr="00F078E4">
          <w:rPr>
            <w:rStyle w:val="Hyperlink"/>
            <w:lang w:val="en-IN"/>
          </w:rPr>
          <w:t>https://doi.org/10.3390/ph17111524</w:t>
        </w:r>
      </w:hyperlink>
    </w:p>
    <w:p w14:paraId="4B831574" w14:textId="77777777" w:rsidR="002F3004" w:rsidRDefault="002F3004" w:rsidP="00C17A09">
      <w:pPr>
        <w:ind w:left="360" w:hanging="360"/>
        <w:jc w:val="both"/>
      </w:pPr>
    </w:p>
    <w:p w14:paraId="06375DFE" w14:textId="77777777" w:rsidR="002F3004" w:rsidRPr="001268D0" w:rsidRDefault="002F3004" w:rsidP="00C17A09">
      <w:pPr>
        <w:spacing w:after="80"/>
        <w:ind w:left="432" w:hanging="432"/>
        <w:jc w:val="both"/>
        <w:rPr>
          <w:rFonts w:cs="Times New Roman"/>
          <w:szCs w:val="24"/>
        </w:rPr>
      </w:pPr>
    </w:p>
    <w:sectPr w:rsidR="002F3004" w:rsidRPr="001268D0" w:rsidSect="00034616">
      <w:footerReference w:type="default" r:id="rId67"/>
      <w:pgSz w:w="12240" w:h="15840"/>
      <w:pgMar w:top="1296"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D1181" w14:textId="77777777" w:rsidR="00151D2A" w:rsidRDefault="00151D2A">
      <w:pPr>
        <w:spacing w:after="0" w:line="240" w:lineRule="auto"/>
      </w:pPr>
      <w:r>
        <w:separator/>
      </w:r>
    </w:p>
  </w:endnote>
  <w:endnote w:type="continuationSeparator" w:id="0">
    <w:p w14:paraId="65EA28DC" w14:textId="77777777" w:rsidR="00151D2A" w:rsidRDefault="00151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ADA" w14:textId="77777777" w:rsidR="007F2C00" w:rsidRDefault="00000000">
    <w:pPr>
      <w:pStyle w:val="Footer"/>
      <w:jc w:val="center"/>
    </w:pPr>
    <w:r>
      <w:fldChar w:fldCharType="begin"/>
    </w:r>
    <w:r>
      <w:instrText xml:space="preserve"> PAGE </w:instrText>
    </w:r>
    <w:r w:rsidR="001268D0">
      <w:fldChar w:fldCharType="separate"/>
    </w:r>
    <w:r w:rsidR="001268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B86DC" w14:textId="77777777" w:rsidR="00151D2A" w:rsidRDefault="00151D2A">
      <w:pPr>
        <w:spacing w:after="0" w:line="240" w:lineRule="auto"/>
      </w:pPr>
      <w:r>
        <w:separator/>
      </w:r>
    </w:p>
  </w:footnote>
  <w:footnote w:type="continuationSeparator" w:id="0">
    <w:p w14:paraId="0444411E" w14:textId="77777777" w:rsidR="00151D2A" w:rsidRDefault="00151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350074">
    <w:abstractNumId w:val="8"/>
  </w:num>
  <w:num w:numId="2" w16cid:durableId="74712004">
    <w:abstractNumId w:val="6"/>
  </w:num>
  <w:num w:numId="3" w16cid:durableId="1414084204">
    <w:abstractNumId w:val="5"/>
  </w:num>
  <w:num w:numId="4" w16cid:durableId="303588255">
    <w:abstractNumId w:val="4"/>
  </w:num>
  <w:num w:numId="5" w16cid:durableId="1300382245">
    <w:abstractNumId w:val="7"/>
  </w:num>
  <w:num w:numId="6" w16cid:durableId="251937119">
    <w:abstractNumId w:val="3"/>
  </w:num>
  <w:num w:numId="7" w16cid:durableId="783617894">
    <w:abstractNumId w:val="2"/>
  </w:num>
  <w:num w:numId="8" w16cid:durableId="1943607690">
    <w:abstractNumId w:val="1"/>
  </w:num>
  <w:num w:numId="9" w16cid:durableId="174734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8D0"/>
    <w:rsid w:val="0015074B"/>
    <w:rsid w:val="00151D2A"/>
    <w:rsid w:val="0029639D"/>
    <w:rsid w:val="002F3004"/>
    <w:rsid w:val="00326F90"/>
    <w:rsid w:val="005528FA"/>
    <w:rsid w:val="007F2C00"/>
    <w:rsid w:val="0082582D"/>
    <w:rsid w:val="00AA1D8D"/>
    <w:rsid w:val="00B47730"/>
    <w:rsid w:val="00BA5FAD"/>
    <w:rsid w:val="00C17A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15086"/>
  <w14:defaultImageDpi w14:val="300"/>
  <w15:docId w15:val="{22BBD18F-1508-47C8-85CC-A0892725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32"/>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jc w:val="center"/>
    </w:pPr>
    <w:rPr>
      <w:rFonts w:ascii="Times New Roman" w:hAnsi="Times New Roman"/>
      <w:i/>
      <w:sz w:val="21"/>
    </w:rPr>
  </w:style>
  <w:style w:type="paragraph" w:customStyle="1" w:styleId="CaptionThesis">
    <w:name w:val="Caption Thesis"/>
    <w:rsid w:val="002F3004"/>
    <w:pPr>
      <w:spacing w:before="40" w:after="80"/>
      <w:jc w:val="center"/>
    </w:pPr>
    <w:rPr>
      <w:rFonts w:ascii="Times New Roman" w:eastAsia="Times New Roman" w:hAnsi="Times New Roman"/>
      <w:i/>
      <w:sz w:val="20"/>
    </w:rPr>
  </w:style>
  <w:style w:type="character" w:styleId="Hyperlink">
    <w:name w:val="Hyperlink"/>
    <w:basedOn w:val="DefaultParagraphFont"/>
    <w:uiPriority w:val="99"/>
    <w:unhideWhenUsed/>
    <w:rsid w:val="002F30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bcp.2007.08.016" TargetMode="External"/><Relationship Id="rId21" Type="http://schemas.openxmlformats.org/officeDocument/2006/relationships/hyperlink" Target="https://doi.org/10.7603/s40681-015-0022-9" TargetMode="External"/><Relationship Id="rId42" Type="http://schemas.openxmlformats.org/officeDocument/2006/relationships/hyperlink" Target="https://doi.org/10.1111/j.1742-481X.2011.00836.x" TargetMode="External"/><Relationship Id="rId47" Type="http://schemas.openxmlformats.org/officeDocument/2006/relationships/hyperlink" Target="https://doi.org/10.1152/physrev.00067.2019" TargetMode="External"/><Relationship Id="rId63" Type="http://schemas.openxmlformats.org/officeDocument/2006/relationships/hyperlink" Target="https://doi.org/10.1016/j.addr.2003.10.025"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ijpharm.2010.04.028" TargetMode="External"/><Relationship Id="rId29" Type="http://schemas.openxmlformats.org/officeDocument/2006/relationships/hyperlink" Target="https://doi.org/10.1038/nature07039" TargetMode="External"/><Relationship Id="rId11" Type="http://schemas.openxmlformats.org/officeDocument/2006/relationships/image" Target="media/image4.png"/><Relationship Id="rId24" Type="http://schemas.openxmlformats.org/officeDocument/2006/relationships/hyperlink" Target="https://doi.org/10.1089/wound.2015.0635" TargetMode="External"/><Relationship Id="rId32" Type="http://schemas.openxmlformats.org/officeDocument/2006/relationships/hyperlink" Target="https://doi.org/10.3390/foods6100092" TargetMode="External"/><Relationship Id="rId37" Type="http://schemas.openxmlformats.org/officeDocument/2006/relationships/hyperlink" Target="https://doi.org/10.1002/biof.5520160104" TargetMode="External"/><Relationship Id="rId40" Type="http://schemas.openxmlformats.org/officeDocument/2006/relationships/hyperlink" Target="https://doi.org/10.1016/j.cocis.2019.10.007" TargetMode="External"/><Relationship Id="rId45" Type="http://schemas.openxmlformats.org/officeDocument/2006/relationships/hyperlink" Target="https://doi.org/10.1038/nrd1304" TargetMode="External"/><Relationship Id="rId53" Type="http://schemas.openxmlformats.org/officeDocument/2006/relationships/hyperlink" Target="https://doi.org/10.1016/j.ejpb.2018.02.022" TargetMode="External"/><Relationship Id="rId58" Type="http://schemas.openxmlformats.org/officeDocument/2006/relationships/hyperlink" Target="https://doi.org/10.3390/pharmaceutics15020634?utm_source=chatgpt.com" TargetMode="External"/><Relationship Id="rId66" Type="http://schemas.openxmlformats.org/officeDocument/2006/relationships/hyperlink" Target="https://doi.org/10.3390/ph17111524" TargetMode="External"/><Relationship Id="rId5" Type="http://schemas.openxmlformats.org/officeDocument/2006/relationships/webSettings" Target="webSettings.xml"/><Relationship Id="rId61" Type="http://schemas.openxmlformats.org/officeDocument/2006/relationships/hyperlink" Target="https://doi.org/10.1002/ptr.5912" TargetMode="External"/><Relationship Id="rId19" Type="http://schemas.openxmlformats.org/officeDocument/2006/relationships/hyperlink" Target="https://doi.org/10.1002/jps.21210" TargetMode="External"/><Relationship Id="rId14" Type="http://schemas.openxmlformats.org/officeDocument/2006/relationships/hyperlink" Target="https://doi.org/10.1016/j.lfs.2014.08.016" TargetMode="External"/><Relationship Id="rId22" Type="http://schemas.openxmlformats.org/officeDocument/2006/relationships/hyperlink" Target="https://doi.org/10.1016/j.msec.2014.12.068" TargetMode="External"/><Relationship Id="rId27" Type="http://schemas.openxmlformats.org/officeDocument/2006/relationships/hyperlink" Target="https://doi.org/10.1177/0022034509359125" TargetMode="External"/><Relationship Id="rId30" Type="http://schemas.openxmlformats.org/officeDocument/2006/relationships/hyperlink" Target="https://doi.org/10.1016/j.jddst.2025.107274" TargetMode="External"/><Relationship Id="rId35" Type="http://schemas.openxmlformats.org/officeDocument/2006/relationships/hyperlink" Target="https://doi.org/10.1111/bph.13621?utm_source=chatgpt.com" TargetMode="External"/><Relationship Id="rId43" Type="http://schemas.openxmlformats.org/officeDocument/2006/relationships/hyperlink" Target="https://doi.org/10.1089/wound.2014.0557" TargetMode="External"/><Relationship Id="rId48" Type="http://schemas.openxmlformats.org/officeDocument/2006/relationships/hyperlink" Target="https://doi.org/10.1016/j.addr.2018.04.008" TargetMode="External"/><Relationship Id="rId56" Type="http://schemas.openxmlformats.org/officeDocument/2006/relationships/hyperlink" Target="https://doi.org/10.1080/10408398.2016.1176554" TargetMode="External"/><Relationship Id="rId64" Type="http://schemas.openxmlformats.org/officeDocument/2006/relationships/hyperlink" Target="https://doi.org/10.1038/193293a0"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002/cbdv.200890051"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111/j.1524-475X.2007.00283.x" TargetMode="External"/><Relationship Id="rId25" Type="http://schemas.openxmlformats.org/officeDocument/2006/relationships/hyperlink" Target="https://doi.org/10.1590/s2175-97902018000001006" TargetMode="External"/><Relationship Id="rId33" Type="http://schemas.openxmlformats.org/officeDocument/2006/relationships/hyperlink" Target="https://doi.org/10.1111/j.1524-475X.2007.00321.x" TargetMode="External"/><Relationship Id="rId38" Type="http://schemas.openxmlformats.org/officeDocument/2006/relationships/hyperlink" Target="https://doi.org/10.1016/j.drudis.2017.07.001" TargetMode="External"/><Relationship Id="rId46" Type="http://schemas.openxmlformats.org/officeDocument/2006/relationships/hyperlink" Target="https://doi.org/10.1002/jps.24594" TargetMode="External"/><Relationship Id="rId59" Type="http://schemas.openxmlformats.org/officeDocument/2006/relationships/hyperlink" Target="https://doi.org/10.1126/science.1072891" TargetMode="External"/><Relationship Id="rId67" Type="http://schemas.openxmlformats.org/officeDocument/2006/relationships/footer" Target="footer1.xml"/><Relationship Id="rId20" Type="http://schemas.openxmlformats.org/officeDocument/2006/relationships/hyperlink" Target="https://doi.org/10.1016/j.cis.2014.10.001" TargetMode="External"/><Relationship Id="rId41" Type="http://schemas.openxmlformats.org/officeDocument/2006/relationships/hyperlink" Target="https://doi.org/10.1089/wound.2013.0473" TargetMode="External"/><Relationship Id="rId54" Type="http://schemas.openxmlformats.org/officeDocument/2006/relationships/hyperlink" Target="https://doi.org/10.1046/j.1524-475X.1998.60211.x" TargetMode="External"/><Relationship Id="rId62" Type="http://schemas.openxmlformats.org/officeDocument/2006/relationships/hyperlink" Target="https://doi.org/10.1098/rsob.20022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21/mp700113r" TargetMode="External"/><Relationship Id="rId23" Type="http://schemas.openxmlformats.org/officeDocument/2006/relationships/hyperlink" Target="https://doi.org/10.1126/scitranslmed.3009337" TargetMode="External"/><Relationship Id="rId28" Type="http://schemas.openxmlformats.org/officeDocument/2006/relationships/hyperlink" Target="https://doi.org/10.1208/s12248-012-9432-8" TargetMode="External"/><Relationship Id="rId36" Type="http://schemas.openxmlformats.org/officeDocument/2006/relationships/hyperlink" Target="https://doi.org/10.1208/s12248-008-9026-7" TargetMode="External"/><Relationship Id="rId49" Type="http://schemas.openxmlformats.org/officeDocument/2006/relationships/hyperlink" Target="https://doi.org/10.1155/2015/138039" TargetMode="External"/><Relationship Id="rId57" Type="http://schemas.openxmlformats.org/officeDocument/2006/relationships/hyperlink" Target="https://doi.org/10.2174/1389201017666160721123109" TargetMode="External"/><Relationship Id="rId10" Type="http://schemas.openxmlformats.org/officeDocument/2006/relationships/image" Target="media/image3.png"/><Relationship Id="rId31" Type="http://schemas.openxmlformats.org/officeDocument/2006/relationships/hyperlink" Target="https://doi.org/10.3390/pharmaceutics15071822" TargetMode="External"/><Relationship Id="rId44" Type="http://schemas.openxmlformats.org/officeDocument/2006/relationships/hyperlink" Target="https://doi.org/10.1038/nbt.1504" TargetMode="External"/><Relationship Id="rId52" Type="http://schemas.openxmlformats.org/officeDocument/2006/relationships/hyperlink" Target="https://doi.org/10.1074/jbc.M406194200" TargetMode="External"/><Relationship Id="rId60" Type="http://schemas.openxmlformats.org/officeDocument/2006/relationships/hyperlink" Target="https://doi.org/10.1002/ptr.5640" TargetMode="External"/><Relationship Id="rId65" Type="http://schemas.openxmlformats.org/officeDocument/2006/relationships/hyperlink" Target="https://doi.org/10.1210/me.16.7.1590"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i.org/10.1039/D3MD00432E" TargetMode="External"/><Relationship Id="rId18" Type="http://schemas.openxmlformats.org/officeDocument/2006/relationships/hyperlink" Target="https://doi.org/10.1002/jps.24610" TargetMode="External"/><Relationship Id="rId39" Type="http://schemas.openxmlformats.org/officeDocument/2006/relationships/hyperlink" Target="https://doi.org/10.1021/acs.jmedchem.6b00975" TargetMode="External"/><Relationship Id="rId34" Type="http://schemas.openxmlformats.org/officeDocument/2006/relationships/hyperlink" Target="https://doi.org/10.1016/j.chroma.2017.09.032" TargetMode="External"/><Relationship Id="rId50" Type="http://schemas.openxmlformats.org/officeDocument/2006/relationships/hyperlink" Target="https://doi.org/10.1016/j.jep.2012.05.025" TargetMode="External"/><Relationship Id="rId55" Type="http://schemas.openxmlformats.org/officeDocument/2006/relationships/hyperlink" Target="https://doi.org/10.1007/s11130-016-059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73</Pages>
  <Words>25876</Words>
  <Characters>147496</Characters>
  <Application>Microsoft Office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drpooja joshi</cp:lastModifiedBy>
  <cp:revision>2</cp:revision>
  <dcterms:created xsi:type="dcterms:W3CDTF">2026-08-17T10:19:00Z</dcterms:created>
  <dcterms:modified xsi:type="dcterms:W3CDTF">2026-08-17T10:19:00Z</dcterms:modified>
  <cp:category/>
</cp:coreProperties>
</file>