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96BE0" w14:textId="77777777" w:rsidR="00BD5C74" w:rsidRDefault="00000000">
      <w:pPr>
        <w:spacing w:after="200"/>
      </w:pPr>
      <w:r>
        <w:rPr>
          <w:b/>
          <w:bCs/>
          <w:sz w:val="30"/>
          <w:szCs w:val="30"/>
        </w:rPr>
        <w:t>Respuesta a las observaciones de la comisión</w:t>
      </w:r>
    </w:p>
    <w:p w14:paraId="7C5C1CA7" w14:textId="77777777" w:rsidR="00BD5C74" w:rsidRDefault="00000000">
      <w:pPr>
        <w:spacing w:after="40" w:line="276" w:lineRule="auto"/>
      </w:pPr>
      <w:r>
        <w:rPr>
          <w:b/>
          <w:bCs/>
        </w:rPr>
        <w:t xml:space="preserve">Trabajo de titulación: </w:t>
      </w:r>
      <w:r>
        <w:t>Navegación y exploración autónoma de interiores utilizando un robot móvil de tracción diferencial</w:t>
      </w:r>
    </w:p>
    <w:p w14:paraId="74C44048" w14:textId="77777777" w:rsidR="00BD5C74" w:rsidRDefault="00000000">
      <w:pPr>
        <w:spacing w:after="200" w:line="276" w:lineRule="auto"/>
      </w:pPr>
      <w:r>
        <w:rPr>
          <w:b/>
          <w:bCs/>
        </w:rPr>
        <w:t xml:space="preserve">Profesores correctores: </w:t>
      </w:r>
      <w:r>
        <w:t>Lisbel Bárzaga Martell y Guillermo González Romero</w:t>
      </w:r>
    </w:p>
    <w:p w14:paraId="27E2EFB0" w14:textId="77777777" w:rsidR="00BD5C74" w:rsidRDefault="00000000">
      <w:pPr>
        <w:spacing w:after="240" w:line="276" w:lineRule="auto"/>
      </w:pPr>
      <w:r>
        <w:t>Este documento resume los problemas que encontraron los profesores correctores en el trabajo de titulación, la solución que se incorpora en la tesis y el lugar donde se encuentra.</w:t>
      </w:r>
    </w:p>
    <w:tbl>
      <w:tblPr>
        <w:tblW w:w="99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560"/>
        <w:gridCol w:w="2400"/>
        <w:gridCol w:w="4512"/>
        <w:gridCol w:w="2500"/>
      </w:tblGrid>
      <w:tr w:rsidR="00BD5C74" w14:paraId="451EC8B9" w14:textId="77777777">
        <w:trPr>
          <w:cantSplit/>
          <w:tblHeader/>
        </w:trPr>
        <w:tc>
          <w:tcPr>
            <w:tcW w:w="560" w:type="dxa"/>
            <w:shd w:val="clear" w:color="auto" w:fill="D9D9D9"/>
            <w:tcMar>
              <w:top w:w="80" w:type="dxa"/>
              <w:left w:w="110" w:type="dxa"/>
              <w:bottom w:w="80" w:type="dxa"/>
              <w:right w:w="110" w:type="dxa"/>
            </w:tcMar>
          </w:tcPr>
          <w:p w14:paraId="4811EB35" w14:textId="77777777" w:rsidR="00BD5C74" w:rsidRDefault="00000000">
            <w:pPr>
              <w:spacing w:line="245" w:lineRule="auto"/>
              <w:jc w:val="center"/>
            </w:pPr>
            <w:r>
              <w:rPr>
                <w:b/>
                <w:bCs/>
                <w:sz w:val="20"/>
                <w:szCs w:val="20"/>
              </w:rPr>
              <w:t>N.º</w:t>
            </w:r>
          </w:p>
        </w:tc>
        <w:tc>
          <w:tcPr>
            <w:tcW w:w="2400" w:type="dxa"/>
            <w:shd w:val="clear" w:color="auto" w:fill="D9D9D9"/>
            <w:tcMar>
              <w:top w:w="80" w:type="dxa"/>
              <w:left w:w="110" w:type="dxa"/>
              <w:bottom w:w="80" w:type="dxa"/>
              <w:right w:w="110" w:type="dxa"/>
            </w:tcMar>
          </w:tcPr>
          <w:p w14:paraId="727939E6" w14:textId="77777777" w:rsidR="00BD5C74" w:rsidRDefault="00000000">
            <w:pPr>
              <w:spacing w:line="245" w:lineRule="auto"/>
            </w:pPr>
            <w:r>
              <w:rPr>
                <w:b/>
                <w:bCs/>
                <w:sz w:val="20"/>
                <w:szCs w:val="20"/>
              </w:rPr>
              <w:t>Problemática encontrada</w:t>
            </w:r>
          </w:p>
        </w:tc>
        <w:tc>
          <w:tcPr>
            <w:tcW w:w="4512" w:type="dxa"/>
            <w:shd w:val="clear" w:color="auto" w:fill="D9D9D9"/>
            <w:tcMar>
              <w:top w:w="80" w:type="dxa"/>
              <w:left w:w="110" w:type="dxa"/>
              <w:bottom w:w="80" w:type="dxa"/>
              <w:right w:w="110" w:type="dxa"/>
            </w:tcMar>
          </w:tcPr>
          <w:p w14:paraId="2FAF311B" w14:textId="77777777" w:rsidR="00BD5C74" w:rsidRDefault="00000000">
            <w:pPr>
              <w:spacing w:line="245" w:lineRule="auto"/>
            </w:pPr>
            <w:r>
              <w:rPr>
                <w:b/>
                <w:bCs/>
                <w:sz w:val="20"/>
                <w:szCs w:val="20"/>
              </w:rPr>
              <w:t>Solución adoptada</w:t>
            </w:r>
          </w:p>
        </w:tc>
        <w:tc>
          <w:tcPr>
            <w:tcW w:w="2500" w:type="dxa"/>
            <w:shd w:val="clear" w:color="auto" w:fill="D9D9D9"/>
            <w:tcMar>
              <w:top w:w="80" w:type="dxa"/>
              <w:left w:w="110" w:type="dxa"/>
              <w:bottom w:w="80" w:type="dxa"/>
              <w:right w:w="110" w:type="dxa"/>
            </w:tcMar>
          </w:tcPr>
          <w:p w14:paraId="6EFB98B8" w14:textId="77777777" w:rsidR="00BD5C74" w:rsidRDefault="00000000">
            <w:pPr>
              <w:spacing w:line="245" w:lineRule="auto"/>
            </w:pPr>
            <w:r>
              <w:rPr>
                <w:b/>
                <w:bCs/>
                <w:sz w:val="20"/>
                <w:szCs w:val="20"/>
              </w:rPr>
              <w:t>Ubicación en la tesis</w:t>
            </w:r>
          </w:p>
        </w:tc>
      </w:tr>
      <w:tr w:rsidR="00BD5C74" w14:paraId="365702B0" w14:textId="77777777">
        <w:trPr>
          <w:cantSplit/>
        </w:trPr>
        <w:tc>
          <w:tcPr>
            <w:tcW w:w="9972" w:type="dxa"/>
            <w:gridSpan w:val="4"/>
            <w:shd w:val="clear" w:color="auto" w:fill="F2F2F2"/>
            <w:tcMar>
              <w:top w:w="80" w:type="dxa"/>
              <w:left w:w="110" w:type="dxa"/>
              <w:bottom w:w="80" w:type="dxa"/>
              <w:right w:w="110" w:type="dxa"/>
            </w:tcMar>
          </w:tcPr>
          <w:p w14:paraId="4907410A" w14:textId="77777777" w:rsidR="00BD5C74" w:rsidRDefault="00000000">
            <w:pPr>
              <w:keepNext/>
              <w:spacing w:line="245" w:lineRule="auto"/>
            </w:pPr>
            <w:r>
              <w:rPr>
                <w:b/>
                <w:bCs/>
                <w:sz w:val="20"/>
                <w:szCs w:val="20"/>
              </w:rPr>
              <w:t>Profesora Lisbel Bárzaga Martell</w:t>
            </w:r>
          </w:p>
        </w:tc>
      </w:tr>
      <w:tr w:rsidR="00BD5C74" w14:paraId="0D9CD6CD" w14:textId="77777777">
        <w:trPr>
          <w:cantSplit/>
        </w:trPr>
        <w:tc>
          <w:tcPr>
            <w:tcW w:w="560" w:type="dxa"/>
            <w:tcMar>
              <w:top w:w="80" w:type="dxa"/>
              <w:left w:w="110" w:type="dxa"/>
              <w:bottom w:w="80" w:type="dxa"/>
              <w:right w:w="110" w:type="dxa"/>
            </w:tcMar>
          </w:tcPr>
          <w:p w14:paraId="430EDC8D" w14:textId="77777777" w:rsidR="00BD5C74" w:rsidRDefault="00000000">
            <w:pPr>
              <w:spacing w:line="245" w:lineRule="auto"/>
              <w:jc w:val="center"/>
            </w:pPr>
            <w:r>
              <w:rPr>
                <w:sz w:val="20"/>
                <w:szCs w:val="20"/>
              </w:rPr>
              <w:t>1</w:t>
            </w:r>
          </w:p>
        </w:tc>
        <w:tc>
          <w:tcPr>
            <w:tcW w:w="2400" w:type="dxa"/>
            <w:tcMar>
              <w:top w:w="80" w:type="dxa"/>
              <w:left w:w="110" w:type="dxa"/>
              <w:bottom w:w="80" w:type="dxa"/>
              <w:right w:w="110" w:type="dxa"/>
            </w:tcMar>
          </w:tcPr>
          <w:p w14:paraId="2C2FD30F" w14:textId="77777777" w:rsidR="00BD5C74" w:rsidRDefault="00000000">
            <w:pPr>
              <w:spacing w:line="245" w:lineRule="auto"/>
            </w:pPr>
            <w:r>
              <w:rPr>
                <w:sz w:val="20"/>
                <w:szCs w:val="20"/>
              </w:rPr>
              <w:t>El controlador de velocidad de cada rueda, que ajusta la potencia del motor para que la rueda gire a la velocidad pedida, se presenta como un controlador PID. Sus tres ganancias, que son los números que fijan cuánto reacciona el controlador, se llaman proporcional, integral y derivativa, pero no cumplen las funciones que indican esos nombres.</w:t>
            </w:r>
          </w:p>
        </w:tc>
        <w:tc>
          <w:tcPr>
            <w:tcW w:w="4512" w:type="dxa"/>
            <w:tcMar>
              <w:top w:w="80" w:type="dxa"/>
              <w:left w:w="110" w:type="dxa"/>
              <w:bottom w:w="80" w:type="dxa"/>
              <w:right w:w="110" w:type="dxa"/>
            </w:tcMar>
          </w:tcPr>
          <w:p w14:paraId="41C0A504" w14:textId="77777777" w:rsidR="00BD5C74" w:rsidRDefault="00000000">
            <w:pPr>
              <w:spacing w:line="245" w:lineRule="auto"/>
            </w:pPr>
            <w:r>
              <w:rPr>
                <w:sz w:val="20"/>
                <w:szCs w:val="20"/>
              </w:rPr>
              <w:t xml:space="preserve">La tesis explica qué hace realmente cada ganancia en la ley de control, que es la regla con que el controlador calcula la potencia. La llamada proporcional actúa como integral, la llamada derivativa como proporcional y la llamada integral agrega una segunda acumulación del error. Sin esa segunda acumulación, la ley coincide con el PI incremental descrito por Åström y Hägglund (2006/2009, Sec. 13.4), un controlador que en cada ciclo calcula cuánto cambiar la potencia. El PI incremental utilizado es uno de los controladores más usados en robótica móvil (Raj y Kos, 2024, Bitriá y Palacín, 2022, Mori et al., 2024). Esta ley viene del </w:t>
            </w:r>
            <w:r>
              <w:rPr>
                <w:i/>
                <w:sz w:val="20"/>
                <w:szCs w:val="20"/>
              </w:rPr>
              <w:t xml:space="preserve">firmware</w:t>
            </w:r>
            <w:r>
              <w:rPr>
                <w:sz w:val="20"/>
                <w:szCs w:val="20"/>
              </w:rPr>
              <w:t xml:space="preserve"> original y el trabajo conserva su estructura.</w:t>
            </w:r>
          </w:p>
        </w:tc>
        <w:tc>
          <w:tcPr>
            <w:tcW w:w="2500" w:type="dxa"/>
            <w:tcMar>
              <w:top w:w="80" w:type="dxa"/>
              <w:left w:w="110" w:type="dxa"/>
              <w:bottom w:w="80" w:type="dxa"/>
              <w:right w:w="110" w:type="dxa"/>
            </w:tcMar>
          </w:tcPr>
          <w:p w14:paraId="168757A2" w14:textId="77777777" w:rsidR="00BD5C74" w:rsidRDefault="00000000">
            <w:pPr>
              <w:spacing w:after="60" w:line="245" w:lineRule="auto"/>
            </w:pPr>
            <w:r>
              <w:rPr>
                <w:sz w:val="20"/>
                <w:szCs w:val="20"/>
              </w:rPr>
              <w:t xml:space="preserve">Sección 4.4.3, p. 47 a 49: qué hace realmente cada ganancia y uso del PI incremental en robótica móvil.</w:t>
            </w:r>
          </w:p>
          <w:p w14:paraId="168757A2" w14:textId="77777777" w:rsidR="00BD5C74" w:rsidRDefault="00000000">
            <w:pPr>
              <w:spacing w:after="60" w:line="245" w:lineRule="auto"/>
            </w:pPr>
            <w:r>
              <w:rPr>
                <w:sz w:val="20"/>
                <w:szCs w:val="20"/>
              </w:rPr>
              <w:t xml:space="preserve">Tabla 4.4, p. 50: valores equivalentes del PI incremental.</w:t>
            </w:r>
          </w:p>
          <w:p w14:paraId="168757A2" w14:textId="77777777" w:rsidR="00BD5C74" w:rsidRDefault="00000000">
            <w:pPr>
              <w:spacing w:after="60" w:line="245" w:lineRule="auto"/>
            </w:pPr>
            <w:r>
              <w:rPr>
                <w:sz w:val="20"/>
                <w:szCs w:val="20"/>
              </w:rPr>
              <w:t xml:space="preserve">Anexo 4.5, p. 117: origen de la ley en el </w:t>
            </w:r>
            <w:r>
              <w:rPr>
                <w:i/>
                <w:sz w:val="20"/>
                <w:szCs w:val="20"/>
              </w:rPr>
              <w:t xml:space="preserve">firmware</w:t>
            </w:r>
            <w:r>
              <w:rPr>
                <w:sz w:val="20"/>
                <w:szCs w:val="20"/>
              </w:rPr>
              <w:t xml:space="preserve"> original.</w:t>
            </w:r>
          </w:p>
        </w:tc>
      </w:tr>
      <w:tr w:rsidR="00BD5C74" w14:paraId="688C1BDB" w14:textId="77777777">
        <w:trPr>
          <w:cantSplit/>
        </w:trPr>
        <w:tc>
          <w:tcPr>
            <w:tcW w:w="560" w:type="dxa"/>
            <w:tcMar>
              <w:top w:w="80" w:type="dxa"/>
              <w:left w:w="110" w:type="dxa"/>
              <w:bottom w:w="80" w:type="dxa"/>
              <w:right w:w="110" w:type="dxa"/>
            </w:tcMar>
          </w:tcPr>
          <w:p w14:paraId="54E92FA4" w14:textId="77777777" w:rsidR="00BD5C74" w:rsidRDefault="00000000">
            <w:pPr>
              <w:spacing w:line="245" w:lineRule="auto"/>
              <w:jc w:val="center"/>
            </w:pPr>
            <w:r>
              <w:rPr>
                <w:sz w:val="20"/>
                <w:szCs w:val="20"/>
              </w:rPr>
              <w:t>2</w:t>
            </w:r>
          </w:p>
        </w:tc>
        <w:tc>
          <w:tcPr>
            <w:tcW w:w="2400" w:type="dxa"/>
            <w:tcMar>
              <w:top w:w="80" w:type="dxa"/>
              <w:left w:w="110" w:type="dxa"/>
              <w:bottom w:w="80" w:type="dxa"/>
              <w:right w:w="110" w:type="dxa"/>
            </w:tcMar>
          </w:tcPr>
          <w:p w14:paraId="10D59720" w14:textId="77777777" w:rsidR="00BD5C74" w:rsidRDefault="00000000">
            <w:pPr>
              <w:spacing w:line="245" w:lineRule="auto"/>
            </w:pPr>
            <w:r>
              <w:rPr>
                <w:sz w:val="20"/>
                <w:szCs w:val="20"/>
              </w:rPr>
              <w:t>No se justifica por qué se conserva esta ley de control poco habitual en lugar de reemplazarla por otra.</w:t>
            </w:r>
          </w:p>
        </w:tc>
        <w:tc>
          <w:tcPr>
            <w:tcW w:w="4512" w:type="dxa"/>
            <w:tcMar>
              <w:top w:w="80" w:type="dxa"/>
              <w:left w:w="110" w:type="dxa"/>
              <w:bottom w:w="80" w:type="dxa"/>
              <w:right w:w="110" w:type="dxa"/>
            </w:tcMar>
          </w:tcPr>
          <w:p w14:paraId="6D13535B" w14:textId="77777777" w:rsidR="00BD5C74" w:rsidRDefault="00000000">
            <w:pPr>
              <w:spacing w:line="245" w:lineRule="auto"/>
            </w:pPr>
            <w:proofErr w:type="gramStart"/>
            <w:proofErr w:type="gramEnd"/>
            <w:r>
              <w:rPr>
                <w:sz w:val="20"/>
                <w:szCs w:val="20"/>
              </w:rPr>
              <w:t xml:space="preserve">La tesis entrega tres razones. La primera es que el PI incremental utilizado es uno de los controladores más usados en robótica móvil (fila 1) y su forma incremental se usa desde los primeros controladores de motores (Åström y Hägglund, 2006/2009, Sec. 13.4). La segunda es la compatibilidad. La interfaz que conecta el Arduino con ROS 2, el conjunto de programas que coordina el robot, usa el protocolo de este </w:t>
            </w:r>
            <w:r>
              <w:rPr>
                <w:i/>
                <w:sz w:val="20"/>
                <w:szCs w:val="20"/>
              </w:rPr>
              <w:t xml:space="preserve">firmware</w:t>
            </w:r>
            <w:r>
              <w:rPr>
                <w:sz w:val="20"/>
                <w:szCs w:val="20"/>
              </w:rPr>
              <w:t xml:space="preserve">. La tercera es que la forma incremental facilita que el controlador no siga acumulando error cuando el motor ya entrega su potencia máxima (Åström y Hägglund, 2006/2009, Sec. 13.1 y 13.4, Sundström et al., 2024). Además, la ley sigue la velocidad pedida y es estable (fila 3). Compararla con otras leyes no forma parte de los objetivos y queda como trabajo futuro.</w:t>
            </w:r>
          </w:p>
        </w:tc>
        <w:tc>
          <w:tcPr>
            <w:tcW w:w="2500" w:type="dxa"/>
            <w:tcMar>
              <w:top w:w="80" w:type="dxa"/>
              <w:left w:w="110" w:type="dxa"/>
              <w:bottom w:w="80" w:type="dxa"/>
              <w:right w:w="110" w:type="dxa"/>
            </w:tcMar>
          </w:tcPr>
          <w:p w14:paraId="1971B4C2" w14:textId="77777777" w:rsidR="00BD5C74" w:rsidRDefault="00000000">
            <w:pPr>
              <w:spacing w:after="60" w:line="245" w:lineRule="auto"/>
            </w:pPr>
            <w:r>
              <w:rPr>
                <w:sz w:val="20"/>
                <w:szCs w:val="20"/>
              </w:rPr>
              <w:t xml:space="preserve">Sección 4.4.3, p. 49: razones para conservar la ley y sus referencias.</w:t>
            </w:r>
          </w:p>
          <w:p w14:paraId="1971B4C2" w14:textId="77777777" w:rsidR="00BD5C74" w:rsidRDefault="00000000">
            <w:pPr>
              <w:spacing w:after="60" w:line="245" w:lineRule="auto"/>
            </w:pPr>
            <w:r>
              <w:rPr>
                <w:sz w:val="20"/>
                <w:szCs w:val="20"/>
              </w:rPr>
              <w:t xml:space="preserve">Trabajo futuro, punto 6, p. 84: comparación con otras leyes.</w:t>
            </w:r>
          </w:p>
        </w:tc>
      </w:tr>
      <w:tr w:rsidR="00BD5C74" w14:paraId="7DAF4A79" w14:textId="77777777">
        <w:trPr>
          <w:cantSplit/>
        </w:trPr>
        <w:tc>
          <w:tcPr>
            <w:tcW w:w="560" w:type="dxa"/>
            <w:tcMar>
              <w:top w:w="80" w:type="dxa"/>
              <w:left w:w="110" w:type="dxa"/>
              <w:bottom w:w="80" w:type="dxa"/>
              <w:right w:w="110" w:type="dxa"/>
            </w:tcMar>
          </w:tcPr>
          <w:p w14:paraId="62159CB7" w14:textId="77777777" w:rsidR="00BD5C74" w:rsidRDefault="00000000">
            <w:pPr>
              <w:spacing w:line="245" w:lineRule="auto"/>
              <w:jc w:val="center"/>
            </w:pPr>
            <w:r>
              <w:rPr>
                <w:sz w:val="20"/>
                <w:szCs w:val="20"/>
              </w:rPr>
              <w:lastRenderedPageBreak/>
              <w:t>3</w:t>
            </w:r>
          </w:p>
        </w:tc>
        <w:tc>
          <w:tcPr>
            <w:tcW w:w="2400" w:type="dxa"/>
            <w:tcMar>
              <w:top w:w="80" w:type="dxa"/>
              <w:left w:w="110" w:type="dxa"/>
              <w:bottom w:w="80" w:type="dxa"/>
              <w:right w:w="110" w:type="dxa"/>
            </w:tcMar>
          </w:tcPr>
          <w:p w14:paraId="7229F17E" w14:textId="77777777" w:rsidR="00BD5C74" w:rsidRDefault="00000000">
            <w:pPr>
              <w:spacing w:line="245" w:lineRule="auto"/>
            </w:pPr>
            <w:r>
              <w:rPr>
                <w:sz w:val="20"/>
                <w:szCs w:val="20"/>
              </w:rPr>
              <w:t>No se analiza qué garantías de estabilidad ofrece la ley de control, es decir, si asegura que la velocidad de la rueda no oscile ni crezca sin control.</w:t>
            </w:r>
          </w:p>
        </w:tc>
        <w:tc>
          <w:tcPr>
            <w:tcW w:w="4512" w:type="dxa"/>
            <w:tcMar>
              <w:top w:w="80" w:type="dxa"/>
              <w:left w:w="110" w:type="dxa"/>
              <w:bottom w:w="80" w:type="dxa"/>
              <w:right w:w="110" w:type="dxa"/>
            </w:tcMar>
          </w:tcPr>
          <w:p w14:paraId="4E2266E2" w14:textId="31107BF9" w:rsidR="00BD5C74" w:rsidRDefault="00000000">
            <w:pPr>
              <w:spacing w:line="245" w:lineRule="auto"/>
            </w:pPr>
            <w:r>
              <w:rPr>
                <w:sz w:val="20"/>
                <w:szCs w:val="20"/>
              </w:rPr>
              <w:t xml:space="preserve">El PI incremental no es una ley nueva. Es una forma clásica del PID descrita por Åström y Hägglund (2006/2009, Sec. 13.4), citados en las filas 1 y 2, y sin saturación equivale al mismo PI en su forma habitual (Wittenmark et al., 2002, Sec. 8). Por eso su estabilidad viene dada por las condiciones ya establecidas para el PI clásico en esas fuentes. Como esas condiciones dependen del motor, la tesis las aplica al modelo de cada rueda. Como el retardo no se conoce con exactitud (fila 5), se revisan dos casos, sin retardo y con una décima de segundo, que no es una cota medida. En ambos el control es estable, y su sensibilidad máxima, un número que resume cuánto tolera que el motor real difiera del modelo, queda dentro de los valores que se consideran típicos (Wittenmark et al., 2002, Sec. 5). Solo dejaría de ser estable si el retardo superara unas cuatro décimas de segundo. También se revisan 625 variantes del modelo del motor, que cambian cuánta velocidad entrega por cada nivel de potencia y qué tan rápido responde. Sin retardo todas son estables. Con una décima de segundo, el control solo pierde la estabilidad si el motor entregara por cada nivel de potencia más de 4.4 veces la velocidad del motor real, o más de 2.8 veces en el caso más desfavorable de la rueda izquierda.</w:t>
            </w:r>
          </w:p>
        </w:tc>
        <w:tc>
          <w:tcPr>
            <w:tcW w:w="2500" w:type="dxa"/>
            <w:tcMar>
              <w:top w:w="80" w:type="dxa"/>
              <w:left w:w="110" w:type="dxa"/>
              <w:bottom w:w="80" w:type="dxa"/>
              <w:right w:w="110" w:type="dxa"/>
            </w:tcMar>
          </w:tcPr>
          <w:p w14:paraId="18D1CC89" w14:textId="77777777" w:rsidR="00BD5C74" w:rsidRDefault="00000000">
            <w:pPr>
              <w:spacing w:after="60" w:line="245" w:lineRule="auto"/>
            </w:pPr>
            <w:r>
              <w:rPr>
                <w:sz w:val="20"/>
                <w:szCs w:val="20"/>
              </w:rPr>
              <w:t xml:space="preserve">Sección 4.4.3, p. 51: forma clásica del PI incremental y resumen del análisis.</w:t>
            </w:r>
          </w:p>
          <w:p w14:paraId="18D1CC89" w14:textId="77777777" w:rsidR="00BD5C74" w:rsidRDefault="00000000">
            <w:pPr>
              <w:spacing w:after="60" w:line="245" w:lineRule="auto"/>
            </w:pPr>
            <w:r>
              <w:rPr>
                <w:sz w:val="20"/>
                <w:szCs w:val="20"/>
              </w:rPr>
              <w:t xml:space="preserve">Anexo 4.12 y Tabla A4.5, p. 124 a 127: análisis completo y resultados.</w:t>
            </w:r>
          </w:p>
        </w:tc>
      </w:tr>
      <w:tr w:rsidR="00BD5C74" w14:paraId="502ED5A2" w14:textId="77777777">
        <w:trPr>
          <w:cantSplit/>
        </w:trPr>
        <w:tc>
          <w:tcPr>
            <w:tcW w:w="560" w:type="dxa"/>
            <w:tcMar>
              <w:top w:w="80" w:type="dxa"/>
              <w:left w:w="110" w:type="dxa"/>
              <w:bottom w:w="80" w:type="dxa"/>
              <w:right w:w="110" w:type="dxa"/>
            </w:tcMar>
          </w:tcPr>
          <w:p w14:paraId="48C8F327" w14:textId="77777777" w:rsidR="00BD5C74" w:rsidRDefault="00000000">
            <w:pPr>
              <w:spacing w:line="245" w:lineRule="auto"/>
              <w:jc w:val="center"/>
            </w:pPr>
            <w:r>
              <w:rPr>
                <w:sz w:val="20"/>
                <w:szCs w:val="20"/>
              </w:rPr>
              <w:t>4</w:t>
            </w:r>
          </w:p>
        </w:tc>
        <w:tc>
          <w:tcPr>
            <w:tcW w:w="2400" w:type="dxa"/>
            <w:tcMar>
              <w:top w:w="80" w:type="dxa"/>
              <w:left w:w="110" w:type="dxa"/>
              <w:bottom w:w="80" w:type="dxa"/>
              <w:right w:w="110" w:type="dxa"/>
            </w:tcMar>
          </w:tcPr>
          <w:p w14:paraId="6024E7EC" w14:textId="77777777" w:rsidR="00BD5C74" w:rsidRDefault="00000000">
            <w:pPr>
              <w:spacing w:line="245" w:lineRule="auto"/>
            </w:pPr>
            <w:r>
              <w:rPr>
                <w:sz w:val="20"/>
                <w:szCs w:val="20"/>
              </w:rPr>
              <w:t>No se analiza qué desempeño ofrece la ley de control en las condiciones en que opera el robot.</w:t>
            </w:r>
          </w:p>
        </w:tc>
        <w:tc>
          <w:tcPr>
            <w:tcW w:w="4512" w:type="dxa"/>
            <w:tcMar>
              <w:top w:w="80" w:type="dxa"/>
              <w:left w:w="110" w:type="dxa"/>
              <w:bottom w:w="80" w:type="dxa"/>
              <w:right w:w="110" w:type="dxa"/>
            </w:tcMar>
          </w:tcPr>
          <w:p w14:paraId="02E230E4" w14:textId="046A512B" w:rsidR="00BD5C74" w:rsidRDefault="00000000">
            <w:pPr>
              <w:spacing w:line="245" w:lineRule="auto"/>
            </w:pPr>
            <w:r>
              <w:rPr>
                <w:sz w:val="20"/>
                <w:szCs w:val="20"/>
              </w:rPr>
              <w:t xml:space="preserve">El trabajo no tiene como objetivo comparar el desempeño de distintos controladores, sino verificar que el controlador usado cumple su función en el robot. Con ese fin se describen las condiciones reales de uso. A su velocidad máxima, cada rueda necesita cerca de 180 de los 255 niveles de potencia (PWM), así que el motor trabaja con margen. En el ensayo, hecho al límite de velocidad del robot, ambas ruedas alcanzan la velocidad pedida sin sobrepasarla de forma apreciable y con un error casi nulo, lo que es coherente con una ley en que la referencia solo entra en la acción integral (Åström y Hägglund, 2006/2009, Sec. 3.4). Las velocidades bajas, como al girar sobre su propio eje, no se evalúan y quedan como trabajo futuro, junto con la comparación con otras leyes.</w:t>
            </w:r>
          </w:p>
        </w:tc>
        <w:tc>
          <w:tcPr>
            <w:tcW w:w="2500" w:type="dxa"/>
            <w:tcMar>
              <w:top w:w="80" w:type="dxa"/>
              <w:left w:w="110" w:type="dxa"/>
              <w:bottom w:w="80" w:type="dxa"/>
              <w:right w:w="110" w:type="dxa"/>
            </w:tcMar>
          </w:tcPr>
          <w:p w14:paraId="3A7A3A60" w14:textId="77777777" w:rsidR="00BD5C74" w:rsidRDefault="00000000">
            <w:pPr>
              <w:spacing w:after="60" w:line="245" w:lineRule="auto"/>
            </w:pPr>
            <w:r>
              <w:rPr>
                <w:sz w:val="20"/>
                <w:szCs w:val="20"/>
              </w:rPr>
              <w:t xml:space="preserve">Sección 5.2 y Tabla 5.3, p. 66 a 69: resultado del ensayo de velocidad.</w:t>
            </w:r>
          </w:p>
          <w:p w14:paraId="3A7A3A60" w14:textId="77777777" w:rsidR="00BD5C74" w:rsidRDefault="00000000">
            <w:pPr>
              <w:spacing w:after="60" w:line="245" w:lineRule="auto"/>
            </w:pPr>
            <w:r>
              <w:rPr>
                <w:sz w:val="20"/>
                <w:szCs w:val="20"/>
              </w:rPr>
              <w:t xml:space="preserve">Trabajo futuro, punto 6, p. 84: evaluación a velocidades bajas.</w:t>
            </w:r>
          </w:p>
          <w:p w14:paraId="3A7A3A60" w14:textId="77777777" w:rsidR="00BD5C74" w:rsidRDefault="00000000">
            <w:pPr>
              <w:spacing w:after="60" w:line="245" w:lineRule="auto"/>
            </w:pPr>
            <w:r>
              <w:rPr>
                <w:sz w:val="20"/>
                <w:szCs w:val="20"/>
              </w:rPr>
              <w:t xml:space="preserve">Anexo 4.12, p. 126: condiciones de operación y lo que el análisis no cubre.</w:t>
            </w:r>
          </w:p>
        </w:tc>
      </w:tr>
      <w:tr w:rsidR="00BD5C74" w14:paraId="1B68F1A7" w14:textId="77777777">
        <w:trPr>
          <w:cantSplit/>
        </w:trPr>
        <w:tc>
          <w:tcPr>
            <w:tcW w:w="560" w:type="dxa"/>
            <w:tcMar>
              <w:top w:w="80" w:type="dxa"/>
              <w:left w:w="110" w:type="dxa"/>
              <w:bottom w:w="80" w:type="dxa"/>
              <w:right w:w="110" w:type="dxa"/>
            </w:tcMar>
          </w:tcPr>
          <w:p w14:paraId="2FC69267" w14:textId="77777777" w:rsidR="00BD5C74" w:rsidRDefault="00000000">
            <w:pPr>
              <w:spacing w:line="245" w:lineRule="auto"/>
              <w:jc w:val="center"/>
            </w:pPr>
            <w:r>
              <w:rPr>
                <w:sz w:val="20"/>
                <w:szCs w:val="20"/>
              </w:rPr>
              <w:t>5</w:t>
            </w:r>
          </w:p>
        </w:tc>
        <w:tc>
          <w:tcPr>
            <w:tcW w:w="2400" w:type="dxa"/>
            <w:tcMar>
              <w:top w:w="80" w:type="dxa"/>
              <w:left w:w="110" w:type="dxa"/>
              <w:bottom w:w="80" w:type="dxa"/>
              <w:right w:w="110" w:type="dxa"/>
            </w:tcMar>
          </w:tcPr>
          <w:p w14:paraId="6FEB3821" w14:textId="77777777" w:rsidR="00BD5C74" w:rsidRDefault="00000000">
            <w:pPr>
              <w:spacing w:line="245" w:lineRule="auto"/>
            </w:pPr>
            <w:r>
              <w:rPr>
                <w:sz w:val="20"/>
                <w:szCs w:val="20"/>
              </w:rPr>
              <w:t>El retardo del modelo de cada rueda, que es lo que tarda el motor en empezar a reaccionar, es menor que el intervalo de una décima de segundo con que se tomaron los datos, por lo que su valor no es confiable. Se pide justificar el uso del modelo con retardo, llamado FOPDT, frente al mismo modelo sin retardo.</w:t>
            </w:r>
          </w:p>
        </w:tc>
        <w:tc>
          <w:tcPr>
            <w:tcW w:w="4512" w:type="dxa"/>
            <w:tcMar>
              <w:top w:w="80" w:type="dxa"/>
              <w:left w:w="110" w:type="dxa"/>
              <w:bottom w:w="80" w:type="dxa"/>
              <w:right w:w="110" w:type="dxa"/>
            </w:tcMar>
          </w:tcPr>
          <w:p w14:paraId="2DD54B77" w14:textId="77777777" w:rsidR="00BD5C74" w:rsidRDefault="00000000">
            <w:pPr>
              <w:spacing w:line="245" w:lineRule="auto"/>
            </w:pPr>
            <w:r>
              <w:rPr>
                <w:sz w:val="20"/>
                <w:szCs w:val="20"/>
              </w:rPr>
              <w:t>La tesis reconoce que, con datos tomados cada una décima de segundo, un retardo más corto que ese intervalo no se puede medir. El modelo con retardo incluye al modelo sin retardo, y con estos datos ambos dan el mismo resultado. Se conserva porque permite revisar la estabilidad con y sin retardo, y el control es estable en los dos casos (fila 3). Medir el retardo con datos más frecuentes queda como trabajo futuro.</w:t>
            </w:r>
          </w:p>
        </w:tc>
        <w:tc>
          <w:tcPr>
            <w:tcW w:w="2500" w:type="dxa"/>
            <w:tcMar>
              <w:top w:w="80" w:type="dxa"/>
              <w:left w:w="110" w:type="dxa"/>
              <w:bottom w:w="80" w:type="dxa"/>
              <w:right w:w="110" w:type="dxa"/>
            </w:tcMar>
          </w:tcPr>
          <w:p w14:paraId="6ABCE946" w14:textId="77777777" w:rsidR="00BD5C74" w:rsidRDefault="00000000">
            <w:pPr>
              <w:spacing w:after="60" w:line="245" w:lineRule="auto"/>
            </w:pPr>
            <w:r>
              <w:rPr>
                <w:sz w:val="20"/>
                <w:szCs w:val="20"/>
              </w:rPr>
              <w:t xml:space="preserve">Sección 4.4.5, p. 53: resumen del tratamiento del retardo.</w:t>
            </w:r>
          </w:p>
          <w:p w14:paraId="6ABCE946" w14:textId="77777777" w:rsidR="00BD5C74" w:rsidRDefault="00000000">
            <w:pPr>
              <w:spacing w:after="60" w:line="245" w:lineRule="auto"/>
            </w:pPr>
            <w:r>
              <w:rPr>
                <w:sz w:val="20"/>
                <w:szCs w:val="20"/>
              </w:rPr>
              <w:t xml:space="preserve">Trabajo futuro, punto 12, p. 85: medición con datos más frecuentes.</w:t>
            </w:r>
          </w:p>
          <w:p w14:paraId="6ABCE946" w14:textId="77777777" w:rsidR="00BD5C74" w:rsidRDefault="00000000">
            <w:pPr>
              <w:spacing w:after="60" w:line="245" w:lineRule="auto"/>
            </w:pPr>
            <w:r>
              <w:rPr>
                <w:sz w:val="20"/>
                <w:szCs w:val="20"/>
              </w:rPr>
              <w:t xml:space="preserve">Anexo 4.6, p. 118 y 119: por qué se conserva el modelo con retardo.</w:t>
            </w:r>
          </w:p>
          <w:p w14:paraId="6ABCE946" w14:textId="77777777" w:rsidR="00BD5C74" w:rsidRDefault="00000000">
            <w:pPr>
              <w:spacing w:after="60" w:line="245" w:lineRule="auto"/>
            </w:pPr>
            <w:r>
              <w:rPr>
                <w:sz w:val="20"/>
                <w:szCs w:val="20"/>
              </w:rPr>
              <w:t xml:space="preserve">Anexo 4.12, p. 124 y 125: estabilidad con y sin retardo.</w:t>
            </w:r>
          </w:p>
        </w:tc>
      </w:tr>
      <w:tr w:rsidR="00BD5C74" w14:paraId="39100372" w14:textId="77777777">
        <w:trPr>
          <w:cantSplit/>
        </w:trPr>
        <w:tc>
          <w:tcPr>
            <w:tcW w:w="560" w:type="dxa"/>
            <w:tcMar>
              <w:top w:w="80" w:type="dxa"/>
              <w:left w:w="110" w:type="dxa"/>
              <w:bottom w:w="80" w:type="dxa"/>
              <w:right w:w="110" w:type="dxa"/>
            </w:tcMar>
          </w:tcPr>
          <w:p w14:paraId="240B438D" w14:textId="77777777" w:rsidR="00BD5C74" w:rsidRDefault="00000000">
            <w:pPr>
              <w:spacing w:line="245" w:lineRule="auto"/>
              <w:jc w:val="center"/>
            </w:pPr>
            <w:r>
              <w:rPr>
                <w:sz w:val="20"/>
                <w:szCs w:val="20"/>
              </w:rPr>
              <w:lastRenderedPageBreak/>
              <w:t>6</w:t>
            </w:r>
          </w:p>
        </w:tc>
        <w:tc>
          <w:tcPr>
            <w:tcW w:w="2400" w:type="dxa"/>
            <w:tcMar>
              <w:top w:w="80" w:type="dxa"/>
              <w:left w:w="110" w:type="dxa"/>
              <w:bottom w:w="80" w:type="dxa"/>
              <w:right w:w="110" w:type="dxa"/>
            </w:tcMar>
          </w:tcPr>
          <w:p w14:paraId="5F2B2E52" w14:textId="77777777" w:rsidR="00BD5C74" w:rsidRDefault="00000000">
            <w:pPr>
              <w:spacing w:line="245" w:lineRule="auto"/>
            </w:pPr>
            <w:r>
              <w:rPr>
                <w:sz w:val="20"/>
                <w:szCs w:val="20"/>
              </w:rPr>
              <w:t>Las ganancias se obtienen con PSO, un método que prueba muchas combinaciones sobre el modelo y conserva la mejor, pero después se ajustan a mano. Esto podría indicar problemas en el modelo, en la función objetivo, que es el criterio con que se califica cada combinación, o en la programación del método. Se pide justificar cuánto aporta realmente el PSO.</w:t>
            </w:r>
          </w:p>
        </w:tc>
        <w:tc>
          <w:tcPr>
            <w:tcW w:w="4512" w:type="dxa"/>
            <w:tcMar>
              <w:top w:w="80" w:type="dxa"/>
              <w:left w:w="110" w:type="dxa"/>
              <w:bottom w:w="80" w:type="dxa"/>
              <w:right w:w="110" w:type="dxa"/>
            </w:tcMar>
          </w:tcPr>
          <w:p w14:paraId="169CDF2D" w14:textId="77777777" w:rsidR="00BD5C74" w:rsidRDefault="00000000">
            <w:pPr>
              <w:spacing w:line="245" w:lineRule="auto"/>
            </w:pPr>
            <w:r>
              <w:rPr>
                <w:sz w:val="20"/>
                <w:szCs w:val="20"/>
              </w:rPr>
              <w:t xml:space="preserve">El objetivo del trabajo es la navegación y la exploración autónoma, y el objetivo específico 2 compromete un controlador PID en lazo cerrado, no la optimización de sus ganancias. El PSO es solo un complemento que entrega un punto de partida, como en otros trabajos que lo usan para sintonizar un PID en robótica móvil (Gökçe et al., 2021). La tesis reconoce que las tres causas influyen. El modelo no representa las potencias bajas con que el motor todavía no gira ni el cálculo con números enteros del Arduino, la función objetivo evalúa un solo cambio de velocidad y el programa entrega una ganancia sin recortarla a su límite. Aun así, el PSO da un punto de partida estable, con más margen de seguridad que las ganancias finales y que las del </w:t>
            </w:r>
            <w:r>
              <w:rPr>
                <w:i/>
                <w:sz w:val="20"/>
                <w:szCs w:val="20"/>
              </w:rPr>
              <w:t xml:space="preserve">firmware</w:t>
            </w:r>
            <w:r>
              <w:rPr>
                <w:sz w:val="20"/>
                <w:szCs w:val="20"/>
              </w:rPr>
              <w:t xml:space="preserve"> original. Ese es su aporte, no el ajuste final.</w:t>
            </w:r>
          </w:p>
        </w:tc>
        <w:tc>
          <w:tcPr>
            <w:tcW w:w="2500" w:type="dxa"/>
            <w:tcMar>
              <w:top w:w="80" w:type="dxa"/>
              <w:left w:w="110" w:type="dxa"/>
              <w:bottom w:w="80" w:type="dxa"/>
              <w:right w:w="110" w:type="dxa"/>
            </w:tcMar>
          </w:tcPr>
          <w:p w14:paraId="1B2A7D98" w14:textId="77777777" w:rsidR="00BD5C74" w:rsidRDefault="00000000">
            <w:pPr>
              <w:spacing w:after="60" w:line="245" w:lineRule="auto"/>
            </w:pPr>
            <w:r>
              <w:rPr>
                <w:sz w:val="20"/>
                <w:szCs w:val="20"/>
              </w:rPr>
              <w:t xml:space="preserve">Introducción, p. 2: PSO como herramienta de apoyo.</w:t>
            </w:r>
          </w:p>
          <w:p w14:paraId="1B2A7D98" w14:textId="77777777" w:rsidR="00BD5C74" w:rsidRDefault="00000000">
            <w:pPr>
              <w:spacing w:after="60" w:line="245" w:lineRule="auto"/>
            </w:pPr>
            <w:r>
              <w:rPr>
                <w:sz w:val="20"/>
                <w:szCs w:val="20"/>
              </w:rPr>
              <w:t xml:space="preserve">Sección 4.4.5, p. 53 y 54: razón de cada ajuste hecho a mano.</w:t>
            </w:r>
          </w:p>
          <w:p w14:paraId="1B2A7D98" w14:textId="77777777" w:rsidR="00BD5C74" w:rsidRDefault="00000000">
            <w:pPr>
              <w:spacing w:after="60" w:line="245" w:lineRule="auto"/>
            </w:pPr>
            <w:r>
              <w:rPr>
                <w:sz w:val="20"/>
                <w:szCs w:val="20"/>
              </w:rPr>
              <w:t xml:space="preserve">Sección 5.2, p. 69 y 70: objetivo del trabajo, causas del ajuste y aporte del PSO.</w:t>
            </w:r>
          </w:p>
          <w:p w14:paraId="1B2A7D98" w14:textId="77777777" w:rsidR="00BD5C74" w:rsidRDefault="00000000">
            <w:pPr>
              <w:spacing w:after="60" w:line="245" w:lineRule="auto"/>
            </w:pPr>
            <w:r>
              <w:rPr>
                <w:sz w:val="20"/>
                <w:szCs w:val="20"/>
              </w:rPr>
              <w:t xml:space="preserve">Anexo 4.10, p. 122: ganancias que entrega el PSO.</w:t>
            </w:r>
          </w:p>
          <w:p w14:paraId="1B2A7D98" w14:textId="77777777" w:rsidR="00BD5C74" w:rsidRDefault="00000000">
            <w:pPr>
              <w:spacing w:after="60" w:line="245" w:lineRule="auto"/>
            </w:pPr>
            <w:r>
              <w:rPr>
                <w:sz w:val="20"/>
                <w:szCs w:val="20"/>
              </w:rPr>
              <w:t xml:space="preserve">Anexo 4.12, p. 126 y 127: márgenes del PSO frente a las ganancias finales y las del </w:t>
            </w:r>
            <w:r>
              <w:rPr>
                <w:i/>
                <w:sz w:val="20"/>
                <w:szCs w:val="20"/>
              </w:rPr>
              <w:t xml:space="preserve">firmware</w:t>
            </w:r>
            <w:r>
              <w:rPr>
                <w:sz w:val="20"/>
                <w:szCs w:val="20"/>
              </w:rPr>
              <w:t xml:space="preserve"> original.</w:t>
            </w:r>
          </w:p>
        </w:tc>
      </w:tr>
      <w:tr w:rsidR="00BD5C74" w14:paraId="429BA466" w14:textId="77777777">
        <w:trPr>
          <w:cantSplit/>
        </w:trPr>
        <w:tc>
          <w:tcPr>
            <w:tcW w:w="9972" w:type="dxa"/>
            <w:gridSpan w:val="4"/>
            <w:shd w:val="clear" w:color="auto" w:fill="F2F2F2"/>
            <w:tcMar>
              <w:top w:w="80" w:type="dxa"/>
              <w:left w:w="110" w:type="dxa"/>
              <w:bottom w:w="80" w:type="dxa"/>
              <w:right w:w="110" w:type="dxa"/>
            </w:tcMar>
          </w:tcPr>
          <w:p w14:paraId="36610222" w14:textId="77777777" w:rsidR="00BD5C74" w:rsidRDefault="00000000">
            <w:pPr>
              <w:keepNext/>
              <w:spacing w:line="245" w:lineRule="auto"/>
            </w:pPr>
            <w:r>
              <w:rPr>
                <w:b/>
                <w:bCs/>
                <w:sz w:val="20"/>
                <w:szCs w:val="20"/>
              </w:rPr>
              <w:t>Profesor Guillermo González Romero</w:t>
            </w:r>
          </w:p>
        </w:tc>
      </w:tr>
      <w:tr w:rsidR="00BD5C74" w14:paraId="11870C45" w14:textId="77777777">
        <w:trPr>
          <w:cantSplit/>
        </w:trPr>
        <w:tc>
          <w:tcPr>
            <w:tcW w:w="560" w:type="dxa"/>
            <w:tcMar>
              <w:top w:w="80" w:type="dxa"/>
              <w:left w:w="110" w:type="dxa"/>
              <w:bottom w:w="80" w:type="dxa"/>
              <w:right w:w="110" w:type="dxa"/>
            </w:tcMar>
          </w:tcPr>
          <w:p w14:paraId="67FEB2EC" w14:textId="77777777" w:rsidR="00BD5C74" w:rsidRDefault="00000000">
            <w:pPr>
              <w:spacing w:line="245" w:lineRule="auto"/>
              <w:jc w:val="center"/>
            </w:pPr>
            <w:r>
              <w:rPr>
                <w:sz w:val="20"/>
                <w:szCs w:val="20"/>
              </w:rPr>
              <w:t>7</w:t>
            </w:r>
          </w:p>
        </w:tc>
        <w:tc>
          <w:tcPr>
            <w:tcW w:w="2400" w:type="dxa"/>
            <w:tcMar>
              <w:top w:w="80" w:type="dxa"/>
              <w:left w:w="110" w:type="dxa"/>
              <w:bottom w:w="80" w:type="dxa"/>
              <w:right w:w="110" w:type="dxa"/>
            </w:tcMar>
          </w:tcPr>
          <w:p w14:paraId="3122E7B8" w14:textId="77777777" w:rsidR="00BD5C74" w:rsidRDefault="00000000">
            <w:pPr>
              <w:spacing w:line="245" w:lineRule="auto"/>
            </w:pPr>
            <w:r>
              <w:rPr>
                <w:sz w:val="20"/>
                <w:szCs w:val="20"/>
              </w:rPr>
              <w:t>No hay una evaluación con números del desempeño de la navegación hacia metas fijas, es decir, de cuántas veces el robot llega a un punto indicado de antemano y con qué error.</w:t>
            </w:r>
          </w:p>
        </w:tc>
        <w:tc>
          <w:tcPr>
            <w:tcW w:w="4512" w:type="dxa"/>
            <w:tcMar>
              <w:top w:w="80" w:type="dxa"/>
              <w:left w:w="110" w:type="dxa"/>
              <w:bottom w:w="80" w:type="dxa"/>
              <w:right w:w="110" w:type="dxa"/>
            </w:tcMar>
          </w:tcPr>
          <w:p w14:paraId="23204B79" w14:textId="77777777" w:rsidR="00BD5C74" w:rsidRDefault="00000000">
            <w:pPr>
              <w:spacing w:line="245" w:lineRule="auto"/>
            </w:pPr>
            <w:r>
              <w:rPr>
                <w:sz w:val="20"/>
                <w:szCs w:val="20"/>
              </w:rPr>
              <w:t xml:space="preserve">La tesis aclara que el objetivo general compromete la navegación hacia las metas que genera la exploración. Las metas fijas quedan fuera del alcance, porque requieren metas definidas, marcas medidas en el recinto y un registro independiente de la posición final, y por eso el objetivo específico 3 se declara cumplido parcialmente. Lo que sí se mide es que, en las cinco exploraciones válidas, el robot navega 21.9 metros durante 12.7 minutos sin intervención manual. El registro no permite separar los fallos propios de la navegación, por eso no se informa una tasa de éxito. El protocolo para metas fijas queda como trabajo futuro.</w:t>
            </w:r>
          </w:p>
        </w:tc>
        <w:tc>
          <w:tcPr>
            <w:tcW w:w="2500" w:type="dxa"/>
            <w:tcMar>
              <w:top w:w="80" w:type="dxa"/>
              <w:left w:w="110" w:type="dxa"/>
              <w:bottom w:w="80" w:type="dxa"/>
              <w:right w:w="110" w:type="dxa"/>
            </w:tcMar>
          </w:tcPr>
          <w:p w14:paraId="28FC1B54" w14:textId="77777777" w:rsidR="00BD5C74" w:rsidRDefault="00000000">
            <w:pPr>
              <w:spacing w:after="60" w:line="245" w:lineRule="auto"/>
            </w:pPr>
            <w:r>
              <w:rPr>
                <w:sz w:val="20"/>
                <w:szCs w:val="20"/>
              </w:rPr>
              <w:t xml:space="preserve">Alcances y limitaciones, p. 3: metas fijas fuera del alcance.</w:t>
            </w:r>
          </w:p>
          <w:p w14:paraId="28FC1B54" w14:textId="77777777" w:rsidR="00BD5C74" w:rsidRDefault="00000000">
            <w:pPr>
              <w:spacing w:after="60" w:line="245" w:lineRule="auto"/>
            </w:pPr>
            <w:r>
              <w:rPr>
                <w:sz w:val="20"/>
                <w:szCs w:val="20"/>
              </w:rPr>
              <w:t xml:space="preserve">Sección 5.4, p. 74 y 75: lo que sí se mide de la navegación.</w:t>
            </w:r>
          </w:p>
          <w:p w14:paraId="28FC1B54" w14:textId="77777777" w:rsidR="00BD5C74" w:rsidRDefault="00000000">
            <w:pPr>
              <w:spacing w:after="60" w:line="245" w:lineRule="auto"/>
            </w:pPr>
            <w:r>
              <w:rPr>
                <w:sz w:val="20"/>
                <w:szCs w:val="20"/>
              </w:rPr>
              <w:t xml:space="preserve">Conclusiones, p. 81: objetivo específico 3 cumplido parcialmente.</w:t>
            </w:r>
          </w:p>
          <w:p w14:paraId="28FC1B54" w14:textId="77777777" w:rsidR="00BD5C74" w:rsidRDefault="00000000">
            <w:pPr>
              <w:spacing w:after="60" w:line="245" w:lineRule="auto"/>
            </w:pPr>
            <w:r>
              <w:rPr>
                <w:sz w:val="20"/>
                <w:szCs w:val="20"/>
              </w:rPr>
              <w:t xml:space="preserve">Anexo 8.3, p. 138: protocolo propuesto para metas fijas.</w:t>
            </w:r>
          </w:p>
        </w:tc>
      </w:tr>
      <w:tr w:rsidR="00BD5C74" w14:paraId="1D3BB77A" w14:textId="77777777">
        <w:trPr>
          <w:cantSplit/>
        </w:trPr>
        <w:tc>
          <w:tcPr>
            <w:tcW w:w="560" w:type="dxa"/>
            <w:tcMar>
              <w:top w:w="80" w:type="dxa"/>
              <w:left w:w="110" w:type="dxa"/>
              <w:bottom w:w="80" w:type="dxa"/>
              <w:right w:w="110" w:type="dxa"/>
            </w:tcMar>
          </w:tcPr>
          <w:p w14:paraId="04EE6F2A" w14:textId="77777777" w:rsidR="00BD5C74" w:rsidRDefault="00000000">
            <w:pPr>
              <w:spacing w:line="245" w:lineRule="auto"/>
              <w:jc w:val="center"/>
            </w:pPr>
            <w:r>
              <w:rPr>
                <w:sz w:val="20"/>
                <w:szCs w:val="20"/>
              </w:rPr>
              <w:t>8</w:t>
            </w:r>
          </w:p>
        </w:tc>
        <w:tc>
          <w:tcPr>
            <w:tcW w:w="2400" w:type="dxa"/>
            <w:tcMar>
              <w:top w:w="80" w:type="dxa"/>
              <w:left w:w="110" w:type="dxa"/>
              <w:bottom w:w="80" w:type="dxa"/>
              <w:right w:w="110" w:type="dxa"/>
            </w:tcMar>
          </w:tcPr>
          <w:p w14:paraId="4A2B454C" w14:textId="77777777" w:rsidR="00BD5C74" w:rsidRDefault="00000000">
            <w:pPr>
              <w:spacing w:line="245" w:lineRule="auto"/>
            </w:pPr>
            <w:r>
              <w:rPr>
                <w:sz w:val="20"/>
                <w:szCs w:val="20"/>
              </w:rPr>
              <w:t>El número de ensayos experimentales es limitado.</w:t>
            </w:r>
          </w:p>
        </w:tc>
        <w:tc>
          <w:tcPr>
            <w:tcW w:w="4512" w:type="dxa"/>
            <w:tcMar>
              <w:top w:w="80" w:type="dxa"/>
              <w:left w:w="110" w:type="dxa"/>
              <w:bottom w:w="80" w:type="dxa"/>
              <w:right w:w="110" w:type="dxa"/>
            </w:tcMar>
          </w:tcPr>
          <w:p w14:paraId="790E406F" w14:textId="77777777" w:rsidR="00BD5C74" w:rsidRDefault="00000000">
            <w:pPr>
              <w:spacing w:line="245" w:lineRule="auto"/>
            </w:pPr>
            <w:r>
              <w:rPr>
                <w:sz w:val="20"/>
                <w:szCs w:val="20"/>
              </w:rPr>
              <w:t xml:space="preserve">La observación es correcta y la tesis la reconoce. El número de ensayos es bajo y ampliarlo se declara como trabajo futuro. Con seis exploraciones, la prueba estadística entrega p = 0.109, mayor que 0.05, por lo que no permite afirmar que la tasa de éxito supere el 50 por ciento (Devore et al., 2021, Cap. 9). Por eso los resultados se presentan como una verificación en el recinto ensayado y no como valores generales. Para cada resultado se calcula un intervalo de confianza al 95 por ciento, que es el rango en que, con ese nivel de confianza, se encuentra el valor real. Algunos quedan con un rango estrecho aun con cinco repeticiones y otros con un rango amplio. Se considera admisible un mínimo de 6 a 10 repeticiones por ensayo para obtener intervalos de confianza con una varianza admisible, criterio coherente con la guía Eurachem (Cantwell, 2025, Sec. 5.3.2).</w:t>
            </w:r>
          </w:p>
        </w:tc>
        <w:tc>
          <w:tcPr>
            <w:tcW w:w="2500" w:type="dxa"/>
            <w:tcMar>
              <w:top w:w="80" w:type="dxa"/>
              <w:left w:w="110" w:type="dxa"/>
              <w:bottom w:w="80" w:type="dxa"/>
              <w:right w:w="110" w:type="dxa"/>
            </w:tcMar>
          </w:tcPr>
          <w:p w14:paraId="32CADBA2" w14:textId="77777777" w:rsidR="00BD5C74" w:rsidRDefault="00000000">
            <w:pPr>
              <w:spacing w:after="60" w:line="245" w:lineRule="auto"/>
            </w:pPr>
            <w:r>
              <w:rPr>
                <w:sz w:val="20"/>
                <w:szCs w:val="20"/>
              </w:rPr>
              <w:t xml:space="preserve">Alcances y limitaciones, p. 3: declaración del límite.</w:t>
            </w:r>
          </w:p>
          <w:p w14:paraId="32CADBA2" w14:textId="77777777" w:rsidR="00BD5C74" w:rsidRDefault="00000000">
            <w:pPr>
              <w:spacing w:after="60" w:line="245" w:lineRule="auto"/>
            </w:pPr>
            <w:r>
              <w:rPr>
                <w:sz w:val="20"/>
                <w:szCs w:val="20"/>
              </w:rPr>
              <w:t xml:space="preserve">Sección 5.6, p. 77 y 78: prueba estadística, intervalos y mínimo de repeticiones.</w:t>
            </w:r>
          </w:p>
          <w:p w14:paraId="32CADBA2" w14:textId="77777777" w:rsidR="00BD5C74" w:rsidRDefault="00000000">
            <w:pPr>
              <w:spacing w:after="60" w:line="245" w:lineRule="auto"/>
            </w:pPr>
            <w:r>
              <w:rPr>
                <w:sz w:val="20"/>
                <w:szCs w:val="20"/>
              </w:rPr>
              <w:t xml:space="preserve">Trabajo futuro, punto 11, p. 85: alcanzar ese mínimo.</w:t>
            </w:r>
          </w:p>
          <w:p w14:paraId="32CADBA2" w14:textId="77777777" w:rsidR="00BD5C74" w:rsidRDefault="00000000">
            <w:pPr>
              <w:spacing w:after="60" w:line="245" w:lineRule="auto"/>
            </w:pPr>
            <w:r>
              <w:rPr>
                <w:sz w:val="20"/>
                <w:szCs w:val="20"/>
              </w:rPr>
              <w:t xml:space="preserve">Anexo 8.6 y Tabla A8.4, p. 142 a 144: intervalos y repeticiones necesarias.</w:t>
            </w:r>
          </w:p>
        </w:tc>
      </w:tr>
      <w:tr w:rsidR="00BD5C74" w14:paraId="4AE645AE" w14:textId="77777777">
        <w:trPr>
          <w:cantSplit/>
        </w:trPr>
        <w:tc>
          <w:tcPr>
            <w:tcW w:w="560" w:type="dxa"/>
            <w:tcMar>
              <w:top w:w="80" w:type="dxa"/>
              <w:left w:w="110" w:type="dxa"/>
              <w:bottom w:w="80" w:type="dxa"/>
              <w:right w:w="110" w:type="dxa"/>
            </w:tcMar>
          </w:tcPr>
          <w:p w14:paraId="16FA7A2C" w14:textId="77777777" w:rsidR="00BD5C74" w:rsidRDefault="00000000">
            <w:pPr>
              <w:spacing w:line="245" w:lineRule="auto"/>
              <w:jc w:val="center"/>
            </w:pPr>
            <w:r>
              <w:rPr>
                <w:sz w:val="20"/>
                <w:szCs w:val="20"/>
              </w:rPr>
              <w:lastRenderedPageBreak/>
              <w:t>9</w:t>
            </w:r>
          </w:p>
        </w:tc>
        <w:tc>
          <w:tcPr>
            <w:tcW w:w="2400" w:type="dxa"/>
            <w:tcMar>
              <w:top w:w="80" w:type="dxa"/>
              <w:left w:w="110" w:type="dxa"/>
              <w:bottom w:w="80" w:type="dxa"/>
              <w:right w:w="110" w:type="dxa"/>
            </w:tcMar>
          </w:tcPr>
          <w:p w14:paraId="222D9BF7" w14:textId="77777777" w:rsidR="00BD5C74" w:rsidRDefault="00000000">
            <w:pPr>
              <w:spacing w:line="245" w:lineRule="auto"/>
            </w:pPr>
            <w:r>
              <w:rPr>
                <w:sz w:val="20"/>
                <w:szCs w:val="20"/>
              </w:rPr>
              <w:t>Falta una referencia externa para comprobar la precisión de los mapas que genera el robot.</w:t>
            </w:r>
          </w:p>
        </w:tc>
        <w:tc>
          <w:tcPr>
            <w:tcW w:w="4512" w:type="dxa"/>
            <w:tcMar>
              <w:top w:w="80" w:type="dxa"/>
              <w:left w:w="110" w:type="dxa"/>
              <w:bottom w:w="80" w:type="dxa"/>
              <w:right w:w="110" w:type="dxa"/>
            </w:tcMar>
          </w:tcPr>
          <w:p w14:paraId="4AC50C20" w14:textId="77777777" w:rsidR="00BD5C74" w:rsidRDefault="00000000">
            <w:pPr>
              <w:spacing w:line="245" w:lineRule="auto"/>
            </w:pPr>
            <w:r>
              <w:rPr>
                <w:sz w:val="20"/>
                <w:szCs w:val="20"/>
              </w:rPr>
              <w:t>El recinto se mide a mano con huincha de medir y se dibuja su plano. Cada mapa se superpone al plano y se mide la distancia entre los muros de ambos, como hacen Trejos et al. (2022). La diferencia media es de 3.4 centímetros, menor que el lado de un cuadro del mapa, de 5 centímetros. En los pasillos, los mapas suman 12 centímetros más. Hasta 4 se deben al grosor de los muros, y el resto puede venir de pequeños errores de la medición a mano o del mapa, por lo que se propone medir con un instrumento más preciso.</w:t>
            </w:r>
          </w:p>
        </w:tc>
        <w:tc>
          <w:tcPr>
            <w:tcW w:w="2500" w:type="dxa"/>
            <w:tcMar>
              <w:top w:w="80" w:type="dxa"/>
              <w:left w:w="110" w:type="dxa"/>
              <w:bottom w:w="80" w:type="dxa"/>
              <w:right w:w="110" w:type="dxa"/>
            </w:tcMar>
          </w:tcPr>
          <w:p w14:paraId="046F06B7" w14:textId="77777777" w:rsidR="00BD5C74" w:rsidRDefault="00000000">
            <w:pPr>
              <w:spacing w:after="60" w:line="245" w:lineRule="auto"/>
            </w:pPr>
            <w:r>
              <w:rPr>
                <w:sz w:val="20"/>
                <w:szCs w:val="20"/>
              </w:rPr>
              <w:t xml:space="preserve">Sección 5.3, p. 72: resumen de la comparación con el plano.</w:t>
            </w:r>
          </w:p>
          <w:p w14:paraId="046F06B7" w14:textId="77777777" w:rsidR="00BD5C74" w:rsidRDefault="00000000">
            <w:pPr>
              <w:spacing w:after="60" w:line="245" w:lineRule="auto"/>
            </w:pPr>
            <w:r>
              <w:rPr>
                <w:sz w:val="20"/>
                <w:szCs w:val="20"/>
              </w:rPr>
              <w:t xml:space="preserve">Limitaciones, p. 82: alcance de la medición a mano.</w:t>
            </w:r>
          </w:p>
          <w:p w14:paraId="046F06B7" w14:textId="77777777" w:rsidR="00BD5C74" w:rsidRDefault="00000000">
            <w:pPr>
              <w:spacing w:after="60" w:line="245" w:lineRule="auto"/>
            </w:pPr>
            <w:r>
              <w:rPr>
                <w:sz w:val="20"/>
                <w:szCs w:val="20"/>
              </w:rPr>
              <w:t xml:space="preserve">Trabajo futuro, punto 10, p. 85: nueva medición más precisa.</w:t>
            </w:r>
          </w:p>
          <w:p w14:paraId="046F06B7" w14:textId="77777777" w:rsidR="00BD5C74" w:rsidRDefault="00000000">
            <w:pPr>
              <w:spacing w:after="60" w:line="245" w:lineRule="auto"/>
            </w:pPr>
            <w:r>
              <w:rPr>
                <w:sz w:val="20"/>
                <w:szCs w:val="20"/>
              </w:rPr>
              <w:t xml:space="preserve">Anexo 8.5, p. 139 a 142: plano, método y resultados.</w:t>
            </w:r>
          </w:p>
        </w:tc>
      </w:tr>
      <w:tr w:rsidR="00BD5C74" w14:paraId="25EE06F4" w14:textId="77777777">
        <w:trPr>
          <w:cantSplit/>
        </w:trPr>
        <w:tc>
          <w:tcPr>
            <w:tcW w:w="560" w:type="dxa"/>
            <w:tcMar>
              <w:top w:w="80" w:type="dxa"/>
              <w:left w:w="110" w:type="dxa"/>
              <w:bottom w:w="80" w:type="dxa"/>
              <w:right w:w="110" w:type="dxa"/>
            </w:tcMar>
          </w:tcPr>
          <w:p w14:paraId="7F0BFF9F" w14:textId="77777777" w:rsidR="00BD5C74" w:rsidRDefault="00000000">
            <w:pPr>
              <w:spacing w:line="245" w:lineRule="auto"/>
              <w:jc w:val="center"/>
            </w:pPr>
            <w:r>
              <w:rPr>
                <w:sz w:val="20"/>
                <w:szCs w:val="20"/>
              </w:rPr>
              <w:t>10</w:t>
            </w:r>
          </w:p>
        </w:tc>
        <w:tc>
          <w:tcPr>
            <w:tcW w:w="2400" w:type="dxa"/>
            <w:tcMar>
              <w:top w:w="80" w:type="dxa"/>
              <w:left w:w="110" w:type="dxa"/>
              <w:bottom w:w="80" w:type="dxa"/>
              <w:right w:w="110" w:type="dxa"/>
            </w:tcMar>
          </w:tcPr>
          <w:p w14:paraId="0A5A67AF" w14:textId="77777777" w:rsidR="00BD5C74" w:rsidRDefault="00000000">
            <w:pPr>
              <w:spacing w:line="245" w:lineRule="auto"/>
            </w:pPr>
            <w:r>
              <w:rPr>
                <w:sz w:val="20"/>
                <w:szCs w:val="20"/>
              </w:rPr>
              <w:t>Se recomienda redactar, siempre que sea posible, en tiempo presente y en tercera persona singular.</w:t>
            </w:r>
          </w:p>
        </w:tc>
        <w:tc>
          <w:tcPr>
            <w:tcW w:w="4512" w:type="dxa"/>
            <w:tcMar>
              <w:top w:w="80" w:type="dxa"/>
              <w:left w:w="110" w:type="dxa"/>
              <w:bottom w:w="80" w:type="dxa"/>
              <w:right w:w="110" w:type="dxa"/>
            </w:tcMar>
          </w:tcPr>
          <w:p w14:paraId="49484DDC" w14:textId="77777777" w:rsidR="00BD5C74" w:rsidRDefault="00000000">
            <w:pPr>
              <w:spacing w:line="245" w:lineRule="auto"/>
            </w:pPr>
            <w:r>
              <w:rPr>
                <w:sz w:val="20"/>
                <w:szCs w:val="20"/>
              </w:rPr>
              <w:t>Se revisa todo el documento y se redacta en tiempo presente y en tercera persona, con la forma impersonal. Por ejemplo, se escribe «se construye» en lugar de «construí» o «se construyó».</w:t>
            </w:r>
          </w:p>
        </w:tc>
        <w:tc>
          <w:tcPr>
            <w:tcW w:w="2500" w:type="dxa"/>
            <w:tcMar>
              <w:top w:w="80" w:type="dxa"/>
              <w:left w:w="110" w:type="dxa"/>
              <w:bottom w:w="80" w:type="dxa"/>
              <w:right w:w="110" w:type="dxa"/>
            </w:tcMar>
          </w:tcPr>
          <w:p w14:paraId="75DFCDFB" w14:textId="77777777" w:rsidR="00BD5C74" w:rsidRDefault="00000000">
            <w:pPr>
              <w:spacing w:line="245" w:lineRule="auto"/>
            </w:pPr>
            <w:r>
              <w:rPr>
                <w:sz w:val="20"/>
                <w:szCs w:val="20"/>
              </w:rPr>
              <w:t>Todo el documento.</w:t>
            </w:r>
          </w:p>
        </w:tc>
      </w:tr>
      <w:tr w:rsidR="00BD5C74" w14:paraId="71D86372" w14:textId="77777777">
        <w:trPr>
          <w:cantSplit/>
        </w:trPr>
        <w:tc>
          <w:tcPr>
            <w:tcW w:w="560" w:type="dxa"/>
            <w:tcMar>
              <w:top w:w="80" w:type="dxa"/>
              <w:left w:w="110" w:type="dxa"/>
              <w:bottom w:w="80" w:type="dxa"/>
              <w:right w:w="110" w:type="dxa"/>
            </w:tcMar>
          </w:tcPr>
          <w:p w14:paraId="378D805B" w14:textId="77777777" w:rsidR="00BD5C74" w:rsidRDefault="00000000">
            <w:pPr>
              <w:spacing w:line="245" w:lineRule="auto"/>
              <w:jc w:val="center"/>
            </w:pPr>
            <w:r>
              <w:rPr>
                <w:sz w:val="20"/>
                <w:szCs w:val="20"/>
              </w:rPr>
              <w:t>11</w:t>
            </w:r>
          </w:p>
        </w:tc>
        <w:tc>
          <w:tcPr>
            <w:tcW w:w="2400" w:type="dxa"/>
            <w:tcMar>
              <w:top w:w="80" w:type="dxa"/>
              <w:left w:w="110" w:type="dxa"/>
              <w:bottom w:w="80" w:type="dxa"/>
              <w:right w:w="110" w:type="dxa"/>
            </w:tcMar>
          </w:tcPr>
          <w:p w14:paraId="4A81E1FF" w14:textId="77777777" w:rsidR="00BD5C74" w:rsidRDefault="00000000">
            <w:pPr>
              <w:spacing w:line="245" w:lineRule="auto"/>
            </w:pPr>
            <w:r>
              <w:rPr>
                <w:sz w:val="20"/>
                <w:szCs w:val="20"/>
              </w:rPr>
              <w:t>Se recomienda citar correctamente las referencias y todas las figuras, ecuaciones y tablas del documento.</w:t>
            </w:r>
          </w:p>
        </w:tc>
        <w:tc>
          <w:tcPr>
            <w:tcW w:w="4512" w:type="dxa"/>
            <w:tcMar>
              <w:top w:w="80" w:type="dxa"/>
              <w:left w:w="110" w:type="dxa"/>
              <w:bottom w:w="80" w:type="dxa"/>
              <w:right w:w="110" w:type="dxa"/>
            </w:tcMar>
          </w:tcPr>
          <w:p w14:paraId="73C7E3A7" w14:textId="77777777" w:rsidR="00BD5C74" w:rsidRDefault="00000000">
            <w:pPr>
              <w:spacing w:line="245" w:lineRule="auto"/>
            </w:pPr>
            <w:r>
              <w:rPr>
                <w:sz w:val="20"/>
                <w:szCs w:val="20"/>
              </w:rPr>
              <w:t>Se revisa que todas las figuras, tablas y ecuaciones estén numeradas y se mencionen en el texto, y que todas las referencias citadas aparezcan en la bibliografía con formato APA. Las ecuaciones de la ley de control se presentan numeradas y se citan en el texto.</w:t>
            </w:r>
          </w:p>
        </w:tc>
        <w:tc>
          <w:tcPr>
            <w:tcW w:w="2500" w:type="dxa"/>
            <w:tcMar>
              <w:top w:w="80" w:type="dxa"/>
              <w:left w:w="110" w:type="dxa"/>
              <w:bottom w:w="80" w:type="dxa"/>
              <w:right w:w="110" w:type="dxa"/>
            </w:tcMar>
          </w:tcPr>
          <w:p w14:paraId="56756CB6" w14:textId="77777777" w:rsidR="00BD5C74" w:rsidRDefault="00000000">
            <w:pPr>
              <w:spacing w:line="245" w:lineRule="auto"/>
            </w:pPr>
            <w:r>
              <w:rPr>
                <w:sz w:val="20"/>
                <w:szCs w:val="20"/>
              </w:rPr>
              <w:t>Todo el documento.</w:t>
            </w:r>
          </w:p>
        </w:tc>
      </w:tr>
      <w:tr w:rsidR="00BD5C74" w14:paraId="2A47859D" w14:textId="77777777">
        <w:trPr>
          <w:cantSplit/>
        </w:trPr>
        <w:tc>
          <w:tcPr>
            <w:tcW w:w="560" w:type="dxa"/>
            <w:tcMar>
              <w:top w:w="80" w:type="dxa"/>
              <w:left w:w="110" w:type="dxa"/>
              <w:bottom w:w="80" w:type="dxa"/>
              <w:right w:w="110" w:type="dxa"/>
            </w:tcMar>
          </w:tcPr>
          <w:p w14:paraId="156C0ABF" w14:textId="77777777" w:rsidR="00BD5C74" w:rsidRDefault="00000000">
            <w:pPr>
              <w:spacing w:line="245" w:lineRule="auto"/>
              <w:jc w:val="center"/>
            </w:pPr>
            <w:r>
              <w:rPr>
                <w:sz w:val="20"/>
                <w:szCs w:val="20"/>
              </w:rPr>
              <w:t>12</w:t>
            </w:r>
          </w:p>
        </w:tc>
        <w:tc>
          <w:tcPr>
            <w:tcW w:w="2400" w:type="dxa"/>
            <w:tcMar>
              <w:top w:w="80" w:type="dxa"/>
              <w:left w:w="110" w:type="dxa"/>
              <w:bottom w:w="80" w:type="dxa"/>
              <w:right w:w="110" w:type="dxa"/>
            </w:tcMar>
          </w:tcPr>
          <w:p w14:paraId="6CE4FE73" w14:textId="77777777" w:rsidR="00BD5C74" w:rsidRDefault="00000000">
            <w:pPr>
              <w:spacing w:line="245" w:lineRule="auto"/>
            </w:pPr>
            <w:r>
              <w:rPr>
                <w:sz w:val="20"/>
                <w:szCs w:val="20"/>
              </w:rPr>
              <w:t>Se recomienda revisar y aplicar de manera uniforme la cursiva en las palabras extranjeras no adaptadas al español.</w:t>
            </w:r>
          </w:p>
        </w:tc>
        <w:tc>
          <w:tcPr>
            <w:tcW w:w="4512" w:type="dxa"/>
            <w:tcMar>
              <w:top w:w="80" w:type="dxa"/>
              <w:left w:w="110" w:type="dxa"/>
              <w:bottom w:w="80" w:type="dxa"/>
              <w:right w:w="110" w:type="dxa"/>
            </w:tcMar>
          </w:tcPr>
          <w:p w14:paraId="28028368" w14:textId="77777777" w:rsidR="00BD5C74" w:rsidRDefault="00000000">
            <w:pPr>
              <w:spacing w:line="245" w:lineRule="auto"/>
            </w:pPr>
            <w:r>
              <w:rPr>
                <w:sz w:val="20"/>
                <w:szCs w:val="20"/>
              </w:rPr>
              <w:t xml:space="preserve">Se revisa todo el documento y las palabras en otro idioma, como </w:t>
            </w:r>
            <w:r>
              <w:rPr>
                <w:i/>
                <w:iCs/>
                <w:sz w:val="20"/>
                <w:szCs w:val="20"/>
              </w:rPr>
              <w:t>hardware</w:t>
            </w:r>
            <w:r>
              <w:rPr>
                <w:sz w:val="20"/>
                <w:szCs w:val="20"/>
              </w:rPr>
              <w:t xml:space="preserve">, </w:t>
            </w:r>
            <w:r>
              <w:rPr>
                <w:i/>
                <w:iCs/>
                <w:sz w:val="20"/>
                <w:szCs w:val="20"/>
              </w:rPr>
              <w:t>software</w:t>
            </w:r>
            <w:r>
              <w:rPr>
                <w:sz w:val="20"/>
                <w:szCs w:val="20"/>
              </w:rPr>
              <w:t xml:space="preserve">, </w:t>
            </w:r>
            <w:r>
              <w:rPr>
                <w:i/>
                <w:iCs/>
                <w:sz w:val="20"/>
                <w:szCs w:val="20"/>
              </w:rPr>
              <w:t>firmware</w:t>
            </w:r>
            <w:r>
              <w:rPr>
                <w:sz w:val="20"/>
                <w:szCs w:val="20"/>
              </w:rPr>
              <w:t xml:space="preserve">, </w:t>
            </w:r>
            <w:proofErr w:type="spellStart"/>
            <w:r>
              <w:rPr>
                <w:i/>
                <w:iCs/>
                <w:sz w:val="20"/>
                <w:szCs w:val="20"/>
              </w:rPr>
              <w:t>encoder</w:t>
            </w:r>
            <w:proofErr w:type="spellEnd"/>
            <w:r>
              <w:rPr>
                <w:sz w:val="20"/>
                <w:szCs w:val="20"/>
              </w:rPr>
              <w:t xml:space="preserve"> o </w:t>
            </w:r>
            <w:proofErr w:type="gramStart"/>
            <w:r>
              <w:rPr>
                <w:i/>
                <w:iCs/>
                <w:sz w:val="20"/>
                <w:szCs w:val="20"/>
              </w:rPr>
              <w:t>driver</w:t>
            </w:r>
            <w:proofErr w:type="gramEnd"/>
            <w:r>
              <w:rPr>
                <w:sz w:val="20"/>
                <w:szCs w:val="20"/>
              </w:rPr>
              <w:t>, se escriben siempre en cursiva. Los nombres de programas, archivos y comandos se escriben con letra de tipo código, también de forma uniforme.</w:t>
            </w:r>
          </w:p>
        </w:tc>
        <w:tc>
          <w:tcPr>
            <w:tcW w:w="2500" w:type="dxa"/>
            <w:tcMar>
              <w:top w:w="80" w:type="dxa"/>
              <w:left w:w="110" w:type="dxa"/>
              <w:bottom w:w="80" w:type="dxa"/>
              <w:right w:w="110" w:type="dxa"/>
            </w:tcMar>
          </w:tcPr>
          <w:p w14:paraId="0377E98D" w14:textId="77777777" w:rsidR="00BD5C74" w:rsidRDefault="00000000">
            <w:pPr>
              <w:spacing w:line="245" w:lineRule="auto"/>
            </w:pPr>
            <w:r>
              <w:rPr>
                <w:sz w:val="20"/>
                <w:szCs w:val="20"/>
              </w:rPr>
              <w:t>Todo el documento.</w:t>
            </w:r>
          </w:p>
        </w:tc>
      </w:tr>
    </w:tbl>
    <w:p w14:paraId="14DDA524" w14:textId="77777777" w:rsidR="0023503D" w:rsidRDefault="0023503D"/>
    <w:sectPr w:rsidR="0023503D">
      <w:pgSz w:w="12240" w:h="15840"/>
      <w:pgMar w:top="1134" w:right="1134" w:bottom="1134" w:left="1134" w:header="708"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57AAB" w14:textId="77777777" w:rsidR="003411B4" w:rsidRDefault="003411B4">
      <w:r>
        <w:separator/>
      </w:r>
    </w:p>
  </w:endnote>
  <w:endnote w:type="continuationSeparator" w:id="0">
    <w:p w14:paraId="4DE2BCBA" w14:textId="77777777" w:rsidR="003411B4" w:rsidRDefault="00341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39DAC" w14:textId="77777777" w:rsidR="003411B4" w:rsidRDefault="003411B4">
      <w:r>
        <w:separator/>
      </w:r>
    </w:p>
  </w:footnote>
  <w:footnote w:type="continuationSeparator" w:id="0">
    <w:p w14:paraId="701FC2DE" w14:textId="77777777" w:rsidR="003411B4" w:rsidRDefault="00341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405484"/>
    <w:multiLevelType w:val="hybridMultilevel"/>
    <w:tmpl w:val="F1421584"/>
    <w:lvl w:ilvl="0" w:tplc="D5B62728" w:tentative="1">
      <w:start w:val="1"/>
      <w:numFmt w:val="bullet"/>
      <w:lvlText w:val="●"/>
      <w:lvlJc w:val="left"/>
      <w:pPr>
        <w:ind w:left="720" w:hanging="360"/>
      </w:pPr>
    </w:lvl>
    <w:lvl w:ilvl="1" w:tplc="9072ED9A" w:tentative="1">
      <w:start w:val="1"/>
      <w:numFmt w:val="bullet"/>
      <w:lvlText w:val="○"/>
      <w:lvlJc w:val="left"/>
      <w:pPr>
        <w:ind w:left="1440" w:hanging="360"/>
      </w:pPr>
    </w:lvl>
    <w:lvl w:ilvl="2" w:tplc="C2BEA034" w:tentative="1">
      <w:start w:val="1"/>
      <w:numFmt w:val="bullet"/>
      <w:lvlText w:val="■"/>
      <w:lvlJc w:val="left"/>
      <w:pPr>
        <w:ind w:left="2160" w:hanging="360"/>
      </w:pPr>
    </w:lvl>
    <w:lvl w:ilvl="3" w:tplc="9196BA5E" w:tentative="1">
      <w:start w:val="1"/>
      <w:numFmt w:val="bullet"/>
      <w:lvlText w:val="●"/>
      <w:lvlJc w:val="left"/>
      <w:pPr>
        <w:ind w:left="2880" w:hanging="360"/>
      </w:pPr>
    </w:lvl>
    <w:lvl w:ilvl="4" w:tplc="1FF2DED0" w:tentative="1">
      <w:start w:val="1"/>
      <w:numFmt w:val="bullet"/>
      <w:lvlText w:val="○"/>
      <w:lvlJc w:val="left"/>
      <w:pPr>
        <w:ind w:left="3600" w:hanging="360"/>
      </w:pPr>
    </w:lvl>
    <w:lvl w:ilvl="5" w:tplc="5ABC7B12" w:tentative="1">
      <w:start w:val="1"/>
      <w:numFmt w:val="bullet"/>
      <w:lvlText w:val="■"/>
      <w:lvlJc w:val="left"/>
      <w:pPr>
        <w:ind w:left="4320" w:hanging="360"/>
      </w:pPr>
    </w:lvl>
    <w:lvl w:ilvl="6" w:tplc="CB08956C" w:tentative="1">
      <w:start w:val="1"/>
      <w:numFmt w:val="bullet"/>
      <w:lvlText w:val="●"/>
      <w:lvlJc w:val="left"/>
      <w:pPr>
        <w:ind w:left="5040" w:hanging="360"/>
      </w:pPr>
    </w:lvl>
    <w:lvl w:ilvl="7" w:tplc="E0CCAF7C" w:tentative="1">
      <w:start w:val="1"/>
      <w:numFmt w:val="bullet"/>
      <w:lvlText w:val="●"/>
      <w:lvlJc w:val="left"/>
      <w:pPr>
        <w:ind w:left="5760" w:hanging="360"/>
      </w:pPr>
    </w:lvl>
    <w:lvl w:ilvl="8" w:tplc="DC56851C" w:tentative="1">
      <w:start w:val="1"/>
      <w:numFmt w:val="bullet"/>
      <w:lvlText w:val="●"/>
      <w:lvlJc w:val="left"/>
      <w:pPr>
        <w:ind w:left="6480" w:hanging="360"/>
      </w:pPr>
    </w:lvl>
  </w:abstractNum>
  <w:num w:numId="1" w16cid:durableId="1396512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74"/>
    <w:rsid w:val="0023503D"/>
    <w:rsid w:val="00267EB7"/>
    <w:rsid w:val="003411B4"/>
    <w:rsid w:val="005F148E"/>
    <w:rsid w:val="0061646C"/>
    <w:rsid w:val="00B971F6"/>
    <w:rsid w:val="00BD5C74"/>
    <w:rsid w:val="00C87F05"/>
    <w:rsid w:val="00E46B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4E21"/>
  <w15:docId w15:val="{1C687BA8-C4BE-4927-B230-88CC68BBC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iedepgina">
    <w:name w:val="Pie de página"/>
    <w:basedOn w:val="Normal"/>
    <w:rPr>
      <w:sz w:val="18"/>
      <w:szCs w:val="18"/>
    </w:rPr>
  </w:style>
  <w:style w:type="paragraph" w:styleId="Header">
    <w:name w:val="header"/>
    <w:basedOn w:val="Normal"/>
    <w:link w:val="HeaderChar"/>
    <w:uiPriority w:val="99"/>
    <w:unhideWhenUsed/>
    <w:rsid w:val="005F148E"/>
    <w:pPr>
      <w:tabs>
        <w:tab w:val="center" w:pos="4419"/>
        <w:tab w:val="right" w:pos="8838"/>
      </w:tabs>
    </w:pPr>
  </w:style>
  <w:style w:type="character" w:customStyle="1" w:styleId="HeaderChar">
    <w:name w:val="Header Char"/>
    <w:basedOn w:val="DefaultParagraphFont"/>
    <w:link w:val="Header"/>
    <w:uiPriority w:val="99"/>
    <w:rsid w:val="005F148E"/>
  </w:style>
  <w:style w:type="paragraph" w:styleId="Footer">
    <w:name w:val="footer"/>
    <w:basedOn w:val="Normal"/>
    <w:link w:val="FooterChar"/>
    <w:uiPriority w:val="99"/>
    <w:unhideWhenUsed/>
    <w:rsid w:val="005F148E"/>
    <w:pPr>
      <w:tabs>
        <w:tab w:val="center" w:pos="4419"/>
        <w:tab w:val="right" w:pos="8838"/>
      </w:tabs>
    </w:pPr>
  </w:style>
  <w:style w:type="character" w:customStyle="1" w:styleId="FooterChar">
    <w:name w:val="Footer Char"/>
    <w:basedOn w:val="DefaultParagraphFont"/>
    <w:link w:val="Footer"/>
    <w:uiPriority w:val="99"/>
    <w:rsid w:val="005F14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1467</Words>
  <Characters>8363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Respuesta a las observaciones de la comisión</vt:lpstr>
    </vt:vector>
  </TitlesOfParts>
  <Company/>
  <LinksUpToDate>false</LinksUpToDate>
  <CharactersWithSpaces>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las observaciones de la comisión</dc:title>
  <dc:creator>Sebastián Valderas Neculqueo</dc:creator>
  <cp:lastModifiedBy>Sebastian Valderas</cp:lastModifiedBy>
  <cp:revision>3</cp:revision>
  <dcterms:created xsi:type="dcterms:W3CDTF">2026-10-21T11:32:00Z</dcterms:created>
  <dcterms:modified xsi:type="dcterms:W3CDTF">2026-10-21T15:08:00Z</dcterms:modified>
</cp:coreProperties>
</file>