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8641" w14:textId="77777777" w:rsidR="00BD5C74" w:rsidRDefault="00000000">
      <w:pPr>
        <w:spacing w:after="200"/>
      </w:pPr>
      <w:r>
        <w:rPr>
          <w:b/>
          <w:bCs/>
          <w:sz w:val="30"/>
          <w:szCs w:val="30"/>
        </w:rPr>
        <w:t>Respuesta a las observaciones de la comisión</w:t>
      </w:r>
    </w:p>
    <w:p w14:paraId="05F01EF1" w14:textId="77777777" w:rsidR="00BD5C74" w:rsidRDefault="00000000">
      <w:pPr>
        <w:spacing w:after="40" w:line="276" w:lineRule="auto"/>
      </w:pPr>
      <w:r>
        <w:rPr>
          <w:b/>
          <w:bCs/>
        </w:rPr>
        <w:t xml:space="preserve">Trabajo de titulación: </w:t>
      </w:r>
      <w:r>
        <w:t>Navegación y exploración autónoma de interiores utilizando un robot móvil de tracción diferencial</w:t>
      </w:r>
    </w:p>
    <w:p w14:paraId="67DFC749" w14:textId="77777777" w:rsidR="00BD5C74" w:rsidRDefault="00000000">
      <w:pPr>
        <w:spacing w:after="200" w:line="276" w:lineRule="auto"/>
      </w:pPr>
      <w:r>
        <w:rPr>
          <w:b/>
          <w:bCs/>
        </w:rPr>
        <w:t xml:space="preserve">Profesores correctores: </w:t>
      </w:r>
      <w:r>
        <w:t>Lisbel Bárzaga Martell y Guillermo González Romero</w:t>
      </w:r>
    </w:p>
    <w:p w14:paraId="0EED1D28" w14:textId="77777777" w:rsidR="00BD5C74" w:rsidRDefault="00000000">
      <w:pPr>
        <w:spacing w:after="240" w:line="276" w:lineRule="auto"/>
      </w:pPr>
      <w:r>
        <w:t>Este documento resume los problemas que encontraron los profesores correctores en el trabajo de titulación, la solución que se incorpora en la tesis y el lugar donde se encuentra. Las referencias citadas están en la bibliografía de la tesis.</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560"/>
        <w:gridCol w:w="2400"/>
        <w:gridCol w:w="4512"/>
        <w:gridCol w:w="2500"/>
      </w:tblGrid>
      <w:tr w:rsidR="00BD5C74" w14:paraId="149B7973" w14:textId="77777777">
        <w:trPr>
          <w:cantSplit/>
          <w:tblHeader/>
        </w:trPr>
        <w:tc>
          <w:tcPr>
            <w:tcW w:w="560" w:type="dxa"/>
            <w:shd w:val="clear" w:color="auto" w:fill="D9D9D9"/>
            <w:tcMar>
              <w:top w:w="80" w:type="dxa"/>
              <w:left w:w="110" w:type="dxa"/>
              <w:bottom w:w="80" w:type="dxa"/>
              <w:right w:w="110" w:type="dxa"/>
            </w:tcMar>
          </w:tcPr>
          <w:p w14:paraId="39842EA5" w14:textId="77777777" w:rsidR="00BD5C74" w:rsidRDefault="00000000">
            <w:pPr>
              <w:spacing w:line="245" w:lineRule="auto"/>
              <w:jc w:val="center"/>
            </w:pPr>
            <w:r>
              <w:rPr>
                <w:b/>
                <w:bCs/>
                <w:sz w:val="20"/>
                <w:szCs w:val="20"/>
              </w:rPr>
              <w:t>N.º</w:t>
            </w:r>
          </w:p>
        </w:tc>
        <w:tc>
          <w:tcPr>
            <w:tcW w:w="2400" w:type="dxa"/>
            <w:shd w:val="clear" w:color="auto" w:fill="D9D9D9"/>
            <w:tcMar>
              <w:top w:w="80" w:type="dxa"/>
              <w:left w:w="110" w:type="dxa"/>
              <w:bottom w:w="80" w:type="dxa"/>
              <w:right w:w="110" w:type="dxa"/>
            </w:tcMar>
          </w:tcPr>
          <w:p w14:paraId="1EFE42BD" w14:textId="77777777" w:rsidR="00BD5C74" w:rsidRDefault="00000000">
            <w:pPr>
              <w:spacing w:line="245" w:lineRule="auto"/>
            </w:pPr>
            <w:r>
              <w:rPr>
                <w:b/>
                <w:bCs/>
                <w:sz w:val="20"/>
                <w:szCs w:val="20"/>
              </w:rPr>
              <w:t>Problemática encontrada</w:t>
            </w:r>
          </w:p>
        </w:tc>
        <w:tc>
          <w:tcPr>
            <w:tcW w:w="4512" w:type="dxa"/>
            <w:shd w:val="clear" w:color="auto" w:fill="D9D9D9"/>
            <w:tcMar>
              <w:top w:w="80" w:type="dxa"/>
              <w:left w:w="110" w:type="dxa"/>
              <w:bottom w:w="80" w:type="dxa"/>
              <w:right w:w="110" w:type="dxa"/>
            </w:tcMar>
          </w:tcPr>
          <w:p w14:paraId="1B531B7D" w14:textId="77777777" w:rsidR="00BD5C74" w:rsidRDefault="00000000">
            <w:pPr>
              <w:spacing w:line="245" w:lineRule="auto"/>
            </w:pPr>
            <w:r>
              <w:rPr>
                <w:b/>
                <w:bCs/>
                <w:sz w:val="20"/>
                <w:szCs w:val="20"/>
              </w:rPr>
              <w:t>Solución adoptada</w:t>
            </w:r>
          </w:p>
        </w:tc>
        <w:tc>
          <w:tcPr>
            <w:tcW w:w="2500" w:type="dxa"/>
            <w:shd w:val="clear" w:color="auto" w:fill="D9D9D9"/>
            <w:tcMar>
              <w:top w:w="80" w:type="dxa"/>
              <w:left w:w="110" w:type="dxa"/>
              <w:bottom w:w="80" w:type="dxa"/>
              <w:right w:w="110" w:type="dxa"/>
            </w:tcMar>
          </w:tcPr>
          <w:p w14:paraId="5E52412E" w14:textId="77777777" w:rsidR="00BD5C74" w:rsidRDefault="00000000">
            <w:pPr>
              <w:spacing w:line="245" w:lineRule="auto"/>
            </w:pPr>
            <w:r>
              <w:rPr>
                <w:b/>
                <w:bCs/>
                <w:sz w:val="20"/>
                <w:szCs w:val="20"/>
              </w:rPr>
              <w:t>Ubicación en la tesis</w:t>
            </w:r>
          </w:p>
        </w:tc>
      </w:tr>
      <w:tr w:rsidR="00BD5C74" w14:paraId="255891F5" w14:textId="77777777">
        <w:trPr>
          <w:cantSplit/>
        </w:trPr>
        <w:tc>
          <w:tcPr>
            <w:tcW w:w="9972" w:type="dxa"/>
            <w:gridSpan w:val="4"/>
            <w:shd w:val="clear" w:color="auto" w:fill="F2F2F2"/>
            <w:tcMar>
              <w:top w:w="80" w:type="dxa"/>
              <w:left w:w="110" w:type="dxa"/>
              <w:bottom w:w="80" w:type="dxa"/>
              <w:right w:w="110" w:type="dxa"/>
            </w:tcMar>
          </w:tcPr>
          <w:p w14:paraId="2B8EEE4C" w14:textId="77777777" w:rsidR="00BD5C74" w:rsidRDefault="00000000">
            <w:pPr>
              <w:keepNext/>
              <w:spacing w:line="245" w:lineRule="auto"/>
            </w:pPr>
            <w:r>
              <w:rPr>
                <w:b/>
                <w:bCs/>
                <w:sz w:val="20"/>
                <w:szCs w:val="20"/>
              </w:rPr>
              <w:t>Profesora Lisbel Bárzaga Martell</w:t>
            </w:r>
          </w:p>
        </w:tc>
      </w:tr>
      <w:tr w:rsidR="00BD5C74" w14:paraId="0802681F" w14:textId="77777777">
        <w:trPr>
          <w:cantSplit/>
        </w:trPr>
        <w:tc>
          <w:tcPr>
            <w:tcW w:w="560" w:type="dxa"/>
            <w:tcMar>
              <w:top w:w="80" w:type="dxa"/>
              <w:left w:w="110" w:type="dxa"/>
              <w:bottom w:w="80" w:type="dxa"/>
              <w:right w:w="110" w:type="dxa"/>
            </w:tcMar>
          </w:tcPr>
          <w:p w14:paraId="51E42E42" w14:textId="77777777" w:rsidR="00BD5C74" w:rsidRDefault="00000000">
            <w:pPr>
              <w:spacing w:line="245" w:lineRule="auto"/>
              <w:jc w:val="center"/>
            </w:pPr>
            <w:r>
              <w:rPr>
                <w:sz w:val="20"/>
                <w:szCs w:val="20"/>
              </w:rPr>
              <w:t>1</w:t>
            </w:r>
          </w:p>
        </w:tc>
        <w:tc>
          <w:tcPr>
            <w:tcW w:w="2400" w:type="dxa"/>
            <w:tcMar>
              <w:top w:w="80" w:type="dxa"/>
              <w:left w:w="110" w:type="dxa"/>
              <w:bottom w:w="80" w:type="dxa"/>
              <w:right w:w="110" w:type="dxa"/>
            </w:tcMar>
          </w:tcPr>
          <w:p w14:paraId="39CF740B" w14:textId="77777777" w:rsidR="00BD5C74" w:rsidRDefault="00000000">
            <w:pPr>
              <w:spacing w:line="245" w:lineRule="auto"/>
            </w:pPr>
            <w:r>
              <w:rPr>
                <w:sz w:val="20"/>
                <w:szCs w:val="20"/>
              </w:rPr>
              <w:t>El controlador de velocidad de cada rueda, que ajusta la potencia del motor para que la rueda gire a la velocidad pedida, se presenta como un controlador PID. Sus tres ganancias, que son los números que fijan cuánto reacciona el controlador, se llaman proporcional, integral y derivativa, pero no cumplen las funciones que indican esos nombres.</w:t>
            </w:r>
          </w:p>
        </w:tc>
        <w:tc>
          <w:tcPr>
            <w:tcW w:w="4512" w:type="dxa"/>
            <w:tcMar>
              <w:top w:w="80" w:type="dxa"/>
              <w:left w:w="110" w:type="dxa"/>
              <w:bottom w:w="80" w:type="dxa"/>
              <w:right w:w="110" w:type="dxa"/>
            </w:tcMar>
          </w:tcPr>
          <w:p w14:paraId="66A38A35" w14:textId="77777777" w:rsidR="00613F76" w:rsidRDefault="00000000">
            <w:pPr>
              <w:spacing w:line="245" w:lineRule="auto"/>
            </w:pPr>
            <w:r>
              <w:rPr>
                <w:sz w:val="20"/>
                <w:szCs w:val="20"/>
              </w:rPr>
              <w:t xml:space="preserve">La tesis explica qué hace realmente cada ganancia. La llamada proporcional actúa como integral, la llamada derivativa como proporcional y la llamada integral agrega una segunda acumulación del error. Sin esa segunda acumulación, la ley es un PI incremental, es decir, un PI que en cada ciclo calcula cuánto cambiar la potencia, en la forma descrita por Åström y Hägglund (2006/2009, Sec. 13.4). Por eso la tesis la llama PI incremental y deja el nombre PID para la familia de controladores, el objetivo específico 2 y los nombres heredados del </w:t>
            </w:r>
            <w:r>
              <w:rPr>
                <w:i/>
                <w:iCs/>
                <w:sz w:val="20"/>
                <w:szCs w:val="20"/>
              </w:rPr>
              <w:t>firmware</w:t>
            </w:r>
            <w:r>
              <w:rPr>
                <w:sz w:val="20"/>
                <w:szCs w:val="20"/>
              </w:rPr>
              <w:t xml:space="preserve">. El PI incremental utilizado es uno de los controladores más usados en robótica móvil. El PID es el algoritmo de control más usado en sistemas robóticos (Raj y Kos, 2024) y en robots móviles (Bitriá y Palacín, 2022), y el PI es el controlador más común (Åström y Hägglund, 2006/2009, Sec. 3.6). La forma incremental del PID regula la velocidad de las ruedas en robots como los de Casini et al. (2010), Ma et al. (2024), Mori et al. (2024) y Wu et al. (2026), este último con ROS 2 y consignas por puerto serie, como en este trabajo. Esta ley viene del </w:t>
            </w:r>
            <w:r>
              <w:rPr>
                <w:i/>
                <w:iCs/>
                <w:sz w:val="20"/>
                <w:szCs w:val="20"/>
              </w:rPr>
              <w:t>firmware</w:t>
            </w:r>
            <w:r>
              <w:rPr>
                <w:sz w:val="20"/>
                <w:szCs w:val="20"/>
              </w:rPr>
              <w:t xml:space="preserve"> original y el trabajo conserva su estructura.</w:t>
            </w:r>
          </w:p>
        </w:tc>
        <w:tc>
          <w:tcPr>
            <w:tcW w:w="2500" w:type="dxa"/>
            <w:tcMar>
              <w:top w:w="80" w:type="dxa"/>
              <w:left w:w="110" w:type="dxa"/>
              <w:bottom w:w="80" w:type="dxa"/>
              <w:right w:w="110" w:type="dxa"/>
            </w:tcMar>
          </w:tcPr>
          <w:p w14:paraId="2AFA06A5" w14:textId="77777777" w:rsidR="00613F76" w:rsidRDefault="00000000">
            <w:pPr>
              <w:spacing w:after="60" w:line="245" w:lineRule="auto"/>
            </w:pPr>
            <w:r>
              <w:rPr>
                <w:sz w:val="20"/>
                <w:szCs w:val="20"/>
              </w:rPr>
              <w:t>Sección 4.4.3, p. 47 y 48: qué hace realmente cada ganancia y por qué la ley es un PI incremental.</w:t>
            </w:r>
          </w:p>
          <w:p w14:paraId="54DDB74A" w14:textId="77777777" w:rsidR="00613F76" w:rsidRDefault="00000000">
            <w:pPr>
              <w:spacing w:after="60" w:line="245" w:lineRule="auto"/>
            </w:pPr>
            <w:r>
              <w:rPr>
                <w:sz w:val="20"/>
                <w:szCs w:val="20"/>
              </w:rPr>
              <w:t>Sección 4.4.3, p. 49: uso del PI incremental en robótica móvil, con sus referencias.</w:t>
            </w:r>
          </w:p>
          <w:p w14:paraId="58CD796F" w14:textId="77777777" w:rsidR="00613F76" w:rsidRDefault="00000000">
            <w:pPr>
              <w:spacing w:after="60" w:line="245" w:lineRule="auto"/>
            </w:pPr>
            <w:r>
              <w:rPr>
                <w:sz w:val="20"/>
                <w:szCs w:val="20"/>
              </w:rPr>
              <w:t>Tabla 4.4, p. 50: valores equivalentes del PI incremental.</w:t>
            </w:r>
          </w:p>
          <w:p w14:paraId="5DB87236" w14:textId="77777777" w:rsidR="00613F76" w:rsidRDefault="00000000">
            <w:pPr>
              <w:spacing w:line="245" w:lineRule="auto"/>
            </w:pPr>
            <w:r>
              <w:rPr>
                <w:sz w:val="20"/>
                <w:szCs w:val="20"/>
              </w:rPr>
              <w:t xml:space="preserve">Anexo 4.5, p. 117: origen de la ley en el </w:t>
            </w:r>
            <w:r>
              <w:rPr>
                <w:i/>
                <w:iCs/>
                <w:sz w:val="20"/>
                <w:szCs w:val="20"/>
              </w:rPr>
              <w:t>firmware</w:t>
            </w:r>
            <w:r>
              <w:rPr>
                <w:sz w:val="20"/>
                <w:szCs w:val="20"/>
              </w:rPr>
              <w:t xml:space="preserve"> original.</w:t>
            </w:r>
          </w:p>
        </w:tc>
      </w:tr>
      <w:tr w:rsidR="00BD5C74" w14:paraId="5ED8E0C6" w14:textId="77777777">
        <w:trPr>
          <w:cantSplit/>
        </w:trPr>
        <w:tc>
          <w:tcPr>
            <w:tcW w:w="560" w:type="dxa"/>
            <w:tcMar>
              <w:top w:w="80" w:type="dxa"/>
              <w:left w:w="110" w:type="dxa"/>
              <w:bottom w:w="80" w:type="dxa"/>
              <w:right w:w="110" w:type="dxa"/>
            </w:tcMar>
          </w:tcPr>
          <w:p w14:paraId="5F613351" w14:textId="77777777" w:rsidR="00BD5C74" w:rsidRDefault="00000000">
            <w:pPr>
              <w:spacing w:line="245" w:lineRule="auto"/>
              <w:jc w:val="center"/>
            </w:pPr>
            <w:r>
              <w:rPr>
                <w:sz w:val="20"/>
                <w:szCs w:val="20"/>
              </w:rPr>
              <w:lastRenderedPageBreak/>
              <w:t>2</w:t>
            </w:r>
          </w:p>
        </w:tc>
        <w:tc>
          <w:tcPr>
            <w:tcW w:w="2400" w:type="dxa"/>
            <w:tcMar>
              <w:top w:w="80" w:type="dxa"/>
              <w:left w:w="110" w:type="dxa"/>
              <w:bottom w:w="80" w:type="dxa"/>
              <w:right w:w="110" w:type="dxa"/>
            </w:tcMar>
          </w:tcPr>
          <w:p w14:paraId="2EFAA443" w14:textId="77777777" w:rsidR="00BD5C74" w:rsidRDefault="00000000">
            <w:pPr>
              <w:spacing w:line="245" w:lineRule="auto"/>
            </w:pPr>
            <w:r>
              <w:rPr>
                <w:sz w:val="20"/>
                <w:szCs w:val="20"/>
              </w:rPr>
              <w:t>No se justifica por qué se conserva esta ley de control poco habitual en lugar de reemplazarla por otra.</w:t>
            </w:r>
          </w:p>
        </w:tc>
        <w:tc>
          <w:tcPr>
            <w:tcW w:w="4512" w:type="dxa"/>
            <w:tcMar>
              <w:top w:w="80" w:type="dxa"/>
              <w:left w:w="110" w:type="dxa"/>
              <w:bottom w:w="80" w:type="dxa"/>
              <w:right w:w="110" w:type="dxa"/>
            </w:tcMar>
          </w:tcPr>
          <w:p w14:paraId="607C5F27" w14:textId="77777777" w:rsidR="00613F76" w:rsidRDefault="00000000">
            <w:pPr>
              <w:spacing w:line="245" w:lineRule="auto"/>
            </w:pPr>
            <w:r>
              <w:rPr>
                <w:sz w:val="20"/>
                <w:szCs w:val="20"/>
              </w:rPr>
              <w:t xml:space="preserve">La tesis entrega tres razones para conservar la ley. La primera es que no es una ley poco habitual. El PI incremental utilizado es uno de los controladores más usados en robótica móvil, como muestran Raj y Kos (2024), Bitriá y Palacín (2022) y los ejemplos de la fila 1. La segunda es la compatibilidad. La interfaz que conecta el Arduino con ROS 2 ya usa el protocolo de este </w:t>
            </w:r>
            <w:r>
              <w:rPr>
                <w:i/>
                <w:iCs/>
                <w:sz w:val="20"/>
                <w:szCs w:val="20"/>
              </w:rPr>
              <w:t>firmware</w:t>
            </w:r>
            <w:r>
              <w:rPr>
                <w:sz w:val="20"/>
                <w:szCs w:val="20"/>
              </w:rPr>
              <w:t>, y conservar la ley permite concentrar el trabajo en la navegación y la exploración. Los fabricantes también conservan la forma incremental por compatibilidad con equipos existentes (Åström y Hägglund, 2006/2009, Sec. 13.4). La tercera es que la forma incremental facilita evitar que el controlador siga acumulando error cuando el motor ya entrega su potencia máxima (Åström y Hägglund, 2006/2009, Secs. 13.1 y 13.4), por lo que también se usa en implementaciones de referencia del PID (Sundström et al., 2024). Además, la ley sigue la velocidad pedida y es estable (fila 3). Compararla con otras leyes no es objetivo del trabajo y queda como trabajo futuro.</w:t>
            </w:r>
          </w:p>
        </w:tc>
        <w:tc>
          <w:tcPr>
            <w:tcW w:w="2500" w:type="dxa"/>
            <w:tcMar>
              <w:top w:w="80" w:type="dxa"/>
              <w:left w:w="110" w:type="dxa"/>
              <w:bottom w:w="80" w:type="dxa"/>
              <w:right w:w="110" w:type="dxa"/>
            </w:tcMar>
          </w:tcPr>
          <w:p w14:paraId="1E5B3994" w14:textId="77777777" w:rsidR="00613F76" w:rsidRDefault="00000000">
            <w:pPr>
              <w:spacing w:after="60" w:line="245" w:lineRule="auto"/>
            </w:pPr>
            <w:r>
              <w:rPr>
                <w:sz w:val="20"/>
                <w:szCs w:val="20"/>
              </w:rPr>
              <w:t>Sección 4.4.3, p. 49: tres razones para conservar la ley, con sus referencias.</w:t>
            </w:r>
          </w:p>
          <w:p w14:paraId="2CBCB783" w14:textId="77777777" w:rsidR="00613F76" w:rsidRDefault="00000000">
            <w:pPr>
              <w:spacing w:line="245" w:lineRule="auto"/>
            </w:pPr>
            <w:r>
              <w:rPr>
                <w:sz w:val="20"/>
                <w:szCs w:val="20"/>
              </w:rPr>
              <w:t>Trabajo futuro, punto 6, p. 84: comparación con otras leyes.</w:t>
            </w:r>
          </w:p>
        </w:tc>
      </w:tr>
      <w:tr w:rsidR="00BD5C74" w14:paraId="75AD588F" w14:textId="77777777">
        <w:trPr>
          <w:cantSplit/>
        </w:trPr>
        <w:tc>
          <w:tcPr>
            <w:tcW w:w="560" w:type="dxa"/>
            <w:tcMar>
              <w:top w:w="80" w:type="dxa"/>
              <w:left w:w="110" w:type="dxa"/>
              <w:bottom w:w="80" w:type="dxa"/>
              <w:right w:w="110" w:type="dxa"/>
            </w:tcMar>
          </w:tcPr>
          <w:p w14:paraId="4133F102" w14:textId="77777777" w:rsidR="00BD5C74" w:rsidRDefault="00000000">
            <w:pPr>
              <w:spacing w:line="245" w:lineRule="auto"/>
              <w:jc w:val="center"/>
            </w:pPr>
            <w:r>
              <w:rPr>
                <w:sz w:val="20"/>
                <w:szCs w:val="20"/>
              </w:rPr>
              <w:t>3</w:t>
            </w:r>
          </w:p>
        </w:tc>
        <w:tc>
          <w:tcPr>
            <w:tcW w:w="2400" w:type="dxa"/>
            <w:tcMar>
              <w:top w:w="80" w:type="dxa"/>
              <w:left w:w="110" w:type="dxa"/>
              <w:bottom w:w="80" w:type="dxa"/>
              <w:right w:w="110" w:type="dxa"/>
            </w:tcMar>
          </w:tcPr>
          <w:p w14:paraId="00B1B4D8" w14:textId="77777777" w:rsidR="00BD5C74" w:rsidRDefault="00000000">
            <w:pPr>
              <w:spacing w:line="245" w:lineRule="auto"/>
            </w:pPr>
            <w:r>
              <w:rPr>
                <w:sz w:val="20"/>
                <w:szCs w:val="20"/>
              </w:rPr>
              <w:t>No se analiza qué garantías de estabilidad ofrece la ley de control, es decir, si asegura que la velocidad de la rueda no oscile ni crezca sin control.</w:t>
            </w:r>
          </w:p>
        </w:tc>
        <w:tc>
          <w:tcPr>
            <w:tcW w:w="4512" w:type="dxa"/>
            <w:tcMar>
              <w:top w:w="80" w:type="dxa"/>
              <w:left w:w="110" w:type="dxa"/>
              <w:bottom w:w="80" w:type="dxa"/>
              <w:right w:w="110" w:type="dxa"/>
            </w:tcMar>
          </w:tcPr>
          <w:p w14:paraId="3C737126" w14:textId="73F78AC6" w:rsidR="00613F76" w:rsidRDefault="0097760F">
            <w:pPr>
              <w:spacing w:line="245" w:lineRule="auto"/>
            </w:pPr>
            <w:r>
              <w:rPr>
                <w:sz w:val="20"/>
                <w:szCs w:val="20"/>
              </w:rPr>
              <w:t>El PI incremental es una forma clásica del PI, descrita en la misma fuente de las filas 1 y 2 (Åström y Hägglund, 2006/2009, Sec. 13.4). Por eso su estabilidad es la de un PI clásico con las mismas ganancias, adecuado para procesos de primer orden como el modelo de cada rueda (Åström y Hägglund, 2006/2009, Sec. 3.6). Como verificación complementaria, la tesis analiza la estabilidad con el modelo de cada rueda en dos escenarios de retardo, cero y una décima de segundo (fila 5). En ambos el control es estable, y su sensibilidad máxima, un número que resume cuánto tolera que el motor real difiera del modelo, queda dentro de los valores típicos de 1.2 a 2.0 (Wittenmark et al., 2002, Sec. 5). Según el modelo, solo dejaría de ser estable con un retardo total de unas cuatro décimas de segundo. En 625 variantes del motor, todas son estables sin retardo, y con una décima de segundo solo se pierde la estabilidad si el motor entregara, por cada nivel de potencia, más de 4.4 veces la velocidad que indica el modelo, o 2.8 veces en el peor caso de la rueda izquierda. El análisis es lineal y no incluye la saturación ni los cálculos con números enteros del Arduino.</w:t>
            </w:r>
          </w:p>
        </w:tc>
        <w:tc>
          <w:tcPr>
            <w:tcW w:w="2500" w:type="dxa"/>
            <w:tcMar>
              <w:top w:w="80" w:type="dxa"/>
              <w:left w:w="110" w:type="dxa"/>
              <w:bottom w:w="80" w:type="dxa"/>
              <w:right w:w="110" w:type="dxa"/>
            </w:tcMar>
          </w:tcPr>
          <w:p w14:paraId="33C89EDD" w14:textId="77777777" w:rsidR="00613F76" w:rsidRDefault="00000000">
            <w:pPr>
              <w:spacing w:after="60" w:line="245" w:lineRule="auto"/>
            </w:pPr>
            <w:r>
              <w:rPr>
                <w:sz w:val="20"/>
                <w:szCs w:val="20"/>
              </w:rPr>
              <w:t>Sección 4.4.3, p. 51: forma clásica del PI, su estabilidad y resumen del análisis.</w:t>
            </w:r>
          </w:p>
          <w:p w14:paraId="32836458" w14:textId="77777777" w:rsidR="00613F76" w:rsidRDefault="00000000">
            <w:pPr>
              <w:spacing w:line="245" w:lineRule="auto"/>
            </w:pPr>
            <w:r>
              <w:rPr>
                <w:sz w:val="20"/>
                <w:szCs w:val="20"/>
              </w:rPr>
              <w:t>Anexo 4.12 y Tabla A4.5, p. 124 a 127: análisis completo y resultados.</w:t>
            </w:r>
          </w:p>
        </w:tc>
      </w:tr>
      <w:tr w:rsidR="00BD5C74" w14:paraId="3BC995C3" w14:textId="77777777">
        <w:trPr>
          <w:cantSplit/>
        </w:trPr>
        <w:tc>
          <w:tcPr>
            <w:tcW w:w="560" w:type="dxa"/>
            <w:tcMar>
              <w:top w:w="80" w:type="dxa"/>
              <w:left w:w="110" w:type="dxa"/>
              <w:bottom w:w="80" w:type="dxa"/>
              <w:right w:w="110" w:type="dxa"/>
            </w:tcMar>
          </w:tcPr>
          <w:p w14:paraId="162B68ED" w14:textId="77777777" w:rsidR="00BD5C74" w:rsidRDefault="00000000">
            <w:pPr>
              <w:spacing w:line="245" w:lineRule="auto"/>
              <w:jc w:val="center"/>
            </w:pPr>
            <w:r>
              <w:rPr>
                <w:sz w:val="20"/>
                <w:szCs w:val="20"/>
              </w:rPr>
              <w:lastRenderedPageBreak/>
              <w:t>4</w:t>
            </w:r>
          </w:p>
        </w:tc>
        <w:tc>
          <w:tcPr>
            <w:tcW w:w="2400" w:type="dxa"/>
            <w:tcMar>
              <w:top w:w="80" w:type="dxa"/>
              <w:left w:w="110" w:type="dxa"/>
              <w:bottom w:w="80" w:type="dxa"/>
              <w:right w:w="110" w:type="dxa"/>
            </w:tcMar>
          </w:tcPr>
          <w:p w14:paraId="1A65130F" w14:textId="77777777" w:rsidR="00BD5C74" w:rsidRDefault="00000000">
            <w:pPr>
              <w:spacing w:line="245" w:lineRule="auto"/>
            </w:pPr>
            <w:r>
              <w:rPr>
                <w:sz w:val="20"/>
                <w:szCs w:val="20"/>
              </w:rPr>
              <w:t>No se analiza qué desempeño ofrece la ley de control en las condiciones en que opera el robot.</w:t>
            </w:r>
          </w:p>
        </w:tc>
        <w:tc>
          <w:tcPr>
            <w:tcW w:w="4512" w:type="dxa"/>
            <w:tcMar>
              <w:top w:w="80" w:type="dxa"/>
              <w:left w:w="110" w:type="dxa"/>
              <w:bottom w:w="80" w:type="dxa"/>
              <w:right w:w="110" w:type="dxa"/>
            </w:tcMar>
          </w:tcPr>
          <w:p w14:paraId="3298DA73" w14:textId="3D2635A1" w:rsidR="00613F76" w:rsidRDefault="00000000">
            <w:pPr>
              <w:spacing w:line="245" w:lineRule="auto"/>
            </w:pPr>
            <w:r>
              <w:rPr>
                <w:sz w:val="20"/>
                <w:szCs w:val="20"/>
              </w:rPr>
              <w:t>Este trabajo no compara el desempeño de distintos controladores, porque eso no forma parte de sus objetivos. Lo que verifica es que la ley usada cumple su función en las condiciones en que opera el robot, como se espera de un PI aplicado a un proceso de primer orden (Åström y Hägglund, 2006/2009, Sec. 3.6). Según el modelo, a su velocidad máxima cada rueda necesita cerca de 180 de los 255 niveles de potencia (PWM), así que el motor trabaja con margen. En el ensayo, hecho a 0.13 metros por segundo, el límite de velocidad lineal del robot, se miden el error final, el tiempo de subida y el sobreimpulso, indicadores que también usan Gökçe et al. (2021). Ambas ruedas alcanzan la velocidad pedida sin sobrepasarla de forma apreciable y con un error casi nulo. La comparación con otras leyes y las velocidades bajas, como al girar sobre su propio eje, quedan como trabajo futuro.</w:t>
            </w:r>
          </w:p>
        </w:tc>
        <w:tc>
          <w:tcPr>
            <w:tcW w:w="2500" w:type="dxa"/>
            <w:tcMar>
              <w:top w:w="80" w:type="dxa"/>
              <w:left w:w="110" w:type="dxa"/>
              <w:bottom w:w="80" w:type="dxa"/>
              <w:right w:w="110" w:type="dxa"/>
            </w:tcMar>
          </w:tcPr>
          <w:p w14:paraId="2D0149DE" w14:textId="77777777" w:rsidR="00613F76" w:rsidRDefault="00000000">
            <w:pPr>
              <w:spacing w:after="60" w:line="245" w:lineRule="auto"/>
            </w:pPr>
            <w:r>
              <w:rPr>
                <w:sz w:val="20"/>
                <w:szCs w:val="20"/>
              </w:rPr>
              <w:t>Sección 4.4.3, p. 49: la elección no responde a una comparación de desempeño.</w:t>
            </w:r>
          </w:p>
          <w:p w14:paraId="257B8631" w14:textId="77777777" w:rsidR="00613F76" w:rsidRDefault="00000000">
            <w:pPr>
              <w:spacing w:after="60" w:line="245" w:lineRule="auto"/>
            </w:pPr>
            <w:r>
              <w:rPr>
                <w:sz w:val="20"/>
                <w:szCs w:val="20"/>
              </w:rPr>
              <w:t>Sección 5.2 y Tabla 5.3, p. 66 a 69: resultado del ensayo de velocidad.</w:t>
            </w:r>
          </w:p>
          <w:p w14:paraId="0ED7D6A7" w14:textId="77777777" w:rsidR="00613F76" w:rsidRDefault="00000000">
            <w:pPr>
              <w:spacing w:after="60" w:line="245" w:lineRule="auto"/>
            </w:pPr>
            <w:r>
              <w:rPr>
                <w:sz w:val="20"/>
                <w:szCs w:val="20"/>
              </w:rPr>
              <w:t>Anexo 4.12, p. 126: condiciones de operación y lo que el análisis no cubre.</w:t>
            </w:r>
          </w:p>
          <w:p w14:paraId="095277C6" w14:textId="77777777" w:rsidR="00613F76" w:rsidRDefault="00000000">
            <w:pPr>
              <w:spacing w:line="245" w:lineRule="auto"/>
            </w:pPr>
            <w:r>
              <w:rPr>
                <w:sz w:val="20"/>
                <w:szCs w:val="20"/>
              </w:rPr>
              <w:t>Trabajo futuro, punto 6, p. 84: comparación con otras leyes y evaluación a velocidades bajas.</w:t>
            </w:r>
          </w:p>
        </w:tc>
      </w:tr>
      <w:tr w:rsidR="00BD5C74" w14:paraId="7C78F3FA" w14:textId="77777777">
        <w:trPr>
          <w:cantSplit/>
        </w:trPr>
        <w:tc>
          <w:tcPr>
            <w:tcW w:w="560" w:type="dxa"/>
            <w:tcMar>
              <w:top w:w="80" w:type="dxa"/>
              <w:left w:w="110" w:type="dxa"/>
              <w:bottom w:w="80" w:type="dxa"/>
              <w:right w:w="110" w:type="dxa"/>
            </w:tcMar>
          </w:tcPr>
          <w:p w14:paraId="3F832179" w14:textId="77777777" w:rsidR="00BD5C74" w:rsidRDefault="00000000">
            <w:pPr>
              <w:spacing w:line="245" w:lineRule="auto"/>
              <w:jc w:val="center"/>
            </w:pPr>
            <w:r>
              <w:rPr>
                <w:sz w:val="20"/>
                <w:szCs w:val="20"/>
              </w:rPr>
              <w:t>5</w:t>
            </w:r>
          </w:p>
        </w:tc>
        <w:tc>
          <w:tcPr>
            <w:tcW w:w="2400" w:type="dxa"/>
            <w:tcMar>
              <w:top w:w="80" w:type="dxa"/>
              <w:left w:w="110" w:type="dxa"/>
              <w:bottom w:w="80" w:type="dxa"/>
              <w:right w:w="110" w:type="dxa"/>
            </w:tcMar>
          </w:tcPr>
          <w:p w14:paraId="24A7EB50" w14:textId="77777777" w:rsidR="00BD5C74" w:rsidRDefault="00000000">
            <w:pPr>
              <w:spacing w:line="245" w:lineRule="auto"/>
            </w:pPr>
            <w:r>
              <w:rPr>
                <w:sz w:val="20"/>
                <w:szCs w:val="20"/>
              </w:rPr>
              <w:t>El retardo del modelo de cada rueda, que es lo que tarda el motor en empezar a reaccionar, es menor que el intervalo de una décima de segundo con que se tomaron los datos, por lo que su valor no es confiable. Se pide justificar el uso del modelo con retardo, llamado FOPDT, frente al mismo modelo sin retardo.</w:t>
            </w:r>
          </w:p>
        </w:tc>
        <w:tc>
          <w:tcPr>
            <w:tcW w:w="4512" w:type="dxa"/>
            <w:tcMar>
              <w:top w:w="80" w:type="dxa"/>
              <w:left w:w="110" w:type="dxa"/>
              <w:bottom w:w="80" w:type="dxa"/>
              <w:right w:w="110" w:type="dxa"/>
            </w:tcMar>
          </w:tcPr>
          <w:p w14:paraId="58FB130F" w14:textId="77777777" w:rsidR="00613F76" w:rsidRDefault="00000000">
            <w:pPr>
              <w:spacing w:line="245" w:lineRule="auto"/>
            </w:pPr>
            <w:r>
              <w:rPr>
                <w:sz w:val="20"/>
                <w:szCs w:val="20"/>
              </w:rPr>
              <w:t>La tesis reconoce que, con datos tomados cada una décima de segundo, un retardo más corto que ese intervalo no se puede medir, porque el retardo se estima en múltiplos de ese intervalo (Maxim y De Keyser, 2023, Sec. 2.4). El modelo con retardo incluye al modelo sin retardo, y con estos datos ambos dan el mismo resultado. Se conserva porque permite revisar la estabilidad con y sin retardo, y el control es estable en los dos casos (fila 3). Medir el retardo con datos más frecuentes queda como trabajo futuro.</w:t>
            </w:r>
          </w:p>
        </w:tc>
        <w:tc>
          <w:tcPr>
            <w:tcW w:w="2500" w:type="dxa"/>
            <w:tcMar>
              <w:top w:w="80" w:type="dxa"/>
              <w:left w:w="110" w:type="dxa"/>
              <w:bottom w:w="80" w:type="dxa"/>
              <w:right w:w="110" w:type="dxa"/>
            </w:tcMar>
          </w:tcPr>
          <w:p w14:paraId="33170CBA" w14:textId="77777777" w:rsidR="00613F76" w:rsidRDefault="00000000">
            <w:pPr>
              <w:spacing w:after="60" w:line="245" w:lineRule="auto"/>
            </w:pPr>
            <w:r>
              <w:rPr>
                <w:sz w:val="20"/>
                <w:szCs w:val="20"/>
              </w:rPr>
              <w:t>Sección 3.5, p. 26: el retardo se estima en múltiplos del intervalo de captura.</w:t>
            </w:r>
          </w:p>
          <w:p w14:paraId="16501317" w14:textId="77777777" w:rsidR="00613F76" w:rsidRDefault="00000000">
            <w:pPr>
              <w:spacing w:after="60" w:line="245" w:lineRule="auto"/>
            </w:pPr>
            <w:r>
              <w:rPr>
                <w:sz w:val="20"/>
                <w:szCs w:val="20"/>
              </w:rPr>
              <w:t>Sección 4.4.5, p. 53: resumen del tratamiento del retardo.</w:t>
            </w:r>
          </w:p>
          <w:p w14:paraId="18F912D4" w14:textId="77777777" w:rsidR="00613F76" w:rsidRDefault="00000000">
            <w:pPr>
              <w:spacing w:after="60" w:line="245" w:lineRule="auto"/>
            </w:pPr>
            <w:r>
              <w:rPr>
                <w:sz w:val="20"/>
                <w:szCs w:val="20"/>
              </w:rPr>
              <w:t>Anexo 4.6, p. 118 y 119: por qué se conserva el modelo con retardo.</w:t>
            </w:r>
          </w:p>
          <w:p w14:paraId="26540EB5" w14:textId="77777777" w:rsidR="00613F76" w:rsidRDefault="00000000">
            <w:pPr>
              <w:spacing w:after="60" w:line="245" w:lineRule="auto"/>
            </w:pPr>
            <w:r>
              <w:rPr>
                <w:sz w:val="20"/>
                <w:szCs w:val="20"/>
              </w:rPr>
              <w:t>Anexo 4.12, p. 124 y 125: estabilidad con y sin retardo.</w:t>
            </w:r>
          </w:p>
          <w:p w14:paraId="01C4F85F" w14:textId="77777777" w:rsidR="00613F76" w:rsidRDefault="00000000">
            <w:pPr>
              <w:spacing w:line="245" w:lineRule="auto"/>
            </w:pPr>
            <w:r>
              <w:rPr>
                <w:sz w:val="20"/>
                <w:szCs w:val="20"/>
              </w:rPr>
              <w:t>Trabajo futuro, punto 12, p. 85: medición con datos más frecuentes.</w:t>
            </w:r>
          </w:p>
        </w:tc>
      </w:tr>
      <w:tr w:rsidR="00BD5C74" w14:paraId="20BB3BB1" w14:textId="77777777">
        <w:trPr>
          <w:cantSplit/>
        </w:trPr>
        <w:tc>
          <w:tcPr>
            <w:tcW w:w="560" w:type="dxa"/>
            <w:tcMar>
              <w:top w:w="80" w:type="dxa"/>
              <w:left w:w="110" w:type="dxa"/>
              <w:bottom w:w="80" w:type="dxa"/>
              <w:right w:w="110" w:type="dxa"/>
            </w:tcMar>
          </w:tcPr>
          <w:p w14:paraId="4734C91D" w14:textId="77777777" w:rsidR="00BD5C74" w:rsidRDefault="00000000">
            <w:pPr>
              <w:spacing w:line="245" w:lineRule="auto"/>
              <w:jc w:val="center"/>
            </w:pPr>
            <w:r>
              <w:rPr>
                <w:sz w:val="20"/>
                <w:szCs w:val="20"/>
              </w:rPr>
              <w:lastRenderedPageBreak/>
              <w:t>6</w:t>
            </w:r>
          </w:p>
        </w:tc>
        <w:tc>
          <w:tcPr>
            <w:tcW w:w="2400" w:type="dxa"/>
            <w:tcMar>
              <w:top w:w="80" w:type="dxa"/>
              <w:left w:w="110" w:type="dxa"/>
              <w:bottom w:w="80" w:type="dxa"/>
              <w:right w:w="110" w:type="dxa"/>
            </w:tcMar>
          </w:tcPr>
          <w:p w14:paraId="4F1441B7" w14:textId="77777777" w:rsidR="00BD5C74" w:rsidRDefault="00000000">
            <w:pPr>
              <w:spacing w:line="245" w:lineRule="auto"/>
            </w:pPr>
            <w:r>
              <w:rPr>
                <w:sz w:val="20"/>
                <w:szCs w:val="20"/>
              </w:rPr>
              <w:t>Las ganancias se obtienen con PSO, un método que prueba muchas combinaciones sobre el modelo y conserva la mejor, pero después se ajustan a mano. Esto podría indicar problemas en el modelo, en la función objetivo, que es el criterio con que se califica cada combinación, o en la programación del método. Se pide justificar cuánto aporta realmente el PSO.</w:t>
            </w:r>
          </w:p>
        </w:tc>
        <w:tc>
          <w:tcPr>
            <w:tcW w:w="4512" w:type="dxa"/>
            <w:tcMar>
              <w:top w:w="80" w:type="dxa"/>
              <w:left w:w="110" w:type="dxa"/>
              <w:bottom w:w="80" w:type="dxa"/>
              <w:right w:w="110" w:type="dxa"/>
            </w:tcMar>
          </w:tcPr>
          <w:p w14:paraId="5729DDB3" w14:textId="7DE43840" w:rsidR="00613F76" w:rsidRDefault="00000000">
            <w:pPr>
              <w:spacing w:line="245" w:lineRule="auto"/>
            </w:pPr>
            <w:r>
              <w:rPr>
                <w:sz w:val="20"/>
                <w:szCs w:val="20"/>
              </w:rPr>
              <w:t xml:space="preserve">El objetivo del trabajo es mapear y navegar de forma autónoma. En el control de bajo nivel, el objetivo específico 2 pide un controlador PID en lazo cerrado, no optimizar sus ganancias. Por eso el PSO es solo un apoyo para obtener un punto de partida. La tesis reconoce que las tres causas influyen. El modelo no representa las potencias bajas con que el motor todavía no gira ni el cálculo con números enteros del Arduino, la función objetivo evalúa un solo cambio de velocidad y el programa entrega una ganancia sin recortarla a su límite. Aun así, el PSO da un punto de partida estable, con más margen que las ganancias finales y que las del </w:t>
            </w:r>
            <w:r>
              <w:rPr>
                <w:i/>
                <w:iCs/>
                <w:sz w:val="20"/>
                <w:szCs w:val="20"/>
              </w:rPr>
              <w:t>firmware</w:t>
            </w:r>
            <w:r>
              <w:rPr>
                <w:sz w:val="20"/>
                <w:szCs w:val="20"/>
              </w:rPr>
              <w:t xml:space="preserve"> original. A diferencia de Gökçe et al. (2021), que validan sus ganancias de PSO solo en simulación, aquí se cargan en el robot y desde ahí se ajustan. Ese es su aporte, no el ajuste final.</w:t>
            </w:r>
          </w:p>
        </w:tc>
        <w:tc>
          <w:tcPr>
            <w:tcW w:w="2500" w:type="dxa"/>
            <w:tcMar>
              <w:top w:w="80" w:type="dxa"/>
              <w:left w:w="110" w:type="dxa"/>
              <w:bottom w:w="80" w:type="dxa"/>
              <w:right w:w="110" w:type="dxa"/>
            </w:tcMar>
          </w:tcPr>
          <w:p w14:paraId="7C2AFC28" w14:textId="77777777" w:rsidR="00613F76" w:rsidRDefault="00000000">
            <w:pPr>
              <w:spacing w:after="60" w:line="245" w:lineRule="auto"/>
            </w:pPr>
            <w:r>
              <w:rPr>
                <w:sz w:val="20"/>
                <w:szCs w:val="20"/>
              </w:rPr>
              <w:t>Objetivos, p. 2: objetivo general y objetivo específico 2.</w:t>
            </w:r>
          </w:p>
          <w:p w14:paraId="18188C76" w14:textId="77777777" w:rsidR="00613F76" w:rsidRDefault="00000000">
            <w:pPr>
              <w:spacing w:after="60" w:line="245" w:lineRule="auto"/>
            </w:pPr>
            <w:r>
              <w:rPr>
                <w:sz w:val="20"/>
                <w:szCs w:val="20"/>
              </w:rPr>
              <w:t>Justificación, p. 2: el PSO como herramienta de apoyo.</w:t>
            </w:r>
          </w:p>
          <w:p w14:paraId="00D13D26" w14:textId="77777777" w:rsidR="00613F76" w:rsidRDefault="00000000">
            <w:pPr>
              <w:spacing w:after="60" w:line="245" w:lineRule="auto"/>
            </w:pPr>
            <w:r>
              <w:rPr>
                <w:sz w:val="20"/>
                <w:szCs w:val="20"/>
              </w:rPr>
              <w:t>Sección 4.4.5, p. 53 y 54: razón de cada ajuste hecho a mano.</w:t>
            </w:r>
          </w:p>
          <w:p w14:paraId="762389B5" w14:textId="77777777" w:rsidR="00613F76" w:rsidRDefault="00000000">
            <w:pPr>
              <w:spacing w:after="60" w:line="245" w:lineRule="auto"/>
            </w:pPr>
            <w:r>
              <w:rPr>
                <w:sz w:val="20"/>
                <w:szCs w:val="20"/>
              </w:rPr>
              <w:t>Sección 5.2, p. 69 y 70: objetivo del trabajo, objetivo específico 2, causas del ajuste y aporte del PSO.</w:t>
            </w:r>
          </w:p>
          <w:p w14:paraId="4C66D9B8" w14:textId="77777777" w:rsidR="00613F76" w:rsidRDefault="00000000">
            <w:pPr>
              <w:spacing w:line="245" w:lineRule="auto"/>
            </w:pPr>
            <w:r>
              <w:rPr>
                <w:sz w:val="20"/>
                <w:szCs w:val="20"/>
              </w:rPr>
              <w:t>Anexo 4.10, p. 123: análisis detallado del aporte del PSO.</w:t>
            </w:r>
          </w:p>
        </w:tc>
      </w:tr>
      <w:tr w:rsidR="00BD5C74" w14:paraId="3EE93B06" w14:textId="77777777">
        <w:trPr>
          <w:cantSplit/>
        </w:trPr>
        <w:tc>
          <w:tcPr>
            <w:tcW w:w="9972" w:type="dxa"/>
            <w:gridSpan w:val="4"/>
            <w:shd w:val="clear" w:color="auto" w:fill="F2F2F2"/>
            <w:tcMar>
              <w:top w:w="80" w:type="dxa"/>
              <w:left w:w="110" w:type="dxa"/>
              <w:bottom w:w="80" w:type="dxa"/>
              <w:right w:w="110" w:type="dxa"/>
            </w:tcMar>
          </w:tcPr>
          <w:p w14:paraId="49EDB298" w14:textId="77777777" w:rsidR="00BD5C74" w:rsidRDefault="00000000">
            <w:pPr>
              <w:keepNext/>
              <w:spacing w:line="245" w:lineRule="auto"/>
            </w:pPr>
            <w:r>
              <w:rPr>
                <w:b/>
                <w:bCs/>
                <w:sz w:val="20"/>
                <w:szCs w:val="20"/>
              </w:rPr>
              <w:t>Profesor Guillermo González Romero</w:t>
            </w:r>
          </w:p>
        </w:tc>
      </w:tr>
      <w:tr w:rsidR="00BD5C74" w14:paraId="4CC6B501" w14:textId="77777777">
        <w:trPr>
          <w:cantSplit/>
        </w:trPr>
        <w:tc>
          <w:tcPr>
            <w:tcW w:w="560" w:type="dxa"/>
            <w:tcMar>
              <w:top w:w="80" w:type="dxa"/>
              <w:left w:w="110" w:type="dxa"/>
              <w:bottom w:w="80" w:type="dxa"/>
              <w:right w:w="110" w:type="dxa"/>
            </w:tcMar>
          </w:tcPr>
          <w:p w14:paraId="148A2BCD" w14:textId="77777777" w:rsidR="00BD5C74" w:rsidRDefault="00000000">
            <w:pPr>
              <w:spacing w:line="245" w:lineRule="auto"/>
              <w:jc w:val="center"/>
            </w:pPr>
            <w:r>
              <w:rPr>
                <w:sz w:val="20"/>
                <w:szCs w:val="20"/>
              </w:rPr>
              <w:t>7</w:t>
            </w:r>
          </w:p>
        </w:tc>
        <w:tc>
          <w:tcPr>
            <w:tcW w:w="2400" w:type="dxa"/>
            <w:tcMar>
              <w:top w:w="80" w:type="dxa"/>
              <w:left w:w="110" w:type="dxa"/>
              <w:bottom w:w="80" w:type="dxa"/>
              <w:right w:w="110" w:type="dxa"/>
            </w:tcMar>
          </w:tcPr>
          <w:p w14:paraId="13BF0A0D" w14:textId="77777777" w:rsidR="00BD5C74" w:rsidRDefault="00000000">
            <w:pPr>
              <w:spacing w:line="245" w:lineRule="auto"/>
            </w:pPr>
            <w:r>
              <w:rPr>
                <w:sz w:val="20"/>
                <w:szCs w:val="20"/>
              </w:rPr>
              <w:t>No hay una evaluación con números del desempeño de la navegación hacia metas fijas, es decir, de cuántas veces el robot llega a un punto indicado de antemano y con qué error.</w:t>
            </w:r>
          </w:p>
        </w:tc>
        <w:tc>
          <w:tcPr>
            <w:tcW w:w="4512" w:type="dxa"/>
            <w:tcMar>
              <w:top w:w="80" w:type="dxa"/>
              <w:left w:w="110" w:type="dxa"/>
              <w:bottom w:w="80" w:type="dxa"/>
              <w:right w:w="110" w:type="dxa"/>
            </w:tcMar>
          </w:tcPr>
          <w:p w14:paraId="22F15F81" w14:textId="77777777" w:rsidR="00613F76" w:rsidRDefault="00000000">
            <w:pPr>
              <w:spacing w:line="245" w:lineRule="auto"/>
            </w:pPr>
            <w:r>
              <w:rPr>
                <w:sz w:val="20"/>
                <w:szCs w:val="20"/>
              </w:rPr>
              <w:t>La tesis aclara que el objetivo general compromete la navegación hacia las metas que genera la exploración. Las metas fijas quedan fuera del alcance, porque requieren definir las metas, medir marcas en el recinto y registrar por separado la posición final, mediciones que no se obtienen en los ensayos. Por eso el objetivo específico 3 se declara cumplido parcialmente. Lo que sí se mide es que, en las cinco exploraciones válidas, el robot navega 21.9 metros durante 12.7 minutos sin intervención manual. El registro no permite separar los fallos propios del sistema de navegación de los cambios de meta que hace el explorador. El protocolo para metas fijas queda como trabajo futuro.</w:t>
            </w:r>
          </w:p>
        </w:tc>
        <w:tc>
          <w:tcPr>
            <w:tcW w:w="2500" w:type="dxa"/>
            <w:tcMar>
              <w:top w:w="80" w:type="dxa"/>
              <w:left w:w="110" w:type="dxa"/>
              <w:bottom w:w="80" w:type="dxa"/>
              <w:right w:w="110" w:type="dxa"/>
            </w:tcMar>
          </w:tcPr>
          <w:p w14:paraId="20E995FB" w14:textId="77777777" w:rsidR="00613F76" w:rsidRDefault="00000000">
            <w:pPr>
              <w:spacing w:after="60" w:line="245" w:lineRule="auto"/>
            </w:pPr>
            <w:r>
              <w:rPr>
                <w:sz w:val="20"/>
                <w:szCs w:val="20"/>
              </w:rPr>
              <w:t>Alcances y limitaciones, p. 3: metas fijas fuera del alcance.</w:t>
            </w:r>
          </w:p>
          <w:p w14:paraId="3C2B87EA" w14:textId="77777777" w:rsidR="00613F76" w:rsidRDefault="00000000">
            <w:pPr>
              <w:spacing w:after="60" w:line="245" w:lineRule="auto"/>
            </w:pPr>
            <w:r>
              <w:rPr>
                <w:sz w:val="20"/>
                <w:szCs w:val="20"/>
              </w:rPr>
              <w:t>Sección 5.4, p. 72 a 75: lo que sí se mide de la navegación.</w:t>
            </w:r>
          </w:p>
          <w:p w14:paraId="6D09EBA7" w14:textId="77777777" w:rsidR="00613F76" w:rsidRDefault="00000000">
            <w:pPr>
              <w:spacing w:after="60" w:line="245" w:lineRule="auto"/>
            </w:pPr>
            <w:r>
              <w:rPr>
                <w:sz w:val="20"/>
                <w:szCs w:val="20"/>
              </w:rPr>
              <w:t>Conclusiones, p. 81: objetivo específico 3 cumplido parcialmente.</w:t>
            </w:r>
          </w:p>
          <w:p w14:paraId="30A26918" w14:textId="77777777" w:rsidR="00613F76" w:rsidRDefault="00000000">
            <w:pPr>
              <w:spacing w:after="60" w:line="245" w:lineRule="auto"/>
            </w:pPr>
            <w:r>
              <w:rPr>
                <w:sz w:val="20"/>
                <w:szCs w:val="20"/>
              </w:rPr>
              <w:t>Anexo 8.3, p. 138: protocolo propuesto para metas fijas.</w:t>
            </w:r>
          </w:p>
          <w:p w14:paraId="61A68845" w14:textId="77777777" w:rsidR="00613F76" w:rsidRDefault="00000000">
            <w:pPr>
              <w:spacing w:line="245" w:lineRule="auto"/>
            </w:pPr>
            <w:r>
              <w:rPr>
                <w:sz w:val="20"/>
                <w:szCs w:val="20"/>
              </w:rPr>
              <w:t>Trabajo futuro, punto 1, p. 84: ensayo con metas fijas.</w:t>
            </w:r>
          </w:p>
        </w:tc>
      </w:tr>
      <w:tr w:rsidR="00BD5C74" w14:paraId="38B14C84" w14:textId="77777777">
        <w:trPr>
          <w:cantSplit/>
        </w:trPr>
        <w:tc>
          <w:tcPr>
            <w:tcW w:w="560" w:type="dxa"/>
            <w:tcMar>
              <w:top w:w="80" w:type="dxa"/>
              <w:left w:w="110" w:type="dxa"/>
              <w:bottom w:w="80" w:type="dxa"/>
              <w:right w:w="110" w:type="dxa"/>
            </w:tcMar>
          </w:tcPr>
          <w:p w14:paraId="7E1ABD74" w14:textId="77777777" w:rsidR="00BD5C74" w:rsidRDefault="00000000">
            <w:pPr>
              <w:spacing w:line="245" w:lineRule="auto"/>
              <w:jc w:val="center"/>
            </w:pPr>
            <w:r>
              <w:rPr>
                <w:sz w:val="20"/>
                <w:szCs w:val="20"/>
              </w:rPr>
              <w:lastRenderedPageBreak/>
              <w:t>8</w:t>
            </w:r>
          </w:p>
        </w:tc>
        <w:tc>
          <w:tcPr>
            <w:tcW w:w="2400" w:type="dxa"/>
            <w:tcMar>
              <w:top w:w="80" w:type="dxa"/>
              <w:left w:w="110" w:type="dxa"/>
              <w:bottom w:w="80" w:type="dxa"/>
              <w:right w:w="110" w:type="dxa"/>
            </w:tcMar>
          </w:tcPr>
          <w:p w14:paraId="62E30007" w14:textId="77777777" w:rsidR="00BD5C74" w:rsidRDefault="00000000">
            <w:pPr>
              <w:spacing w:line="245" w:lineRule="auto"/>
            </w:pPr>
            <w:r>
              <w:rPr>
                <w:sz w:val="20"/>
                <w:szCs w:val="20"/>
              </w:rPr>
              <w:t>El número de ensayos experimentales es limitado.</w:t>
            </w:r>
          </w:p>
        </w:tc>
        <w:tc>
          <w:tcPr>
            <w:tcW w:w="4512" w:type="dxa"/>
            <w:tcMar>
              <w:top w:w="80" w:type="dxa"/>
              <w:left w:w="110" w:type="dxa"/>
              <w:bottom w:w="80" w:type="dxa"/>
              <w:right w:w="110" w:type="dxa"/>
            </w:tcMar>
          </w:tcPr>
          <w:p w14:paraId="3984F42B" w14:textId="77777777" w:rsidR="00613F76" w:rsidRDefault="00000000">
            <w:pPr>
              <w:spacing w:line="245" w:lineRule="auto"/>
            </w:pPr>
            <w:r>
              <w:rPr>
                <w:sz w:val="20"/>
                <w:szCs w:val="20"/>
              </w:rPr>
              <w:t>Se concuerda con la observación. La tesis declara este límite y deja como trabajo futuro ampliar los ensayos. Para cada resultado calcula un intervalo de confianza al 95 por ciento, el rango en que, con ese nivel de confianza, se encuentra el valor medio real (Devore et al., 2021, Sec. 8.2). Algunos rangos quedan estrechos aun con cinco repeticiones y otros amplios. Con cinco exploraciones válidas de seis, la prueba estadística da un valor p de 0.11, mayor que 0.05, por lo que no permite afirmar que la tasa de éxito supere el 50 por ciento (Devore et al., 2021, Cap. 9). Solo seis éxitos de seis lo habrían permitido, así que el número de ensayos se considera muy bajo y los resultados se presentan como una verificación en el recinto ensayado. Se considera admisible un mínimo de 6 a 10 repeticiones válidas por ensayo, con 10 como objetivo, para obtener intervalos de confianza con una variabilidad aceptable. Ese criterio es coherente con la guía Eurachem, que considera necesarias entre 6 y 15 repeticiones para estimar una desviación estándar (Cantwell, 2025, Sec. 5.3.2), aunque no trata ensayos con robots. Los ensayos de la tesis tienen como máximo cinco repeticiones válidas, por debajo de ese mínimo.</w:t>
            </w:r>
          </w:p>
        </w:tc>
        <w:tc>
          <w:tcPr>
            <w:tcW w:w="2500" w:type="dxa"/>
            <w:tcMar>
              <w:top w:w="80" w:type="dxa"/>
              <w:left w:w="110" w:type="dxa"/>
              <w:bottom w:w="80" w:type="dxa"/>
              <w:right w:w="110" w:type="dxa"/>
            </w:tcMar>
          </w:tcPr>
          <w:p w14:paraId="3C97F77A" w14:textId="77777777" w:rsidR="00613F76" w:rsidRDefault="00000000">
            <w:pPr>
              <w:spacing w:after="60" w:line="245" w:lineRule="auto"/>
            </w:pPr>
            <w:r>
              <w:rPr>
                <w:sz w:val="20"/>
                <w:szCs w:val="20"/>
              </w:rPr>
              <w:t>Alcances y limitaciones, p. 3: declaración del límite.</w:t>
            </w:r>
          </w:p>
          <w:p w14:paraId="2CFDE5B4" w14:textId="77777777" w:rsidR="00613F76" w:rsidRDefault="00000000">
            <w:pPr>
              <w:spacing w:after="60" w:line="245" w:lineRule="auto"/>
            </w:pPr>
            <w:r>
              <w:rPr>
                <w:sz w:val="20"/>
                <w:szCs w:val="20"/>
              </w:rPr>
              <w:t>Sección 5.6, p. 77 y 78: intervalos, valor p y mínimo de 6 a 10 repeticiones.</w:t>
            </w:r>
          </w:p>
          <w:p w14:paraId="2361F0D3" w14:textId="77777777" w:rsidR="00613F76" w:rsidRDefault="00000000">
            <w:pPr>
              <w:spacing w:after="60" w:line="245" w:lineRule="auto"/>
            </w:pPr>
            <w:r>
              <w:rPr>
                <w:sz w:val="20"/>
                <w:szCs w:val="20"/>
              </w:rPr>
              <w:t>Trabajo futuro, punto 11, p. 85: alcanzar ese mínimo.</w:t>
            </w:r>
          </w:p>
          <w:p w14:paraId="7F609E99" w14:textId="77777777" w:rsidR="00613F76" w:rsidRDefault="00000000">
            <w:pPr>
              <w:spacing w:line="245" w:lineRule="auto"/>
            </w:pPr>
            <w:r>
              <w:rPr>
                <w:sz w:val="20"/>
                <w:szCs w:val="20"/>
              </w:rPr>
              <w:t>Anexo 8.6 y Tabla A8.4, p. 142 a 144: intervalos de todos los resultados y repeticiones necesarias.</w:t>
            </w:r>
          </w:p>
        </w:tc>
      </w:tr>
      <w:tr w:rsidR="00BD5C74" w14:paraId="0DB02CAA" w14:textId="77777777">
        <w:trPr>
          <w:cantSplit/>
        </w:trPr>
        <w:tc>
          <w:tcPr>
            <w:tcW w:w="560" w:type="dxa"/>
            <w:tcMar>
              <w:top w:w="80" w:type="dxa"/>
              <w:left w:w="110" w:type="dxa"/>
              <w:bottom w:w="80" w:type="dxa"/>
              <w:right w:w="110" w:type="dxa"/>
            </w:tcMar>
          </w:tcPr>
          <w:p w14:paraId="04D14464" w14:textId="77777777" w:rsidR="00BD5C74" w:rsidRDefault="00000000">
            <w:pPr>
              <w:spacing w:line="245" w:lineRule="auto"/>
              <w:jc w:val="center"/>
            </w:pPr>
            <w:r>
              <w:rPr>
                <w:sz w:val="20"/>
                <w:szCs w:val="20"/>
              </w:rPr>
              <w:t>9</w:t>
            </w:r>
          </w:p>
        </w:tc>
        <w:tc>
          <w:tcPr>
            <w:tcW w:w="2400" w:type="dxa"/>
            <w:tcMar>
              <w:top w:w="80" w:type="dxa"/>
              <w:left w:w="110" w:type="dxa"/>
              <w:bottom w:w="80" w:type="dxa"/>
              <w:right w:w="110" w:type="dxa"/>
            </w:tcMar>
          </w:tcPr>
          <w:p w14:paraId="6B395B09" w14:textId="77777777" w:rsidR="00BD5C74" w:rsidRDefault="00000000">
            <w:pPr>
              <w:spacing w:line="245" w:lineRule="auto"/>
            </w:pPr>
            <w:r>
              <w:rPr>
                <w:sz w:val="20"/>
                <w:szCs w:val="20"/>
              </w:rPr>
              <w:t>Falta una referencia externa para comprobar la precisión de los mapas que genera el robot.</w:t>
            </w:r>
          </w:p>
        </w:tc>
        <w:tc>
          <w:tcPr>
            <w:tcW w:w="4512" w:type="dxa"/>
            <w:tcMar>
              <w:top w:w="80" w:type="dxa"/>
              <w:left w:w="110" w:type="dxa"/>
              <w:bottom w:w="80" w:type="dxa"/>
              <w:right w:w="110" w:type="dxa"/>
            </w:tcMar>
          </w:tcPr>
          <w:p w14:paraId="126656A4" w14:textId="77777777" w:rsidR="00BD5C74" w:rsidRDefault="00000000">
            <w:pPr>
              <w:spacing w:line="245" w:lineRule="auto"/>
            </w:pPr>
            <w:r>
              <w:rPr>
                <w:sz w:val="20"/>
                <w:szCs w:val="20"/>
              </w:rPr>
              <w:t>El recinto se mide a mano con huincha de medir y se dibuja su plano. Cada mapa se superpone al plano y se mide la distancia entre los muros de ambos, como hacen Trejos et al. (2022). La diferencia media es de 3.4 centímetros, menor que el lado de un cuadro del mapa, de 5 centímetros. En los pasillos, los mapas suman 12 centímetros más. Hasta 4 se deben al grosor de los muros, y el resto puede venir de pequeños errores de la medición a mano o del mapa, por lo que se propone medir con un instrumento más preciso.</w:t>
            </w:r>
          </w:p>
        </w:tc>
        <w:tc>
          <w:tcPr>
            <w:tcW w:w="2500" w:type="dxa"/>
            <w:tcMar>
              <w:top w:w="80" w:type="dxa"/>
              <w:left w:w="110" w:type="dxa"/>
              <w:bottom w:w="80" w:type="dxa"/>
              <w:right w:w="110" w:type="dxa"/>
            </w:tcMar>
          </w:tcPr>
          <w:p w14:paraId="7B169A7B" w14:textId="77777777" w:rsidR="00613F76" w:rsidRDefault="00000000">
            <w:pPr>
              <w:spacing w:after="60" w:line="245" w:lineRule="auto"/>
            </w:pPr>
            <w:r>
              <w:rPr>
                <w:sz w:val="20"/>
                <w:szCs w:val="20"/>
              </w:rPr>
              <w:t>Sección 5.3, p. 72: resumen de la comparación con el plano.</w:t>
            </w:r>
          </w:p>
          <w:p w14:paraId="2D3156C6" w14:textId="77777777" w:rsidR="00613F76" w:rsidRDefault="00000000">
            <w:pPr>
              <w:spacing w:after="60" w:line="245" w:lineRule="auto"/>
            </w:pPr>
            <w:r>
              <w:rPr>
                <w:sz w:val="20"/>
                <w:szCs w:val="20"/>
              </w:rPr>
              <w:t>Limitaciones, p. 82: alcance de la medición a mano.</w:t>
            </w:r>
          </w:p>
          <w:p w14:paraId="58DAA798" w14:textId="77777777" w:rsidR="00613F76" w:rsidRDefault="00000000">
            <w:pPr>
              <w:spacing w:after="60" w:line="245" w:lineRule="auto"/>
            </w:pPr>
            <w:r>
              <w:rPr>
                <w:sz w:val="20"/>
                <w:szCs w:val="20"/>
              </w:rPr>
              <w:t>Trabajo futuro, punto 10, p. 85: nueva medición más precisa.</w:t>
            </w:r>
          </w:p>
          <w:p w14:paraId="575C5EDD" w14:textId="77777777" w:rsidR="00613F76" w:rsidRDefault="00000000">
            <w:pPr>
              <w:spacing w:line="245" w:lineRule="auto"/>
            </w:pPr>
            <w:r>
              <w:rPr>
                <w:sz w:val="20"/>
                <w:szCs w:val="20"/>
              </w:rPr>
              <w:t>Anexo 8.5, p. 139 a 142: plano, método y resultados.</w:t>
            </w:r>
          </w:p>
        </w:tc>
      </w:tr>
      <w:tr w:rsidR="00BD5C74" w14:paraId="56C60C7A" w14:textId="77777777">
        <w:trPr>
          <w:cantSplit/>
        </w:trPr>
        <w:tc>
          <w:tcPr>
            <w:tcW w:w="560" w:type="dxa"/>
            <w:tcMar>
              <w:top w:w="80" w:type="dxa"/>
              <w:left w:w="110" w:type="dxa"/>
              <w:bottom w:w="80" w:type="dxa"/>
              <w:right w:w="110" w:type="dxa"/>
            </w:tcMar>
          </w:tcPr>
          <w:p w14:paraId="3AAE2A35" w14:textId="77777777" w:rsidR="00BD5C74" w:rsidRDefault="00000000">
            <w:pPr>
              <w:spacing w:line="245" w:lineRule="auto"/>
              <w:jc w:val="center"/>
            </w:pPr>
            <w:r>
              <w:rPr>
                <w:sz w:val="20"/>
                <w:szCs w:val="20"/>
              </w:rPr>
              <w:t>10</w:t>
            </w:r>
          </w:p>
        </w:tc>
        <w:tc>
          <w:tcPr>
            <w:tcW w:w="2400" w:type="dxa"/>
            <w:tcMar>
              <w:top w:w="80" w:type="dxa"/>
              <w:left w:w="110" w:type="dxa"/>
              <w:bottom w:w="80" w:type="dxa"/>
              <w:right w:w="110" w:type="dxa"/>
            </w:tcMar>
          </w:tcPr>
          <w:p w14:paraId="469612CA" w14:textId="77777777" w:rsidR="00BD5C74" w:rsidRDefault="00000000">
            <w:pPr>
              <w:spacing w:line="245" w:lineRule="auto"/>
            </w:pPr>
            <w:r>
              <w:rPr>
                <w:sz w:val="20"/>
                <w:szCs w:val="20"/>
              </w:rPr>
              <w:t>Se recomienda redactar, siempre que sea posible, en tiempo presente y en tercera persona singular.</w:t>
            </w:r>
          </w:p>
        </w:tc>
        <w:tc>
          <w:tcPr>
            <w:tcW w:w="4512" w:type="dxa"/>
            <w:tcMar>
              <w:top w:w="80" w:type="dxa"/>
              <w:left w:w="110" w:type="dxa"/>
              <w:bottom w:w="80" w:type="dxa"/>
              <w:right w:w="110" w:type="dxa"/>
            </w:tcMar>
          </w:tcPr>
          <w:p w14:paraId="065B9991" w14:textId="77777777" w:rsidR="00BD5C74" w:rsidRDefault="00000000">
            <w:pPr>
              <w:spacing w:line="245" w:lineRule="auto"/>
            </w:pPr>
            <w:r>
              <w:rPr>
                <w:sz w:val="20"/>
                <w:szCs w:val="20"/>
              </w:rPr>
              <w:t>Se revisa todo el documento y se redacta en tiempo presente y en tercera persona, con la forma impersonal. Por ejemplo, se escribe «se construye» en lugar de «construí» o «se construyó».</w:t>
            </w:r>
          </w:p>
        </w:tc>
        <w:tc>
          <w:tcPr>
            <w:tcW w:w="2500" w:type="dxa"/>
            <w:tcMar>
              <w:top w:w="80" w:type="dxa"/>
              <w:left w:w="110" w:type="dxa"/>
              <w:bottom w:w="80" w:type="dxa"/>
              <w:right w:w="110" w:type="dxa"/>
            </w:tcMar>
          </w:tcPr>
          <w:p w14:paraId="031EFC69" w14:textId="77777777" w:rsidR="00BD5C74" w:rsidRDefault="00000000">
            <w:pPr>
              <w:spacing w:line="245" w:lineRule="auto"/>
            </w:pPr>
            <w:r>
              <w:rPr>
                <w:sz w:val="20"/>
                <w:szCs w:val="20"/>
              </w:rPr>
              <w:t>Todo el documento.</w:t>
            </w:r>
          </w:p>
        </w:tc>
      </w:tr>
      <w:tr w:rsidR="00BD5C74" w14:paraId="12E5A77B" w14:textId="77777777">
        <w:trPr>
          <w:cantSplit/>
        </w:trPr>
        <w:tc>
          <w:tcPr>
            <w:tcW w:w="560" w:type="dxa"/>
            <w:tcMar>
              <w:top w:w="80" w:type="dxa"/>
              <w:left w:w="110" w:type="dxa"/>
              <w:bottom w:w="80" w:type="dxa"/>
              <w:right w:w="110" w:type="dxa"/>
            </w:tcMar>
          </w:tcPr>
          <w:p w14:paraId="06D99757" w14:textId="77777777" w:rsidR="00BD5C74" w:rsidRDefault="00000000">
            <w:pPr>
              <w:spacing w:line="245" w:lineRule="auto"/>
              <w:jc w:val="center"/>
            </w:pPr>
            <w:r>
              <w:rPr>
                <w:sz w:val="20"/>
                <w:szCs w:val="20"/>
              </w:rPr>
              <w:t>11</w:t>
            </w:r>
          </w:p>
        </w:tc>
        <w:tc>
          <w:tcPr>
            <w:tcW w:w="2400" w:type="dxa"/>
            <w:tcMar>
              <w:top w:w="80" w:type="dxa"/>
              <w:left w:w="110" w:type="dxa"/>
              <w:bottom w:w="80" w:type="dxa"/>
              <w:right w:w="110" w:type="dxa"/>
            </w:tcMar>
          </w:tcPr>
          <w:p w14:paraId="648FA81D" w14:textId="77777777" w:rsidR="00BD5C74" w:rsidRDefault="00000000">
            <w:pPr>
              <w:spacing w:line="245" w:lineRule="auto"/>
            </w:pPr>
            <w:r>
              <w:rPr>
                <w:sz w:val="20"/>
                <w:szCs w:val="20"/>
              </w:rPr>
              <w:t>Se recomienda citar correctamente las referencias y todas las figuras, ecuaciones y tablas del documento.</w:t>
            </w:r>
          </w:p>
        </w:tc>
        <w:tc>
          <w:tcPr>
            <w:tcW w:w="4512" w:type="dxa"/>
            <w:tcMar>
              <w:top w:w="80" w:type="dxa"/>
              <w:left w:w="110" w:type="dxa"/>
              <w:bottom w:w="80" w:type="dxa"/>
              <w:right w:w="110" w:type="dxa"/>
            </w:tcMar>
          </w:tcPr>
          <w:p w14:paraId="7631539F" w14:textId="77777777" w:rsidR="00BD5C74" w:rsidRDefault="00000000">
            <w:pPr>
              <w:spacing w:line="245" w:lineRule="auto"/>
            </w:pPr>
            <w:r>
              <w:rPr>
                <w:sz w:val="20"/>
                <w:szCs w:val="20"/>
              </w:rPr>
              <w:t>Se revisa que todas las figuras, tablas y ecuaciones estén numeradas y se mencionen en el texto, y que todas las referencias citadas aparezcan en la bibliografía con formato APA. Las ecuaciones de la ley de control se presentan numeradas y se citan en el texto.</w:t>
            </w:r>
          </w:p>
        </w:tc>
        <w:tc>
          <w:tcPr>
            <w:tcW w:w="2500" w:type="dxa"/>
            <w:tcMar>
              <w:top w:w="80" w:type="dxa"/>
              <w:left w:w="110" w:type="dxa"/>
              <w:bottom w:w="80" w:type="dxa"/>
              <w:right w:w="110" w:type="dxa"/>
            </w:tcMar>
          </w:tcPr>
          <w:p w14:paraId="5D61FAF6" w14:textId="77777777" w:rsidR="00BD5C74" w:rsidRDefault="00000000">
            <w:pPr>
              <w:spacing w:line="245" w:lineRule="auto"/>
            </w:pPr>
            <w:r>
              <w:rPr>
                <w:sz w:val="20"/>
                <w:szCs w:val="20"/>
              </w:rPr>
              <w:t>Todo el documento.</w:t>
            </w:r>
          </w:p>
        </w:tc>
      </w:tr>
      <w:tr w:rsidR="00BD5C74" w14:paraId="65067D45" w14:textId="77777777">
        <w:trPr>
          <w:cantSplit/>
        </w:trPr>
        <w:tc>
          <w:tcPr>
            <w:tcW w:w="560" w:type="dxa"/>
            <w:tcMar>
              <w:top w:w="80" w:type="dxa"/>
              <w:left w:w="110" w:type="dxa"/>
              <w:bottom w:w="80" w:type="dxa"/>
              <w:right w:w="110" w:type="dxa"/>
            </w:tcMar>
          </w:tcPr>
          <w:p w14:paraId="0F56D3AE" w14:textId="77777777" w:rsidR="00BD5C74" w:rsidRDefault="00000000">
            <w:pPr>
              <w:spacing w:line="245" w:lineRule="auto"/>
              <w:jc w:val="center"/>
            </w:pPr>
            <w:r>
              <w:rPr>
                <w:sz w:val="20"/>
                <w:szCs w:val="20"/>
              </w:rPr>
              <w:lastRenderedPageBreak/>
              <w:t>12</w:t>
            </w:r>
          </w:p>
        </w:tc>
        <w:tc>
          <w:tcPr>
            <w:tcW w:w="2400" w:type="dxa"/>
            <w:tcMar>
              <w:top w:w="80" w:type="dxa"/>
              <w:left w:w="110" w:type="dxa"/>
              <w:bottom w:w="80" w:type="dxa"/>
              <w:right w:w="110" w:type="dxa"/>
            </w:tcMar>
          </w:tcPr>
          <w:p w14:paraId="11038451" w14:textId="77777777" w:rsidR="00BD5C74" w:rsidRDefault="00000000">
            <w:pPr>
              <w:spacing w:line="245" w:lineRule="auto"/>
            </w:pPr>
            <w:r>
              <w:rPr>
                <w:sz w:val="20"/>
                <w:szCs w:val="20"/>
              </w:rPr>
              <w:t>Se recomienda revisar y aplicar de manera uniforme la cursiva en las palabras extranjeras no adaptadas al español.</w:t>
            </w:r>
          </w:p>
        </w:tc>
        <w:tc>
          <w:tcPr>
            <w:tcW w:w="4512" w:type="dxa"/>
            <w:tcMar>
              <w:top w:w="80" w:type="dxa"/>
              <w:left w:w="110" w:type="dxa"/>
              <w:bottom w:w="80" w:type="dxa"/>
              <w:right w:w="110" w:type="dxa"/>
            </w:tcMar>
          </w:tcPr>
          <w:p w14:paraId="4EF7E38D" w14:textId="77777777" w:rsidR="00BD5C74" w:rsidRDefault="00000000">
            <w:pPr>
              <w:spacing w:line="245" w:lineRule="auto"/>
            </w:pPr>
            <w:r>
              <w:rPr>
                <w:sz w:val="20"/>
                <w:szCs w:val="20"/>
              </w:rPr>
              <w:t xml:space="preserve">Se revisa todo el documento y las palabras en otro idioma, como </w:t>
            </w:r>
            <w:r>
              <w:rPr>
                <w:i/>
                <w:iCs/>
                <w:sz w:val="20"/>
                <w:szCs w:val="20"/>
              </w:rPr>
              <w:t>hardware</w:t>
            </w:r>
            <w:r>
              <w:rPr>
                <w:sz w:val="20"/>
                <w:szCs w:val="20"/>
              </w:rPr>
              <w:t xml:space="preserve">, </w:t>
            </w:r>
            <w:r>
              <w:rPr>
                <w:i/>
                <w:iCs/>
                <w:sz w:val="20"/>
                <w:szCs w:val="20"/>
              </w:rPr>
              <w:t>software</w:t>
            </w:r>
            <w:r>
              <w:rPr>
                <w:sz w:val="20"/>
                <w:szCs w:val="20"/>
              </w:rPr>
              <w:t xml:space="preserve">, </w:t>
            </w:r>
            <w:r>
              <w:rPr>
                <w:i/>
                <w:iCs/>
                <w:sz w:val="20"/>
                <w:szCs w:val="20"/>
              </w:rPr>
              <w:t>firmware</w:t>
            </w:r>
            <w:r>
              <w:rPr>
                <w:sz w:val="20"/>
                <w:szCs w:val="20"/>
              </w:rPr>
              <w:t xml:space="preserve">, </w:t>
            </w:r>
            <w:proofErr w:type="spellStart"/>
            <w:r>
              <w:rPr>
                <w:i/>
                <w:iCs/>
                <w:sz w:val="20"/>
                <w:szCs w:val="20"/>
              </w:rPr>
              <w:t>encoder</w:t>
            </w:r>
            <w:proofErr w:type="spellEnd"/>
            <w:r>
              <w:rPr>
                <w:sz w:val="20"/>
                <w:szCs w:val="20"/>
              </w:rPr>
              <w:t xml:space="preserve"> o </w:t>
            </w:r>
            <w:proofErr w:type="gramStart"/>
            <w:r>
              <w:rPr>
                <w:i/>
                <w:iCs/>
                <w:sz w:val="20"/>
                <w:szCs w:val="20"/>
              </w:rPr>
              <w:t>driver</w:t>
            </w:r>
            <w:proofErr w:type="gramEnd"/>
            <w:r>
              <w:rPr>
                <w:sz w:val="20"/>
                <w:szCs w:val="20"/>
              </w:rPr>
              <w:t>, se escriben siempre en cursiva. Los nombres de programas, archivos y comandos se escriben con letra de tipo código, también de forma uniforme.</w:t>
            </w:r>
          </w:p>
        </w:tc>
        <w:tc>
          <w:tcPr>
            <w:tcW w:w="2500" w:type="dxa"/>
            <w:tcMar>
              <w:top w:w="80" w:type="dxa"/>
              <w:left w:w="110" w:type="dxa"/>
              <w:bottom w:w="80" w:type="dxa"/>
              <w:right w:w="110" w:type="dxa"/>
            </w:tcMar>
          </w:tcPr>
          <w:p w14:paraId="16E1870B" w14:textId="77777777" w:rsidR="00BD5C74" w:rsidRDefault="00000000">
            <w:pPr>
              <w:spacing w:line="245" w:lineRule="auto"/>
            </w:pPr>
            <w:r>
              <w:rPr>
                <w:sz w:val="20"/>
                <w:szCs w:val="20"/>
              </w:rPr>
              <w:t>Todo el documento.</w:t>
            </w:r>
          </w:p>
        </w:tc>
      </w:tr>
    </w:tbl>
    <w:p w14:paraId="448A6863" w14:textId="77777777" w:rsidR="0023503D" w:rsidRDefault="0023503D"/>
    <w:sectPr w:rsidR="0023503D">
      <w:pgSz w:w="12240" w:h="15840"/>
      <w:pgMar w:top="1134" w:right="1134" w:bottom="1134" w:left="1134"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B7981" w14:textId="77777777" w:rsidR="000936F0" w:rsidRDefault="000936F0">
      <w:r>
        <w:separator/>
      </w:r>
    </w:p>
  </w:endnote>
  <w:endnote w:type="continuationSeparator" w:id="0">
    <w:p w14:paraId="59600074" w14:textId="77777777" w:rsidR="000936F0" w:rsidRDefault="00093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B0C80" w14:textId="77777777" w:rsidR="000936F0" w:rsidRDefault="000936F0">
      <w:r>
        <w:separator/>
      </w:r>
    </w:p>
  </w:footnote>
  <w:footnote w:type="continuationSeparator" w:id="0">
    <w:p w14:paraId="4D580F26" w14:textId="77777777" w:rsidR="000936F0" w:rsidRDefault="000936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05484"/>
    <w:multiLevelType w:val="hybridMultilevel"/>
    <w:tmpl w:val="F1421584"/>
    <w:lvl w:ilvl="0" w:tplc="D5B62728" w:tentative="1">
      <w:start w:val="1"/>
      <w:numFmt w:val="bullet"/>
      <w:lvlText w:val="●"/>
      <w:lvlJc w:val="left"/>
      <w:pPr>
        <w:ind w:left="720" w:hanging="360"/>
      </w:pPr>
    </w:lvl>
    <w:lvl w:ilvl="1" w:tplc="9072ED9A" w:tentative="1">
      <w:start w:val="1"/>
      <w:numFmt w:val="bullet"/>
      <w:lvlText w:val="○"/>
      <w:lvlJc w:val="left"/>
      <w:pPr>
        <w:ind w:left="1440" w:hanging="360"/>
      </w:pPr>
    </w:lvl>
    <w:lvl w:ilvl="2" w:tplc="C2BEA034" w:tentative="1">
      <w:start w:val="1"/>
      <w:numFmt w:val="bullet"/>
      <w:lvlText w:val="■"/>
      <w:lvlJc w:val="left"/>
      <w:pPr>
        <w:ind w:left="2160" w:hanging="360"/>
      </w:pPr>
    </w:lvl>
    <w:lvl w:ilvl="3" w:tplc="9196BA5E" w:tentative="1">
      <w:start w:val="1"/>
      <w:numFmt w:val="bullet"/>
      <w:lvlText w:val="●"/>
      <w:lvlJc w:val="left"/>
      <w:pPr>
        <w:ind w:left="2880" w:hanging="360"/>
      </w:pPr>
    </w:lvl>
    <w:lvl w:ilvl="4" w:tplc="1FF2DED0" w:tentative="1">
      <w:start w:val="1"/>
      <w:numFmt w:val="bullet"/>
      <w:lvlText w:val="○"/>
      <w:lvlJc w:val="left"/>
      <w:pPr>
        <w:ind w:left="3600" w:hanging="360"/>
      </w:pPr>
    </w:lvl>
    <w:lvl w:ilvl="5" w:tplc="5ABC7B12" w:tentative="1">
      <w:start w:val="1"/>
      <w:numFmt w:val="bullet"/>
      <w:lvlText w:val="■"/>
      <w:lvlJc w:val="left"/>
      <w:pPr>
        <w:ind w:left="4320" w:hanging="360"/>
      </w:pPr>
    </w:lvl>
    <w:lvl w:ilvl="6" w:tplc="CB08956C" w:tentative="1">
      <w:start w:val="1"/>
      <w:numFmt w:val="bullet"/>
      <w:lvlText w:val="●"/>
      <w:lvlJc w:val="left"/>
      <w:pPr>
        <w:ind w:left="5040" w:hanging="360"/>
      </w:pPr>
    </w:lvl>
    <w:lvl w:ilvl="7" w:tplc="E0CCAF7C" w:tentative="1">
      <w:start w:val="1"/>
      <w:numFmt w:val="bullet"/>
      <w:lvlText w:val="●"/>
      <w:lvlJc w:val="left"/>
      <w:pPr>
        <w:ind w:left="5760" w:hanging="360"/>
      </w:pPr>
    </w:lvl>
    <w:lvl w:ilvl="8" w:tplc="DC56851C" w:tentative="1">
      <w:start w:val="1"/>
      <w:numFmt w:val="bullet"/>
      <w:lvlText w:val="●"/>
      <w:lvlJc w:val="left"/>
      <w:pPr>
        <w:ind w:left="6480" w:hanging="360"/>
      </w:pPr>
    </w:lvl>
  </w:abstractNum>
  <w:num w:numId="1" w16cid:durableId="1396512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74"/>
    <w:rsid w:val="000936F0"/>
    <w:rsid w:val="00190830"/>
    <w:rsid w:val="0023503D"/>
    <w:rsid w:val="00267EB7"/>
    <w:rsid w:val="003411B4"/>
    <w:rsid w:val="004173EC"/>
    <w:rsid w:val="005F148E"/>
    <w:rsid w:val="00613F76"/>
    <w:rsid w:val="0061646C"/>
    <w:rsid w:val="006969D6"/>
    <w:rsid w:val="0097760F"/>
    <w:rsid w:val="00B971F6"/>
    <w:rsid w:val="00BD5C74"/>
    <w:rsid w:val="00C87F05"/>
    <w:rsid w:val="00D21C93"/>
    <w:rsid w:val="00E42DC8"/>
    <w:rsid w:val="00E46B96"/>
    <w:rsid w:val="00E81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9569"/>
  <w15:docId w15:val="{1C687BA8-C4BE-4927-B230-88CC68BBC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iedepgina">
    <w:name w:val="Pie de página"/>
    <w:basedOn w:val="Normal"/>
    <w:rPr>
      <w:sz w:val="18"/>
      <w:szCs w:val="18"/>
    </w:rPr>
  </w:style>
  <w:style w:type="paragraph" w:styleId="Header">
    <w:name w:val="header"/>
    <w:basedOn w:val="Normal"/>
    <w:link w:val="HeaderChar"/>
    <w:uiPriority w:val="99"/>
    <w:unhideWhenUsed/>
    <w:rsid w:val="005F148E"/>
    <w:pPr>
      <w:tabs>
        <w:tab w:val="center" w:pos="4419"/>
        <w:tab w:val="right" w:pos="8838"/>
      </w:tabs>
    </w:pPr>
  </w:style>
  <w:style w:type="character" w:customStyle="1" w:styleId="HeaderChar">
    <w:name w:val="Header Char"/>
    <w:basedOn w:val="DefaultParagraphFont"/>
    <w:link w:val="Header"/>
    <w:uiPriority w:val="99"/>
    <w:rsid w:val="005F148E"/>
  </w:style>
  <w:style w:type="paragraph" w:styleId="Footer">
    <w:name w:val="footer"/>
    <w:basedOn w:val="Normal"/>
    <w:link w:val="FooterChar"/>
    <w:uiPriority w:val="99"/>
    <w:unhideWhenUsed/>
    <w:rsid w:val="005F148E"/>
    <w:pPr>
      <w:tabs>
        <w:tab w:val="center" w:pos="4419"/>
        <w:tab w:val="right" w:pos="8838"/>
      </w:tabs>
    </w:pPr>
  </w:style>
  <w:style w:type="character" w:customStyle="1" w:styleId="FooterChar">
    <w:name w:val="Footer Char"/>
    <w:basedOn w:val="DefaultParagraphFont"/>
    <w:link w:val="Footer"/>
    <w:uiPriority w:val="99"/>
    <w:rsid w:val="005F1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2037</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Respuesta a las observaciones de la comisión</vt:lpstr>
    </vt:vector>
  </TitlesOfParts>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las observaciones de la comisión</dc:title>
  <dc:creator>Sebastián Valderas Neculqueo</dc:creator>
  <cp:lastModifiedBy>Sebastian Valderas</cp:lastModifiedBy>
  <cp:revision>6</cp:revision>
  <dcterms:created xsi:type="dcterms:W3CDTF">2026-10-21T11:32:00Z</dcterms:created>
  <dcterms:modified xsi:type="dcterms:W3CDTF">2026-10-23T14:34:00Z</dcterms:modified>
</cp:coreProperties>
</file>