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07AD4479">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6A6FF3DE" w14:textId="1D9EA22F" w:rsidR="0089178E" w:rsidRPr="00F843F8" w:rsidRDefault="00210A7B" w:rsidP="00210A7B">
      <w:pPr>
        <w:pStyle w:val="berschrift1"/>
        <w:numPr>
          <w:ilvl w:val="0"/>
          <w:numId w:val="0"/>
        </w:numPr>
      </w:pPr>
      <w:bookmarkStart w:id="0" w:name="_Toc62386993"/>
      <w:r w:rsidRPr="00F843F8">
        <w:t>Layout des Textzeugnisses konfigurieren</w:t>
      </w:r>
      <w:bookmarkEnd w:id="0"/>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2C88129A" w:rsidR="00210A7B" w:rsidRPr="00F843F8" w:rsidRDefault="009F2951" w:rsidP="00210A7B">
      <w:pPr>
        <w:rPr>
          <w:rFonts w:ascii="Arial" w:hAnsi="Arial" w:cs="Arial"/>
          <w:noProof/>
        </w:rPr>
      </w:pPr>
      <w:r w:rsidRPr="00F843F8">
        <w:rPr>
          <w:rFonts w:ascii="Arial" w:hAnsi="Arial" w:cs="Arial"/>
          <w:noProof/>
        </w:rPr>
        <w:drawing>
          <wp:anchor distT="0" distB="0" distL="114300" distR="114300" simplePos="0" relativeHeight="251669504" behindDoc="0" locked="0" layoutInCell="1" allowOverlap="1" wp14:anchorId="034A4FA4" wp14:editId="437CA304">
            <wp:simplePos x="0" y="0"/>
            <wp:positionH relativeFrom="column">
              <wp:posOffset>1385570</wp:posOffset>
            </wp:positionH>
            <wp:positionV relativeFrom="paragraph">
              <wp:posOffset>493395</wp:posOffset>
            </wp:positionV>
            <wp:extent cx="2175555" cy="4674413"/>
            <wp:effectExtent l="0" t="0" r="0" b="0"/>
            <wp:wrapTopAndBottom/>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75555" cy="4674413"/>
                    </a:xfrm>
                    <a:prstGeom prst="rect">
                      <a:avLst/>
                    </a:prstGeom>
                  </pic:spPr>
                </pic:pic>
              </a:graphicData>
            </a:graphic>
            <wp14:sizeRelH relativeFrom="page">
              <wp14:pctWidth>0</wp14:pctWidth>
            </wp14:sizeRelH>
            <wp14:sizeRelV relativeFrom="page">
              <wp14:pctHeight>0</wp14:pctHeight>
            </wp14:sizeRelV>
          </wp:anchor>
        </w:drawing>
      </w:r>
      <w:r w:rsidR="00210A7B" w:rsidRPr="00F843F8">
        <w:rPr>
          <w:rFonts w:ascii="Arial" w:hAnsi="Arial" w:cs="Arial"/>
          <w:noProof/>
        </w:rPr>
        <w:t>Wenn ein Doppelklick auf den Dateinamen ausgeführt wird, öffnet sich der Windows-Editor, damit kann dann die Datei bearbeitet werden.</w:t>
      </w:r>
    </w:p>
    <w:p w14:paraId="413FBE87" w14:textId="29EA3231" w:rsidR="005C74F3" w:rsidRPr="00F843F8" w:rsidRDefault="005C74F3" w:rsidP="005C74F3">
      <w:pPr>
        <w:rPr>
          <w:rFonts w:ascii="Arial" w:hAnsi="Arial" w:cs="Arial"/>
          <w:noProof/>
        </w:rPr>
      </w:pPr>
      <w:r w:rsidRPr="00F843F8">
        <w:rPr>
          <w:rFonts w:ascii="Arial" w:hAnsi="Arial" w:cs="Arial"/>
          <w:b/>
          <w:noProof/>
        </w:rPr>
        <w:lastRenderedPageBreak/>
        <w:t>Hinweis</w:t>
      </w:r>
      <w:r w:rsidRPr="00F843F8">
        <w:rPr>
          <w:rFonts w:ascii="Arial" w:hAnsi="Arial" w:cs="Arial"/>
          <w:noProof/>
        </w:rPr>
        <w:t>: Bitte speichern Sie die Datei, wenn Sie Änderungen gemacht haben.</w:t>
      </w:r>
    </w:p>
    <w:p w14:paraId="457D0C92" w14:textId="258E66EF" w:rsidR="00210A7B" w:rsidRPr="00F843F8" w:rsidRDefault="00210A7B" w:rsidP="00210A7B">
      <w:pPr>
        <w:rPr>
          <w:rFonts w:ascii="Arial" w:hAnsi="Arial" w:cs="Arial"/>
          <w:noProof/>
        </w:rPr>
      </w:pPr>
    </w:p>
    <w:p w14:paraId="69581A79" w14:textId="6DC1D2F0"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38F57B49" w14:textId="7D8D306F" w:rsidR="00210A7B" w:rsidRPr="00F843F8" w:rsidRDefault="00210A7B" w:rsidP="00210A7B">
      <w:pPr>
        <w:rPr>
          <w:rFonts w:ascii="Arial" w:hAnsi="Arial" w:cs="Arial"/>
          <w:noProof/>
        </w:rPr>
      </w:pP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6270A9AF" w:rsidR="0064485D" w:rsidRPr="00F843F8" w:rsidRDefault="0064485D" w:rsidP="00210A7B">
      <w:pPr>
        <w:rPr>
          <w:rFonts w:ascii="Arial" w:hAnsi="Arial" w:cs="Arial"/>
        </w:rPr>
      </w:pPr>
      <w:r w:rsidRPr="00F843F8">
        <w:rPr>
          <w:rFonts w:ascii="Arial" w:hAnsi="Arial" w:cs="Arial"/>
        </w:rPr>
        <w:t>Beispiel für falsche Schreibweise</w:t>
      </w:r>
      <w:r w:rsidR="00567595">
        <w:rPr>
          <w:rFonts w:ascii="Arial" w:hAnsi="Arial" w:cs="Arial"/>
        </w:rPr>
        <w:t xml:space="preserve"> </w:t>
      </w:r>
      <w:r w:rsidRPr="00F843F8">
        <w:rPr>
          <w:rFonts w:ascii="Arial" w:hAnsi="Arial" w:cs="Arial"/>
        </w:rPr>
        <w:t>(da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w:t>
      </w:r>
      <w:r w:rsidRPr="00F843F8">
        <w:rPr>
          <w:rFonts w:ascii="Arial" w:hAnsi="Arial" w:cs="Arial"/>
        </w:rPr>
        <w:lastRenderedPageBreak/>
        <w:t xml:space="preserve">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t>MitJahrgang</w:t>
      </w:r>
      <w:proofErr w:type="spellEnd"/>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2F806628" w14:textId="77777777" w:rsidR="00781623" w:rsidRPr="00F843F8" w:rsidRDefault="00781623" w:rsidP="0064485D">
      <w:pPr>
        <w:rPr>
          <w:rFonts w:ascii="Arial" w:hAnsi="Arial" w:cs="Arial"/>
        </w:rPr>
      </w:pPr>
    </w:p>
    <w:p w14:paraId="6BDBDDC0" w14:textId="77777777" w:rsidR="0066793E" w:rsidRPr="00F843F8" w:rsidRDefault="0066793E" w:rsidP="0064485D">
      <w:pPr>
        <w:rPr>
          <w:rFonts w:ascii="Arial" w:hAnsi="Arial" w:cs="Arial"/>
          <w:b/>
        </w:rPr>
      </w:pPr>
      <w:proofErr w:type="spellStart"/>
      <w:r w:rsidRPr="00F843F8">
        <w:rPr>
          <w:rFonts w:ascii="Arial" w:hAnsi="Arial" w:cs="Arial"/>
          <w:b/>
        </w:rPr>
        <w:t>NotenAbJahrgang</w:t>
      </w:r>
      <w:proofErr w:type="spellEnd"/>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1"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1"/>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lastRenderedPageBreak/>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903" cy="943107"/>
                    </a:xfrm>
                    <a:prstGeom prst="rect">
                      <a:avLst/>
                    </a:prstGeom>
                  </pic:spPr>
                </pic:pic>
              </a:graphicData>
            </a:graphic>
          </wp:inline>
        </w:drawing>
      </w:r>
    </w:p>
    <w:p w14:paraId="43B80A07" w14:textId="76CA9EFB"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5641FA52" w:rsidR="00781623" w:rsidRPr="00F843F8" w:rsidRDefault="006C4D22" w:rsidP="00781623">
      <w:pPr>
        <w:rPr>
          <w:rFonts w:ascii="Arial" w:hAnsi="Arial" w:cs="Arial"/>
          <w:b/>
          <w:noProof/>
        </w:rPr>
      </w:pPr>
      <w:r w:rsidRPr="00F843F8">
        <w:rPr>
          <w:rFonts w:ascii="Arial" w:hAnsi="Arial" w:cs="Arial"/>
          <w:noProof/>
        </w:rPr>
        <w:drawing>
          <wp:anchor distT="0" distB="0" distL="114300" distR="114300" simplePos="0" relativeHeight="251670528" behindDoc="0" locked="0" layoutInCell="1" allowOverlap="1" wp14:anchorId="03FA738A" wp14:editId="44D5E45F">
            <wp:simplePos x="0" y="0"/>
            <wp:positionH relativeFrom="column">
              <wp:posOffset>1785620</wp:posOffset>
            </wp:positionH>
            <wp:positionV relativeFrom="paragraph">
              <wp:posOffset>175895</wp:posOffset>
            </wp:positionV>
            <wp:extent cx="1696123" cy="1367625"/>
            <wp:effectExtent l="0" t="0" r="0" b="4445"/>
            <wp:wrapTopAndBottom/>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lastRenderedPageBreak/>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 xml:space="preserve">Wenn ein Kind zusätzlich sonderpädagogisch betreut wird und die entsprechende Betreuungsperson auch aus dem Zeugnis unterschreiben soll, so kann hier der Name festgelegt werden. Eine "Kind-bezogene" Verwaltung der </w:t>
      </w:r>
      <w:proofErr w:type="spellStart"/>
      <w:r w:rsidRPr="0086630E">
        <w:rPr>
          <w:rStyle w:val="tm5"/>
          <w:rFonts w:ascii="Arial" w:hAnsi="Arial" w:cs="Arial"/>
          <w:sz w:val="24"/>
          <w:szCs w:val="24"/>
        </w:rPr>
        <w:t>Sonderpädogogen</w:t>
      </w:r>
      <w:proofErr w:type="spellEnd"/>
      <w:r w:rsidRPr="0086630E">
        <w:rPr>
          <w:rStyle w:val="tm5"/>
          <w:rFonts w:ascii="Arial" w:hAnsi="Arial" w:cs="Arial"/>
          <w:sz w:val="24"/>
          <w:szCs w:val="24"/>
        </w:rPr>
        <w:t xml:space="preserve">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Hier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6FB49AE6" w14:textId="7EA75F43" w:rsidR="001370E8" w:rsidRDefault="001370E8" w:rsidP="0086630E">
      <w:pPr>
        <w:pStyle w:val="Standard1"/>
        <w:rPr>
          <w:rStyle w:val="tm5"/>
          <w:rFonts w:ascii="Arial" w:hAnsi="Arial" w:cs="Arial"/>
          <w:sz w:val="24"/>
          <w:szCs w:val="24"/>
        </w:rPr>
      </w:pPr>
    </w:p>
    <w:p w14:paraId="75FE9B53" w14:textId="77777777"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lastRenderedPageBreak/>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KeineASVAKK</w:t>
      </w:r>
      <w:proofErr w:type="spellEnd"/>
      <w:r w:rsidRPr="0086630E">
        <w:rPr>
          <w:rFonts w:ascii="Arial" w:hAnsi="Arial" w:cs="Arial"/>
          <w:sz w:val="24"/>
          <w:szCs w:val="24"/>
        </w:rPr>
        <w:br/>
      </w:r>
      <w:r w:rsidRPr="0086630E">
        <w:rPr>
          <w:rStyle w:val="tm5"/>
          <w:rFonts w:ascii="Arial" w:hAnsi="Arial" w:cs="Arial"/>
          <w:sz w:val="24"/>
          <w:szCs w:val="24"/>
        </w:rPr>
        <w:t xml:space="preserve">Fall diese Option vorhanden ist, werden trotz Vorhandensein von ASV-Ankreuzkompetenzen diese nicht auf dem Zeugnis ausgegeben. Es gibt Schulen, die diese Angaben stattdessen </w:t>
      </w:r>
      <w:proofErr w:type="gramStart"/>
      <w:r w:rsidRPr="0086630E">
        <w:rPr>
          <w:rStyle w:val="tm5"/>
          <w:rFonts w:ascii="Arial" w:hAnsi="Arial" w:cs="Arial"/>
          <w:sz w:val="24"/>
          <w:szCs w:val="24"/>
        </w:rPr>
        <w:t>auf einen separaten Beiblatt</w:t>
      </w:r>
      <w:proofErr w:type="gramEnd"/>
      <w:r w:rsidRPr="0086630E">
        <w:rPr>
          <w:rStyle w:val="tm5"/>
          <w:rFonts w:ascii="Arial" w:hAnsi="Arial" w:cs="Arial"/>
          <w:sz w:val="24"/>
          <w:szCs w:val="24"/>
        </w:rPr>
        <w:t xml:space="preserve">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proofErr w:type="spellStart"/>
      <w:r w:rsidRPr="00DF4009">
        <w:rPr>
          <w:rFonts w:ascii="Arial" w:hAnsi="Arial" w:cs="Arial"/>
          <w:b/>
        </w:rPr>
        <w:t>Zeilenh</w:t>
      </w:r>
      <w:r>
        <w:rPr>
          <w:rFonts w:ascii="Arial" w:hAnsi="Arial" w:cs="Arial"/>
          <w:b/>
        </w:rPr>
        <w:t>oe</w:t>
      </w:r>
      <w:r w:rsidRPr="00DF4009">
        <w:rPr>
          <w:rFonts w:ascii="Arial" w:hAnsi="Arial" w:cs="Arial"/>
          <w:b/>
        </w:rPr>
        <w:t>he</w:t>
      </w:r>
      <w:proofErr w:type="spellEnd"/>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 xml:space="preserve">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Seite als erste </w:t>
      </w:r>
      <w:r w:rsidRPr="00DF4009">
        <w:rPr>
          <w:rFonts w:ascii="Arial" w:hAnsi="Arial" w:cs="Arial"/>
          <w:noProof/>
        </w:rPr>
        <w:lastRenderedPageBreak/>
        <w:t>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43471F13" w14:textId="77777777"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172C5CA" w14:textId="444206A8" w:rsidR="00FF0F1E" w:rsidRPr="00F843F8" w:rsidRDefault="00FF0F1E" w:rsidP="009F2951">
      <w:pPr>
        <w:pStyle w:val="berschrift1"/>
        <w:numPr>
          <w:ilvl w:val="0"/>
          <w:numId w:val="0"/>
        </w:num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1BE23" w14:textId="77777777" w:rsidR="00B5124E" w:rsidRDefault="00B5124E" w:rsidP="00E761F9">
      <w:r>
        <w:separator/>
      </w:r>
    </w:p>
  </w:endnote>
  <w:endnote w:type="continuationSeparator" w:id="0">
    <w:p w14:paraId="5D4C10CA" w14:textId="77777777" w:rsidR="00B5124E" w:rsidRDefault="00B5124E"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C9A2B" w14:textId="77777777" w:rsidR="00B5124E" w:rsidRDefault="00B5124E" w:rsidP="00E761F9">
      <w:r>
        <w:separator/>
      </w:r>
    </w:p>
  </w:footnote>
  <w:footnote w:type="continuationSeparator" w:id="0">
    <w:p w14:paraId="3B9A0F5D" w14:textId="77777777" w:rsidR="00B5124E" w:rsidRDefault="00B5124E"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32"/>
  </w:num>
  <w:num w:numId="4">
    <w:abstractNumId w:val="33"/>
  </w:num>
  <w:num w:numId="5">
    <w:abstractNumId w:val="43"/>
  </w:num>
  <w:num w:numId="6">
    <w:abstractNumId w:val="36"/>
  </w:num>
  <w:num w:numId="7">
    <w:abstractNumId w:val="26"/>
  </w:num>
  <w:num w:numId="8">
    <w:abstractNumId w:val="3"/>
  </w:num>
  <w:num w:numId="9">
    <w:abstractNumId w:val="48"/>
  </w:num>
  <w:num w:numId="10">
    <w:abstractNumId w:val="10"/>
  </w:num>
  <w:num w:numId="11">
    <w:abstractNumId w:val="0"/>
  </w:num>
  <w:num w:numId="12">
    <w:abstractNumId w:val="19"/>
  </w:num>
  <w:num w:numId="13">
    <w:abstractNumId w:val="7"/>
  </w:num>
  <w:num w:numId="14">
    <w:abstractNumId w:val="37"/>
  </w:num>
  <w:num w:numId="15">
    <w:abstractNumId w:val="8"/>
  </w:num>
  <w:num w:numId="16">
    <w:abstractNumId w:val="40"/>
  </w:num>
  <w:num w:numId="17">
    <w:abstractNumId w:val="35"/>
  </w:num>
  <w:num w:numId="18">
    <w:abstractNumId w:val="42"/>
  </w:num>
  <w:num w:numId="19">
    <w:abstractNumId w:val="28"/>
  </w:num>
  <w:num w:numId="20">
    <w:abstractNumId w:val="1"/>
  </w:num>
  <w:num w:numId="21">
    <w:abstractNumId w:val="13"/>
  </w:num>
  <w:num w:numId="22">
    <w:abstractNumId w:val="4"/>
  </w:num>
  <w:num w:numId="23">
    <w:abstractNumId w:val="30"/>
  </w:num>
  <w:num w:numId="24">
    <w:abstractNumId w:val="39"/>
  </w:num>
  <w:num w:numId="25">
    <w:abstractNumId w:val="2"/>
  </w:num>
  <w:num w:numId="26">
    <w:abstractNumId w:val="47"/>
  </w:num>
  <w:num w:numId="27">
    <w:abstractNumId w:val="24"/>
  </w:num>
  <w:num w:numId="28">
    <w:abstractNumId w:val="20"/>
  </w:num>
  <w:num w:numId="29">
    <w:abstractNumId w:val="14"/>
  </w:num>
  <w:num w:numId="30">
    <w:abstractNumId w:val="49"/>
  </w:num>
  <w:num w:numId="31">
    <w:abstractNumId w:val="38"/>
  </w:num>
  <w:num w:numId="32">
    <w:abstractNumId w:val="31"/>
  </w:num>
  <w:num w:numId="33">
    <w:abstractNumId w:val="12"/>
  </w:num>
  <w:num w:numId="34">
    <w:abstractNumId w:val="41"/>
  </w:num>
  <w:num w:numId="35">
    <w:abstractNumId w:val="27"/>
  </w:num>
  <w:num w:numId="36">
    <w:abstractNumId w:val="15"/>
  </w:num>
  <w:num w:numId="37">
    <w:abstractNumId w:val="21"/>
  </w:num>
  <w:num w:numId="38">
    <w:abstractNumId w:val="11"/>
  </w:num>
  <w:num w:numId="39">
    <w:abstractNumId w:val="45"/>
  </w:num>
  <w:num w:numId="40">
    <w:abstractNumId w:val="46"/>
  </w:num>
  <w:num w:numId="41">
    <w:abstractNumId w:val="44"/>
  </w:num>
  <w:num w:numId="42">
    <w:abstractNumId w:val="6"/>
  </w:num>
  <w:num w:numId="43">
    <w:abstractNumId w:val="16"/>
  </w:num>
  <w:num w:numId="44">
    <w:abstractNumId w:val="22"/>
  </w:num>
  <w:num w:numId="45">
    <w:abstractNumId w:val="25"/>
  </w:num>
  <w:num w:numId="46">
    <w:abstractNumId w:val="9"/>
  </w:num>
  <w:num w:numId="47">
    <w:abstractNumId w:val="18"/>
  </w:num>
  <w:num w:numId="48">
    <w:abstractNumId w:val="17"/>
  </w:num>
  <w:num w:numId="49">
    <w:abstractNumId w:val="23"/>
  </w:num>
  <w:num w:numId="50">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4404"/>
    <w:rsid w:val="002D0B4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67595"/>
    <w:rsid w:val="005A2DF4"/>
    <w:rsid w:val="005C74F3"/>
    <w:rsid w:val="005D6EA5"/>
    <w:rsid w:val="00604D66"/>
    <w:rsid w:val="00612669"/>
    <w:rsid w:val="0064485D"/>
    <w:rsid w:val="0066793E"/>
    <w:rsid w:val="00685645"/>
    <w:rsid w:val="006A203D"/>
    <w:rsid w:val="006C361C"/>
    <w:rsid w:val="006C4D22"/>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E1960"/>
    <w:rsid w:val="009E2DC3"/>
    <w:rsid w:val="009F2951"/>
    <w:rsid w:val="00A227ED"/>
    <w:rsid w:val="00AA12AD"/>
    <w:rsid w:val="00AC4C74"/>
    <w:rsid w:val="00AC608E"/>
    <w:rsid w:val="00AF3203"/>
    <w:rsid w:val="00B329C4"/>
    <w:rsid w:val="00B5124E"/>
    <w:rsid w:val="00B816FD"/>
    <w:rsid w:val="00B9277D"/>
    <w:rsid w:val="00BB1590"/>
    <w:rsid w:val="00BB16B8"/>
    <w:rsid w:val="00BC7B9D"/>
    <w:rsid w:val="00C02FA7"/>
    <w:rsid w:val="00C15109"/>
    <w:rsid w:val="00C2141E"/>
    <w:rsid w:val="00C42FCC"/>
    <w:rsid w:val="00C464A9"/>
    <w:rsid w:val="00C70E5B"/>
    <w:rsid w:val="00CF43B5"/>
    <w:rsid w:val="00D34830"/>
    <w:rsid w:val="00DD3701"/>
    <w:rsid w:val="00DF66E0"/>
    <w:rsid w:val="00E30B0D"/>
    <w:rsid w:val="00E43508"/>
    <w:rsid w:val="00E552A0"/>
    <w:rsid w:val="00E745E5"/>
    <w:rsid w:val="00E761F9"/>
    <w:rsid w:val="00E77CD1"/>
    <w:rsid w:val="00E84F5F"/>
    <w:rsid w:val="00E9004D"/>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1831</Words>
  <Characters>11542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13347</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Frank Pfotenhauer</cp:lastModifiedBy>
  <cp:revision>5</cp:revision>
  <cp:lastPrinted>2019-03-07T16:22:00Z</cp:lastPrinted>
  <dcterms:created xsi:type="dcterms:W3CDTF">2021-01-24T12:21:00Z</dcterms:created>
  <dcterms:modified xsi:type="dcterms:W3CDTF">2021-01-24T12:25:00Z</dcterms:modified>
</cp:coreProperties>
</file>