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A8B8" w14:textId="77777777" w:rsidR="00D86414" w:rsidRPr="00EB7773" w:rsidRDefault="00000000">
      <w:pPr>
        <w:pStyle w:val="Ttulo1"/>
        <w:rPr>
          <w:i/>
          <w:iCs/>
          <w:sz w:val="20"/>
          <w:szCs w:val="20"/>
          <w:lang w:val="es-CO"/>
        </w:rPr>
      </w:pPr>
      <w:r w:rsidRPr="00EB7773">
        <w:rPr>
          <w:lang w:val="es-CO"/>
        </w:rPr>
        <w:t>Documento de Formalización de Requisitos de Aceptación</w:t>
      </w: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6585"/>
      </w:tblGrid>
      <w:tr w:rsidR="00D86414" w14:paraId="2D7F0036" w14:textId="77777777">
        <w:trPr>
          <w:trHeight w:val="345"/>
        </w:trPr>
        <w:tc>
          <w:tcPr>
            <w:tcW w:w="2445" w:type="dxa"/>
            <w:tcBorders>
              <w:top w:val="single" w:sz="6" w:space="0" w:color="CCCCCC"/>
              <w:left w:val="single" w:sz="6" w:space="0" w:color="CCCCCC"/>
              <w:bottom w:val="single" w:sz="6" w:space="0" w:color="CCCCCC"/>
              <w:right w:val="single" w:sz="6" w:space="0" w:color="CCCCCC"/>
            </w:tcBorders>
            <w:shd w:val="clear" w:color="auto" w:fill="F3F8F5"/>
            <w:tcMar>
              <w:top w:w="60" w:type="dxa"/>
              <w:left w:w="120" w:type="dxa"/>
              <w:bottom w:w="60" w:type="dxa"/>
              <w:right w:w="120" w:type="dxa"/>
            </w:tcMar>
          </w:tcPr>
          <w:p w14:paraId="474A6D31" w14:textId="77777777" w:rsidR="00D86414" w:rsidRDefault="00000000">
            <w:pPr>
              <w:widowControl/>
              <w:spacing w:after="120" w:line="276" w:lineRule="auto"/>
              <w:rPr>
                <w:b/>
                <w:bCs/>
                <w:sz w:val="19"/>
                <w:szCs w:val="19"/>
              </w:rPr>
            </w:pPr>
            <w:proofErr w:type="spellStart"/>
            <w:r>
              <w:rPr>
                <w:b/>
                <w:bCs/>
                <w:sz w:val="19"/>
                <w:szCs w:val="19"/>
              </w:rPr>
              <w:t>Curso</w:t>
            </w:r>
            <w:proofErr w:type="spellEnd"/>
          </w:p>
        </w:tc>
        <w:tc>
          <w:tcPr>
            <w:tcW w:w="6585" w:type="dxa"/>
            <w:tcBorders>
              <w:top w:val="single" w:sz="6" w:space="0" w:color="CCCCCC"/>
              <w:left w:val="nil"/>
              <w:bottom w:val="single" w:sz="6" w:space="0" w:color="CCCCCC"/>
              <w:right w:val="single" w:sz="6" w:space="0" w:color="CCCCCC"/>
            </w:tcBorders>
            <w:tcMar>
              <w:top w:w="60" w:type="dxa"/>
              <w:left w:w="120" w:type="dxa"/>
              <w:bottom w:w="60" w:type="dxa"/>
              <w:right w:w="120" w:type="dxa"/>
            </w:tcMar>
          </w:tcPr>
          <w:p w14:paraId="0D4BBC2F" w14:textId="77777777" w:rsidR="00D86414" w:rsidRDefault="00000000">
            <w:pPr>
              <w:widowControl/>
              <w:spacing w:after="120" w:line="276" w:lineRule="auto"/>
              <w:rPr>
                <w:sz w:val="19"/>
                <w:szCs w:val="19"/>
              </w:rPr>
            </w:pPr>
            <w:r>
              <w:rPr>
                <w:sz w:val="19"/>
                <w:szCs w:val="19"/>
              </w:rPr>
              <w:t>Calidad de Software — SQ_2026i</w:t>
            </w:r>
          </w:p>
        </w:tc>
      </w:tr>
      <w:tr w:rsidR="00D86414" w14:paraId="00FA5C74" w14:textId="77777777">
        <w:trPr>
          <w:trHeight w:val="345"/>
        </w:trPr>
        <w:tc>
          <w:tcPr>
            <w:tcW w:w="2445" w:type="dxa"/>
            <w:tcBorders>
              <w:top w:val="nil"/>
              <w:left w:val="single" w:sz="6" w:space="0" w:color="CCCCCC"/>
              <w:bottom w:val="single" w:sz="6" w:space="0" w:color="CCCCCC"/>
              <w:right w:val="single" w:sz="6" w:space="0" w:color="CCCCCC"/>
            </w:tcBorders>
            <w:shd w:val="clear" w:color="auto" w:fill="F3F8F5"/>
            <w:tcMar>
              <w:top w:w="60" w:type="dxa"/>
              <w:left w:w="120" w:type="dxa"/>
              <w:bottom w:w="60" w:type="dxa"/>
              <w:right w:w="120" w:type="dxa"/>
            </w:tcMar>
          </w:tcPr>
          <w:p w14:paraId="7C37E6BD" w14:textId="77777777" w:rsidR="00D86414" w:rsidRDefault="00000000">
            <w:pPr>
              <w:widowControl/>
              <w:spacing w:after="120" w:line="276" w:lineRule="auto"/>
              <w:rPr>
                <w:b/>
                <w:bCs/>
                <w:sz w:val="19"/>
                <w:szCs w:val="19"/>
              </w:rPr>
            </w:pPr>
            <w:r>
              <w:rPr>
                <w:b/>
                <w:bCs/>
                <w:sz w:val="19"/>
                <w:szCs w:val="19"/>
              </w:rPr>
              <w:t>Equipo</w:t>
            </w:r>
          </w:p>
        </w:tc>
        <w:tc>
          <w:tcPr>
            <w:tcW w:w="6585" w:type="dxa"/>
            <w:tcBorders>
              <w:top w:val="nil"/>
              <w:left w:val="nil"/>
              <w:bottom w:val="single" w:sz="6" w:space="0" w:color="CCCCCC"/>
              <w:right w:val="single" w:sz="6" w:space="0" w:color="CCCCCC"/>
            </w:tcBorders>
            <w:tcMar>
              <w:top w:w="60" w:type="dxa"/>
              <w:left w:w="120" w:type="dxa"/>
              <w:bottom w:w="60" w:type="dxa"/>
              <w:right w:w="120" w:type="dxa"/>
            </w:tcMar>
          </w:tcPr>
          <w:p w14:paraId="079BD9AC" w14:textId="77777777" w:rsidR="00D86414" w:rsidRDefault="00000000">
            <w:pPr>
              <w:widowControl/>
              <w:spacing w:after="120" w:line="276" w:lineRule="auto"/>
              <w:rPr>
                <w:sz w:val="19"/>
                <w:szCs w:val="19"/>
              </w:rPr>
            </w:pPr>
            <w:r>
              <w:rPr>
                <w:sz w:val="19"/>
                <w:szCs w:val="19"/>
              </w:rPr>
              <w:t>F</w:t>
            </w:r>
          </w:p>
        </w:tc>
      </w:tr>
      <w:tr w:rsidR="00D86414" w:rsidRPr="00EB7773" w14:paraId="572B6667" w14:textId="77777777">
        <w:trPr>
          <w:trHeight w:val="26"/>
        </w:trPr>
        <w:tc>
          <w:tcPr>
            <w:tcW w:w="2445" w:type="dxa"/>
            <w:tcBorders>
              <w:top w:val="nil"/>
              <w:left w:val="single" w:sz="6" w:space="0" w:color="CCCCCC"/>
              <w:bottom w:val="single" w:sz="6" w:space="0" w:color="CCCCCC"/>
              <w:right w:val="single" w:sz="6" w:space="0" w:color="CCCCCC"/>
            </w:tcBorders>
            <w:shd w:val="clear" w:color="auto" w:fill="F3F8F5"/>
            <w:tcMar>
              <w:top w:w="60" w:type="dxa"/>
              <w:left w:w="120" w:type="dxa"/>
              <w:bottom w:w="60" w:type="dxa"/>
              <w:right w:w="120" w:type="dxa"/>
            </w:tcMar>
          </w:tcPr>
          <w:p w14:paraId="1FB96DC3" w14:textId="77777777" w:rsidR="00D86414" w:rsidRDefault="00000000">
            <w:pPr>
              <w:widowControl/>
              <w:spacing w:after="120" w:line="276" w:lineRule="auto"/>
              <w:rPr>
                <w:b/>
                <w:bCs/>
                <w:sz w:val="19"/>
                <w:szCs w:val="19"/>
              </w:rPr>
            </w:pPr>
            <w:proofErr w:type="spellStart"/>
            <w:r>
              <w:rPr>
                <w:b/>
                <w:bCs/>
                <w:sz w:val="19"/>
                <w:szCs w:val="19"/>
              </w:rPr>
              <w:t>Integrantes</w:t>
            </w:r>
            <w:proofErr w:type="spellEnd"/>
          </w:p>
        </w:tc>
        <w:tc>
          <w:tcPr>
            <w:tcW w:w="6585" w:type="dxa"/>
            <w:tcBorders>
              <w:top w:val="nil"/>
              <w:left w:val="nil"/>
              <w:bottom w:val="single" w:sz="6" w:space="0" w:color="CCCCCC"/>
              <w:right w:val="single" w:sz="6" w:space="0" w:color="CCCCCC"/>
            </w:tcBorders>
            <w:tcMar>
              <w:top w:w="60" w:type="dxa"/>
              <w:left w:w="120" w:type="dxa"/>
              <w:bottom w:w="60" w:type="dxa"/>
              <w:right w:w="120" w:type="dxa"/>
            </w:tcMar>
          </w:tcPr>
          <w:p w14:paraId="27B49E58" w14:textId="77777777" w:rsidR="00D86414" w:rsidRPr="00EB7773" w:rsidRDefault="00000000">
            <w:pPr>
              <w:widowControl/>
              <w:spacing w:after="120" w:line="276" w:lineRule="auto"/>
              <w:rPr>
                <w:sz w:val="19"/>
                <w:szCs w:val="19"/>
                <w:lang w:val="es-CO"/>
              </w:rPr>
            </w:pPr>
            <w:proofErr w:type="spellStart"/>
            <w:r w:rsidRPr="00EB7773">
              <w:rPr>
                <w:sz w:val="19"/>
                <w:szCs w:val="19"/>
                <w:lang w:val="es-CO"/>
              </w:rPr>
              <w:t>Maria</w:t>
            </w:r>
            <w:proofErr w:type="spellEnd"/>
            <w:r w:rsidRPr="00EB7773">
              <w:rPr>
                <w:sz w:val="19"/>
                <w:szCs w:val="19"/>
                <w:lang w:val="es-CO"/>
              </w:rPr>
              <w:t xml:space="preserve"> </w:t>
            </w:r>
            <w:proofErr w:type="spellStart"/>
            <w:r w:rsidRPr="00EB7773">
              <w:rPr>
                <w:sz w:val="19"/>
                <w:szCs w:val="19"/>
                <w:lang w:val="es-CO"/>
              </w:rPr>
              <w:t>Jose</w:t>
            </w:r>
            <w:proofErr w:type="spellEnd"/>
            <w:r w:rsidRPr="00EB7773">
              <w:rPr>
                <w:sz w:val="19"/>
                <w:szCs w:val="19"/>
                <w:lang w:val="es-CO"/>
              </w:rPr>
              <w:t xml:space="preserve"> Jara Herrera · Breyner Ismael Ciro Otero · Aura Milena Alba · Jairo Daniel Salas Mosquera · Juan David Cristancho Rincon · Sergio Motta Donc</w:t>
            </w:r>
          </w:p>
        </w:tc>
      </w:tr>
      <w:tr w:rsidR="00D86414" w14:paraId="77154121" w14:textId="77777777">
        <w:trPr>
          <w:trHeight w:val="431"/>
        </w:trPr>
        <w:tc>
          <w:tcPr>
            <w:tcW w:w="2445" w:type="dxa"/>
            <w:tcBorders>
              <w:top w:val="nil"/>
              <w:left w:val="single" w:sz="6" w:space="0" w:color="CCCCCC"/>
              <w:bottom w:val="single" w:sz="6" w:space="0" w:color="CCCCCC"/>
              <w:right w:val="single" w:sz="6" w:space="0" w:color="CCCCCC"/>
            </w:tcBorders>
            <w:shd w:val="clear" w:color="auto" w:fill="F3F8F5"/>
            <w:tcMar>
              <w:top w:w="60" w:type="dxa"/>
              <w:left w:w="120" w:type="dxa"/>
              <w:bottom w:w="60" w:type="dxa"/>
              <w:right w:w="120" w:type="dxa"/>
            </w:tcMar>
          </w:tcPr>
          <w:p w14:paraId="37046A1A" w14:textId="77777777" w:rsidR="00D86414" w:rsidRDefault="00000000">
            <w:pPr>
              <w:widowControl/>
              <w:spacing w:after="120" w:line="276" w:lineRule="auto"/>
              <w:rPr>
                <w:b/>
                <w:bCs/>
                <w:sz w:val="19"/>
                <w:szCs w:val="19"/>
              </w:rPr>
            </w:pPr>
            <w:r>
              <w:rPr>
                <w:b/>
                <w:bCs/>
                <w:sz w:val="19"/>
                <w:szCs w:val="19"/>
              </w:rPr>
              <w:t>Sistema</w:t>
            </w:r>
          </w:p>
        </w:tc>
        <w:tc>
          <w:tcPr>
            <w:tcW w:w="6585" w:type="dxa"/>
            <w:tcBorders>
              <w:top w:val="nil"/>
              <w:left w:val="nil"/>
              <w:bottom w:val="single" w:sz="6" w:space="0" w:color="CCCCCC"/>
              <w:right w:val="single" w:sz="6" w:space="0" w:color="CCCCCC"/>
            </w:tcBorders>
            <w:tcMar>
              <w:top w:w="60" w:type="dxa"/>
              <w:left w:w="120" w:type="dxa"/>
              <w:bottom w:w="60" w:type="dxa"/>
              <w:right w:w="120" w:type="dxa"/>
            </w:tcMar>
          </w:tcPr>
          <w:p w14:paraId="3F674029" w14:textId="77777777" w:rsidR="00D86414" w:rsidRDefault="00000000">
            <w:pPr>
              <w:widowControl/>
              <w:spacing w:after="120" w:line="276" w:lineRule="auto"/>
              <w:rPr>
                <w:sz w:val="19"/>
                <w:szCs w:val="19"/>
              </w:rPr>
            </w:pPr>
            <w:proofErr w:type="spellStart"/>
            <w:r>
              <w:rPr>
                <w:sz w:val="19"/>
                <w:szCs w:val="19"/>
              </w:rPr>
              <w:t>saleor</w:t>
            </w:r>
            <w:proofErr w:type="spellEnd"/>
            <w:r>
              <w:rPr>
                <w:sz w:val="19"/>
                <w:szCs w:val="19"/>
              </w:rPr>
              <w:t>/</w:t>
            </w:r>
            <w:proofErr w:type="spellStart"/>
            <w:r>
              <w:rPr>
                <w:sz w:val="19"/>
                <w:szCs w:val="19"/>
              </w:rPr>
              <w:t>saleor</w:t>
            </w:r>
            <w:proofErr w:type="spellEnd"/>
            <w:r>
              <w:rPr>
                <w:sz w:val="19"/>
                <w:szCs w:val="19"/>
              </w:rPr>
              <w:t>-platform (</w:t>
            </w:r>
            <w:proofErr w:type="spellStart"/>
            <w:r>
              <w:rPr>
                <w:sz w:val="19"/>
                <w:szCs w:val="19"/>
              </w:rPr>
              <w:t>Saleor</w:t>
            </w:r>
            <w:proofErr w:type="spellEnd"/>
            <w:r>
              <w:rPr>
                <w:sz w:val="19"/>
                <w:szCs w:val="19"/>
              </w:rPr>
              <w:t xml:space="preserve"> 3.23)</w:t>
            </w:r>
          </w:p>
        </w:tc>
      </w:tr>
    </w:tbl>
    <w:p w14:paraId="05707FD6" w14:textId="77777777" w:rsidR="00D86414" w:rsidRPr="00EB7773" w:rsidRDefault="00000000">
      <w:pPr>
        <w:widowControl/>
        <w:spacing w:before="80" w:after="120" w:line="276" w:lineRule="auto"/>
        <w:rPr>
          <w:b/>
          <w:bCs/>
          <w:lang w:val="es-CO"/>
        </w:rPr>
      </w:pPr>
      <w:r w:rsidRPr="00EB7773">
        <w:rPr>
          <w:b/>
          <w:bCs/>
          <w:sz w:val="19"/>
          <w:szCs w:val="19"/>
          <w:lang w:val="es-CO"/>
        </w:rPr>
        <w:t xml:space="preserve">Repositorio del Sistema: </w:t>
      </w:r>
      <w:hyperlink r:id="rId5">
        <w:r w:rsidRPr="00EB7773">
          <w:rPr>
            <w:color w:val="1155CC"/>
            <w:sz w:val="17"/>
            <w:szCs w:val="17"/>
            <w:u w:val="single"/>
            <w:lang w:val="es-CO"/>
          </w:rPr>
          <w:t>https://github.com/saleor/saleor-platform</w:t>
        </w:r>
      </w:hyperlink>
    </w:p>
    <w:p w14:paraId="47E4D722" w14:textId="77777777" w:rsidR="00D86414" w:rsidRPr="00EB7773" w:rsidRDefault="00D86414">
      <w:pPr>
        <w:pStyle w:val="Ttulo2"/>
        <w:spacing w:before="0"/>
        <w:rPr>
          <w:lang w:val="es-CO"/>
        </w:rPr>
      </w:pPr>
    </w:p>
    <w:p w14:paraId="311E1B81" w14:textId="77777777" w:rsidR="00D86414" w:rsidRPr="00EB7773" w:rsidRDefault="00000000">
      <w:pPr>
        <w:pStyle w:val="Ttulo2"/>
        <w:spacing w:before="0"/>
        <w:rPr>
          <w:lang w:val="es-CO"/>
        </w:rPr>
      </w:pPr>
      <w:r w:rsidRPr="00EB7773">
        <w:rPr>
          <w:lang w:val="es-CO"/>
        </w:rPr>
        <w:t>1. Introducción y Alcance</w:t>
      </w:r>
    </w:p>
    <w:p w14:paraId="6B11E9C5" w14:textId="77777777" w:rsidR="00D86414" w:rsidRPr="00EB7773" w:rsidRDefault="00000000">
      <w:pPr>
        <w:pBdr>
          <w:top w:val="nil"/>
          <w:left w:val="nil"/>
          <w:bottom w:val="nil"/>
          <w:right w:val="nil"/>
          <w:between w:val="nil"/>
        </w:pBdr>
        <w:spacing w:after="225"/>
        <w:rPr>
          <w:lang w:val="es-CO"/>
        </w:rPr>
      </w:pPr>
      <w:r w:rsidRPr="00EB7773">
        <w:rPr>
          <w:lang w:val="es-CO"/>
        </w:rPr>
        <w:t xml:space="preserve">Este documento tiene como objetivo formalizar y simplificar las necesidades planteadas por los usuarios para el sistema </w:t>
      </w:r>
      <w:proofErr w:type="spellStart"/>
      <w:r w:rsidRPr="00EB7773">
        <w:rPr>
          <w:lang w:val="es-CO"/>
        </w:rPr>
        <w:t>Saleor</w:t>
      </w:r>
      <w:proofErr w:type="spellEnd"/>
      <w:r w:rsidRPr="00EB7773">
        <w:rPr>
          <w:lang w:val="es-CO"/>
        </w:rPr>
        <w:t xml:space="preserve"> </w:t>
      </w:r>
      <w:proofErr w:type="spellStart"/>
      <w:r w:rsidRPr="00EB7773">
        <w:rPr>
          <w:lang w:val="es-CO"/>
        </w:rPr>
        <w:t>Platform</w:t>
      </w:r>
      <w:proofErr w:type="spellEnd"/>
      <w:r w:rsidRPr="00EB7773">
        <w:rPr>
          <w:lang w:val="es-CO"/>
        </w:rPr>
        <w:t>, transformándolas en Requisitos Funcionales (RF) y Requisitos No Funcionales (RNF) viables para un ejercicio académico de pruebas de aceptación. Se prioriza la claridad y la reducción de la complejidad técnica para facilitar la validación del comportamiento del sistema por parte de los interesados.</w:t>
      </w:r>
    </w:p>
    <w:p w14:paraId="29421677" w14:textId="77777777" w:rsidR="00D86414" w:rsidRPr="00EB7773" w:rsidRDefault="00D86414">
      <w:pPr>
        <w:pBdr>
          <w:top w:val="nil"/>
          <w:left w:val="nil"/>
          <w:bottom w:val="nil"/>
          <w:right w:val="nil"/>
          <w:between w:val="nil"/>
        </w:pBdr>
        <w:spacing w:after="225"/>
        <w:rPr>
          <w:lang w:val="es-CO"/>
        </w:rPr>
      </w:pPr>
    </w:p>
    <w:p w14:paraId="67649C49" w14:textId="77777777" w:rsidR="00D86414" w:rsidRPr="00EB7773" w:rsidRDefault="00000000">
      <w:pPr>
        <w:pStyle w:val="Ttulo2"/>
        <w:spacing w:before="0"/>
        <w:rPr>
          <w:lang w:val="es-CO"/>
        </w:rPr>
      </w:pPr>
      <w:r w:rsidRPr="00EB7773">
        <w:rPr>
          <w:lang w:val="es-CO"/>
        </w:rPr>
        <w:t>2. Matriz de Requisitos Formalizados</w:t>
      </w:r>
    </w:p>
    <w:p w14:paraId="19CC7A2F" w14:textId="77777777" w:rsidR="00D86414" w:rsidRPr="00EB7773" w:rsidRDefault="00000000">
      <w:pPr>
        <w:pBdr>
          <w:top w:val="nil"/>
          <w:left w:val="nil"/>
          <w:bottom w:val="nil"/>
          <w:right w:val="nil"/>
          <w:between w:val="nil"/>
        </w:pBdr>
        <w:rPr>
          <w:lang w:val="es-CO"/>
        </w:rPr>
      </w:pPr>
      <w:r w:rsidRPr="00EB7773">
        <w:rPr>
          <w:lang w:val="es-CO"/>
        </w:rPr>
        <w:t xml:space="preserve">A </w:t>
      </w:r>
      <w:proofErr w:type="gramStart"/>
      <w:r w:rsidRPr="00EB7773">
        <w:rPr>
          <w:lang w:val="es-CO"/>
        </w:rPr>
        <w:t>continuación</w:t>
      </w:r>
      <w:proofErr w:type="gramEnd"/>
      <w:r w:rsidRPr="00EB7773">
        <w:rPr>
          <w:lang w:val="es-CO"/>
        </w:rPr>
        <w:t xml:space="preserve"> se presenta la correspondencia entre los requerimientos originales del cliente, la solución simplificada adoptada y su clasificación formal:</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86414" w14:paraId="23E39F1C" w14:textId="77777777">
        <w:trPr>
          <w:tblHeader/>
        </w:trPr>
        <w:tc>
          <w:tcPr>
            <w:tcW w:w="2340" w:type="dxa"/>
            <w:shd w:val="clear" w:color="auto" w:fill="F2F2F2"/>
            <w:tcMar>
              <w:top w:w="120" w:type="dxa"/>
              <w:left w:w="120" w:type="dxa"/>
              <w:bottom w:w="120" w:type="dxa"/>
              <w:right w:w="120" w:type="dxa"/>
            </w:tcMar>
          </w:tcPr>
          <w:p w14:paraId="5478127F" w14:textId="77777777" w:rsidR="00D86414" w:rsidRDefault="00000000">
            <w:pPr>
              <w:pBdr>
                <w:top w:val="nil"/>
                <w:left w:val="nil"/>
                <w:bottom w:val="nil"/>
                <w:right w:val="nil"/>
                <w:between w:val="nil"/>
              </w:pBdr>
            </w:pPr>
            <w:proofErr w:type="spellStart"/>
            <w:r>
              <w:t>Requerimiento</w:t>
            </w:r>
            <w:proofErr w:type="spellEnd"/>
            <w:r>
              <w:t xml:space="preserve"> </w:t>
            </w:r>
            <w:proofErr w:type="spellStart"/>
            <w:r>
              <w:t>Inicial</w:t>
            </w:r>
            <w:proofErr w:type="spellEnd"/>
          </w:p>
        </w:tc>
        <w:tc>
          <w:tcPr>
            <w:tcW w:w="2340" w:type="dxa"/>
            <w:shd w:val="clear" w:color="auto" w:fill="F2F2F2"/>
            <w:tcMar>
              <w:top w:w="120" w:type="dxa"/>
              <w:left w:w="120" w:type="dxa"/>
              <w:bottom w:w="120" w:type="dxa"/>
              <w:right w:w="120" w:type="dxa"/>
            </w:tcMar>
          </w:tcPr>
          <w:p w14:paraId="1D6A7F89" w14:textId="77777777" w:rsidR="00D86414" w:rsidRDefault="00000000">
            <w:pPr>
              <w:pBdr>
                <w:top w:val="nil"/>
                <w:left w:val="nil"/>
                <w:bottom w:val="nil"/>
                <w:right w:val="nil"/>
                <w:between w:val="nil"/>
              </w:pBdr>
            </w:pPr>
            <w:proofErr w:type="spellStart"/>
            <w:r>
              <w:t>Solución</w:t>
            </w:r>
            <w:proofErr w:type="spellEnd"/>
            <w:r>
              <w:t xml:space="preserve"> </w:t>
            </w:r>
            <w:proofErr w:type="spellStart"/>
            <w:r>
              <w:t>Simplificada</w:t>
            </w:r>
            <w:proofErr w:type="spellEnd"/>
          </w:p>
        </w:tc>
        <w:tc>
          <w:tcPr>
            <w:tcW w:w="2340" w:type="dxa"/>
            <w:shd w:val="clear" w:color="auto" w:fill="F2F2F2"/>
            <w:tcMar>
              <w:top w:w="120" w:type="dxa"/>
              <w:left w:w="120" w:type="dxa"/>
              <w:bottom w:w="120" w:type="dxa"/>
              <w:right w:w="120" w:type="dxa"/>
            </w:tcMar>
          </w:tcPr>
          <w:p w14:paraId="19AB65BE" w14:textId="77777777" w:rsidR="00D86414" w:rsidRDefault="00000000">
            <w:pPr>
              <w:pBdr>
                <w:top w:val="nil"/>
                <w:left w:val="nil"/>
                <w:bottom w:val="nil"/>
                <w:right w:val="nil"/>
                <w:between w:val="nil"/>
              </w:pBdr>
            </w:pPr>
            <w:proofErr w:type="spellStart"/>
            <w:r>
              <w:t>Requisito</w:t>
            </w:r>
            <w:proofErr w:type="spellEnd"/>
            <w:r>
              <w:t xml:space="preserve"> </w:t>
            </w:r>
            <w:proofErr w:type="spellStart"/>
            <w:r>
              <w:t>Funcional</w:t>
            </w:r>
            <w:proofErr w:type="spellEnd"/>
            <w:r>
              <w:t xml:space="preserve"> (RF)</w:t>
            </w:r>
          </w:p>
        </w:tc>
        <w:tc>
          <w:tcPr>
            <w:tcW w:w="2340" w:type="dxa"/>
            <w:shd w:val="clear" w:color="auto" w:fill="F2F2F2"/>
            <w:tcMar>
              <w:top w:w="120" w:type="dxa"/>
              <w:left w:w="120" w:type="dxa"/>
              <w:bottom w:w="120" w:type="dxa"/>
              <w:right w:w="120" w:type="dxa"/>
            </w:tcMar>
          </w:tcPr>
          <w:p w14:paraId="5F6ADBA0" w14:textId="77777777" w:rsidR="00D86414" w:rsidRDefault="00000000">
            <w:pPr>
              <w:pBdr>
                <w:top w:val="nil"/>
                <w:left w:val="nil"/>
                <w:bottom w:val="nil"/>
                <w:right w:val="nil"/>
                <w:between w:val="nil"/>
              </w:pBdr>
            </w:pPr>
            <w:proofErr w:type="spellStart"/>
            <w:r>
              <w:t>Requisito</w:t>
            </w:r>
            <w:proofErr w:type="spellEnd"/>
            <w:r>
              <w:t xml:space="preserve"> No </w:t>
            </w:r>
            <w:proofErr w:type="spellStart"/>
            <w:r>
              <w:t>Funcional</w:t>
            </w:r>
            <w:proofErr w:type="spellEnd"/>
            <w:r>
              <w:t xml:space="preserve"> (RNF)</w:t>
            </w:r>
          </w:p>
          <w:p w14:paraId="21786C68" w14:textId="77777777" w:rsidR="00D86414" w:rsidRDefault="00000000">
            <w:pPr>
              <w:pBdr>
                <w:top w:val="nil"/>
                <w:left w:val="nil"/>
                <w:bottom w:val="nil"/>
                <w:right w:val="nil"/>
                <w:between w:val="nil"/>
              </w:pBdr>
            </w:pPr>
            <w:r>
              <w:t xml:space="preserve"> </w:t>
            </w:r>
          </w:p>
        </w:tc>
      </w:tr>
      <w:tr w:rsidR="00D86414" w:rsidRPr="00EB7773" w14:paraId="6A1B3307" w14:textId="77777777">
        <w:tc>
          <w:tcPr>
            <w:tcW w:w="2340" w:type="dxa"/>
            <w:tcMar>
              <w:top w:w="120" w:type="dxa"/>
              <w:left w:w="120" w:type="dxa"/>
              <w:bottom w:w="120" w:type="dxa"/>
              <w:right w:w="120" w:type="dxa"/>
            </w:tcMar>
          </w:tcPr>
          <w:p w14:paraId="6E5BBA07" w14:textId="77777777" w:rsidR="00D86414" w:rsidRPr="00EB7773" w:rsidRDefault="00000000">
            <w:pPr>
              <w:pBdr>
                <w:top w:val="nil"/>
                <w:left w:val="nil"/>
                <w:bottom w:val="nil"/>
                <w:right w:val="nil"/>
                <w:between w:val="nil"/>
              </w:pBdr>
              <w:rPr>
                <w:lang w:val="es-CO"/>
              </w:rPr>
            </w:pPr>
            <w:r w:rsidRPr="00EB7773">
              <w:rPr>
                <w:lang w:val="es-CO"/>
              </w:rPr>
              <w:t>Contraseña fácil para personas no tecnológicas.</w:t>
            </w:r>
          </w:p>
        </w:tc>
        <w:tc>
          <w:tcPr>
            <w:tcW w:w="2340" w:type="dxa"/>
            <w:tcMar>
              <w:top w:w="120" w:type="dxa"/>
              <w:left w:w="120" w:type="dxa"/>
              <w:bottom w:w="120" w:type="dxa"/>
              <w:right w:w="120" w:type="dxa"/>
            </w:tcMar>
          </w:tcPr>
          <w:p w14:paraId="4FFC9BF9" w14:textId="77777777" w:rsidR="00D86414" w:rsidRPr="00EB7773" w:rsidRDefault="00000000">
            <w:pPr>
              <w:pBdr>
                <w:top w:val="nil"/>
                <w:left w:val="nil"/>
                <w:bottom w:val="nil"/>
                <w:right w:val="nil"/>
                <w:between w:val="nil"/>
              </w:pBdr>
              <w:rPr>
                <w:lang w:val="es-CO"/>
              </w:rPr>
            </w:pPr>
            <w:r w:rsidRPr="00EB7773">
              <w:rPr>
                <w:lang w:val="es-CO"/>
              </w:rPr>
              <w:t>Integrar inicio de sesión único con Google.</w:t>
            </w:r>
          </w:p>
        </w:tc>
        <w:tc>
          <w:tcPr>
            <w:tcW w:w="2340" w:type="dxa"/>
            <w:tcMar>
              <w:top w:w="120" w:type="dxa"/>
              <w:left w:w="120" w:type="dxa"/>
              <w:bottom w:w="120" w:type="dxa"/>
              <w:right w:w="120" w:type="dxa"/>
            </w:tcMar>
          </w:tcPr>
          <w:p w14:paraId="28F87BFF" w14:textId="77777777" w:rsidR="00D86414" w:rsidRPr="00EB7773" w:rsidRDefault="00000000">
            <w:pPr>
              <w:pBdr>
                <w:top w:val="nil"/>
                <w:left w:val="nil"/>
                <w:bottom w:val="nil"/>
                <w:right w:val="nil"/>
                <w:between w:val="nil"/>
              </w:pBdr>
              <w:rPr>
                <w:b/>
                <w:bCs/>
                <w:lang w:val="es-CO"/>
              </w:rPr>
            </w:pPr>
            <w:r w:rsidRPr="00EB7773">
              <w:rPr>
                <w:b/>
                <w:bCs/>
                <w:lang w:val="es-CO"/>
              </w:rPr>
              <w:t>RF-01: Autenticación con Google</w:t>
            </w:r>
          </w:p>
          <w:p w14:paraId="5FB9A5A0" w14:textId="77777777" w:rsidR="00D86414" w:rsidRPr="00EB7773" w:rsidRDefault="00000000">
            <w:pPr>
              <w:pBdr>
                <w:top w:val="nil"/>
                <w:left w:val="nil"/>
                <w:bottom w:val="nil"/>
                <w:right w:val="nil"/>
                <w:between w:val="nil"/>
              </w:pBdr>
              <w:rPr>
                <w:lang w:val="es-CO"/>
              </w:rPr>
            </w:pPr>
            <w:r w:rsidRPr="00EB7773">
              <w:rPr>
                <w:lang w:val="es-CO"/>
              </w:rPr>
              <w:t>El sistema debe permitir a los usuarios iniciar sesión utilizando sus credenciales de Google sin requerir contraseña local.</w:t>
            </w:r>
          </w:p>
        </w:tc>
        <w:tc>
          <w:tcPr>
            <w:tcW w:w="2340" w:type="dxa"/>
            <w:tcMar>
              <w:top w:w="120" w:type="dxa"/>
              <w:left w:w="120" w:type="dxa"/>
              <w:bottom w:w="120" w:type="dxa"/>
              <w:right w:w="120" w:type="dxa"/>
            </w:tcMar>
          </w:tcPr>
          <w:p w14:paraId="7013C99B" w14:textId="77777777" w:rsidR="00D86414" w:rsidRPr="00EB7773" w:rsidRDefault="00000000">
            <w:pPr>
              <w:pBdr>
                <w:top w:val="nil"/>
                <w:left w:val="nil"/>
                <w:bottom w:val="nil"/>
                <w:right w:val="nil"/>
                <w:between w:val="nil"/>
              </w:pBdr>
              <w:rPr>
                <w:b/>
                <w:bCs/>
                <w:lang w:val="es-CO"/>
              </w:rPr>
            </w:pPr>
            <w:r w:rsidRPr="00EB7773">
              <w:rPr>
                <w:b/>
                <w:bCs/>
                <w:lang w:val="es-CO"/>
              </w:rPr>
              <w:t>RNF-01: Usabilidad y Seguridad</w:t>
            </w:r>
          </w:p>
          <w:p w14:paraId="422A4162" w14:textId="77777777" w:rsidR="00D86414" w:rsidRPr="00EB7773" w:rsidRDefault="00000000">
            <w:pPr>
              <w:pBdr>
                <w:top w:val="nil"/>
                <w:left w:val="nil"/>
                <w:bottom w:val="nil"/>
                <w:right w:val="nil"/>
                <w:between w:val="nil"/>
              </w:pBdr>
              <w:rPr>
                <w:lang w:val="es-CO"/>
              </w:rPr>
            </w:pPr>
            <w:r w:rsidRPr="00EB7773">
              <w:rPr>
                <w:lang w:val="es-CO"/>
              </w:rPr>
              <w:t xml:space="preserve">El proceso de autenticación no debe tomar más de 2 clics desde la pantalla de </w:t>
            </w:r>
            <w:proofErr w:type="spellStart"/>
            <w:r w:rsidRPr="00EB7773">
              <w:rPr>
                <w:lang w:val="es-CO"/>
              </w:rPr>
              <w:t>login</w:t>
            </w:r>
            <w:proofErr w:type="spellEnd"/>
            <w:r w:rsidRPr="00EB7773">
              <w:rPr>
                <w:lang w:val="es-CO"/>
              </w:rPr>
              <w:t xml:space="preserve"> principal, manteniendo los estándares de </w:t>
            </w:r>
            <w:r w:rsidRPr="00EB7773">
              <w:rPr>
                <w:lang w:val="es-CO"/>
              </w:rPr>
              <w:lastRenderedPageBreak/>
              <w:t>seguridad de OAuth 2.0.</w:t>
            </w:r>
          </w:p>
        </w:tc>
      </w:tr>
      <w:tr w:rsidR="00D86414" w:rsidRPr="00EB7773" w14:paraId="02D0AEC3" w14:textId="77777777">
        <w:tc>
          <w:tcPr>
            <w:tcW w:w="2340" w:type="dxa"/>
            <w:tcMar>
              <w:top w:w="120" w:type="dxa"/>
              <w:left w:w="120" w:type="dxa"/>
              <w:bottom w:w="120" w:type="dxa"/>
              <w:right w:w="120" w:type="dxa"/>
            </w:tcMar>
          </w:tcPr>
          <w:p w14:paraId="308178FF" w14:textId="77777777" w:rsidR="00D86414" w:rsidRPr="00EB7773" w:rsidRDefault="00000000">
            <w:pPr>
              <w:pBdr>
                <w:top w:val="nil"/>
                <w:left w:val="nil"/>
                <w:bottom w:val="nil"/>
                <w:right w:val="nil"/>
                <w:between w:val="nil"/>
              </w:pBdr>
              <w:rPr>
                <w:lang w:val="es-CO"/>
              </w:rPr>
            </w:pPr>
            <w:r w:rsidRPr="00EB7773">
              <w:rPr>
                <w:lang w:val="es-CO"/>
              </w:rPr>
              <w:lastRenderedPageBreak/>
              <w:t xml:space="preserve">Cambiar el </w:t>
            </w:r>
            <w:proofErr w:type="spellStart"/>
            <w:r w:rsidRPr="00EB7773">
              <w:rPr>
                <w:lang w:val="es-CO"/>
              </w:rPr>
              <w:t>theming</w:t>
            </w:r>
            <w:proofErr w:type="spellEnd"/>
            <w:r w:rsidRPr="00EB7773">
              <w:rPr>
                <w:lang w:val="es-CO"/>
              </w:rPr>
              <w:t xml:space="preserve"> de acuerdo al branding del cliente.</w:t>
            </w:r>
          </w:p>
        </w:tc>
        <w:tc>
          <w:tcPr>
            <w:tcW w:w="2340" w:type="dxa"/>
            <w:tcMar>
              <w:top w:w="120" w:type="dxa"/>
              <w:left w:w="120" w:type="dxa"/>
              <w:bottom w:w="120" w:type="dxa"/>
              <w:right w:w="120" w:type="dxa"/>
            </w:tcMar>
          </w:tcPr>
          <w:p w14:paraId="720BA63A" w14:textId="77777777" w:rsidR="00D86414" w:rsidRPr="00EB7773" w:rsidRDefault="00000000">
            <w:pPr>
              <w:pBdr>
                <w:top w:val="nil"/>
                <w:left w:val="nil"/>
                <w:bottom w:val="nil"/>
                <w:right w:val="nil"/>
                <w:between w:val="nil"/>
              </w:pBdr>
              <w:rPr>
                <w:lang w:val="es-CO"/>
              </w:rPr>
            </w:pPr>
            <w:r w:rsidRPr="00EB7773">
              <w:rPr>
                <w:lang w:val="es-CO"/>
              </w:rPr>
              <w:t>Ajustar la paleta de colores de la interfaz según las directrices del cliente.</w:t>
            </w:r>
          </w:p>
        </w:tc>
        <w:tc>
          <w:tcPr>
            <w:tcW w:w="2340" w:type="dxa"/>
            <w:tcMar>
              <w:top w:w="120" w:type="dxa"/>
              <w:left w:w="120" w:type="dxa"/>
              <w:bottom w:w="120" w:type="dxa"/>
              <w:right w:w="120" w:type="dxa"/>
            </w:tcMar>
          </w:tcPr>
          <w:p w14:paraId="43F4E5DF" w14:textId="77777777" w:rsidR="00D86414" w:rsidRPr="00EB7773" w:rsidRDefault="00000000">
            <w:pPr>
              <w:pBdr>
                <w:top w:val="nil"/>
                <w:left w:val="nil"/>
                <w:bottom w:val="nil"/>
                <w:right w:val="nil"/>
                <w:between w:val="nil"/>
              </w:pBdr>
              <w:rPr>
                <w:b/>
                <w:bCs/>
                <w:lang w:val="es-CO"/>
              </w:rPr>
            </w:pPr>
            <w:r w:rsidRPr="00EB7773">
              <w:rPr>
                <w:b/>
                <w:bCs/>
                <w:lang w:val="es-CO"/>
              </w:rPr>
              <w:t>RF-02: Aplicación de Paleta Institucional</w:t>
            </w:r>
          </w:p>
          <w:p w14:paraId="25237DF2" w14:textId="77777777" w:rsidR="00D86414" w:rsidRPr="00EB7773" w:rsidRDefault="00000000">
            <w:pPr>
              <w:pBdr>
                <w:top w:val="nil"/>
                <w:left w:val="nil"/>
                <w:bottom w:val="nil"/>
                <w:right w:val="nil"/>
                <w:between w:val="nil"/>
              </w:pBdr>
              <w:rPr>
                <w:lang w:val="es-CO"/>
              </w:rPr>
            </w:pPr>
            <w:r w:rsidRPr="00EB7773">
              <w:rPr>
                <w:lang w:val="es-CO"/>
              </w:rPr>
              <w:t xml:space="preserve">La interfaz de usuario del </w:t>
            </w:r>
            <w:proofErr w:type="spellStart"/>
            <w:r w:rsidRPr="00EB7773">
              <w:rPr>
                <w:lang w:val="es-CO"/>
              </w:rPr>
              <w:t>frontend</w:t>
            </w:r>
            <w:proofErr w:type="spellEnd"/>
            <w:r w:rsidRPr="00EB7773">
              <w:rPr>
                <w:lang w:val="es-CO"/>
              </w:rPr>
              <w:t xml:space="preserve"> debe reflejar los colores institucionales definidos por el cliente en los elementos principales (botones, encabezados y menús).</w:t>
            </w:r>
          </w:p>
        </w:tc>
        <w:tc>
          <w:tcPr>
            <w:tcW w:w="2340" w:type="dxa"/>
            <w:tcMar>
              <w:top w:w="120" w:type="dxa"/>
              <w:left w:w="120" w:type="dxa"/>
              <w:bottom w:w="120" w:type="dxa"/>
              <w:right w:w="120" w:type="dxa"/>
            </w:tcMar>
          </w:tcPr>
          <w:p w14:paraId="5DA36FE6" w14:textId="77777777" w:rsidR="00D86414" w:rsidRPr="00EB7773" w:rsidRDefault="00000000">
            <w:pPr>
              <w:pBdr>
                <w:top w:val="nil"/>
                <w:left w:val="nil"/>
                <w:bottom w:val="nil"/>
                <w:right w:val="nil"/>
                <w:between w:val="nil"/>
              </w:pBdr>
              <w:rPr>
                <w:b/>
                <w:bCs/>
                <w:lang w:val="es-CO"/>
              </w:rPr>
            </w:pPr>
            <w:r w:rsidRPr="00EB7773">
              <w:rPr>
                <w:b/>
                <w:bCs/>
                <w:lang w:val="es-CO"/>
              </w:rPr>
              <w:t>RNF-02: Estética y Consistencia visual</w:t>
            </w:r>
          </w:p>
          <w:p w14:paraId="6208B33A" w14:textId="77777777" w:rsidR="00D86414" w:rsidRPr="00EB7773" w:rsidRDefault="00000000">
            <w:pPr>
              <w:pBdr>
                <w:top w:val="nil"/>
                <w:left w:val="nil"/>
                <w:bottom w:val="nil"/>
                <w:right w:val="nil"/>
                <w:between w:val="nil"/>
              </w:pBdr>
              <w:rPr>
                <w:lang w:val="es-CO"/>
              </w:rPr>
            </w:pPr>
            <w:r w:rsidRPr="00EB7773">
              <w:rPr>
                <w:lang w:val="es-CO"/>
              </w:rPr>
              <w:t>El contraste de los nuevos colores aplicados debe cumplir con las pautas básicas de accesibilidad visual (WCAG) para garantizar la legibilidad.</w:t>
            </w:r>
          </w:p>
        </w:tc>
      </w:tr>
      <w:tr w:rsidR="00D86414" w:rsidRPr="00EB7773" w14:paraId="7B4ECC15" w14:textId="77777777">
        <w:tc>
          <w:tcPr>
            <w:tcW w:w="2340" w:type="dxa"/>
            <w:tcMar>
              <w:top w:w="120" w:type="dxa"/>
              <w:left w:w="120" w:type="dxa"/>
              <w:bottom w:w="120" w:type="dxa"/>
              <w:right w:w="120" w:type="dxa"/>
            </w:tcMar>
          </w:tcPr>
          <w:p w14:paraId="1ACD1787" w14:textId="77777777" w:rsidR="00D86414" w:rsidRPr="00EB7773" w:rsidRDefault="00000000">
            <w:pPr>
              <w:pBdr>
                <w:top w:val="nil"/>
                <w:left w:val="nil"/>
                <w:bottom w:val="nil"/>
                <w:right w:val="nil"/>
                <w:between w:val="nil"/>
              </w:pBdr>
              <w:rPr>
                <w:lang w:val="es-CO"/>
              </w:rPr>
            </w:pPr>
            <w:r w:rsidRPr="00EB7773">
              <w:rPr>
                <w:lang w:val="es-CO"/>
              </w:rPr>
              <w:t>Botón para ver los cupones que ya se usaron antes.</w:t>
            </w:r>
          </w:p>
        </w:tc>
        <w:tc>
          <w:tcPr>
            <w:tcW w:w="2340" w:type="dxa"/>
            <w:tcMar>
              <w:top w:w="120" w:type="dxa"/>
              <w:left w:w="120" w:type="dxa"/>
              <w:bottom w:w="120" w:type="dxa"/>
              <w:right w:w="120" w:type="dxa"/>
            </w:tcMar>
          </w:tcPr>
          <w:p w14:paraId="490C61B9" w14:textId="77777777" w:rsidR="00D86414" w:rsidRPr="00EB7773" w:rsidRDefault="00000000">
            <w:pPr>
              <w:pBdr>
                <w:top w:val="nil"/>
                <w:left w:val="nil"/>
                <w:bottom w:val="nil"/>
                <w:right w:val="nil"/>
                <w:between w:val="nil"/>
              </w:pBdr>
              <w:rPr>
                <w:lang w:val="es-CO"/>
              </w:rPr>
            </w:pPr>
            <w:r w:rsidRPr="00EB7773">
              <w:rPr>
                <w:lang w:val="es-CO"/>
              </w:rPr>
              <w:t xml:space="preserve">Agregar un botón y sección de historial en el </w:t>
            </w:r>
            <w:proofErr w:type="spellStart"/>
            <w:r w:rsidRPr="00EB7773">
              <w:rPr>
                <w:lang w:val="es-CO"/>
              </w:rPr>
              <w:t>dashboard</w:t>
            </w:r>
            <w:proofErr w:type="spellEnd"/>
            <w:r w:rsidRPr="00EB7773">
              <w:rPr>
                <w:lang w:val="es-CO"/>
              </w:rPr>
              <w:t xml:space="preserve"> del usuario.</w:t>
            </w:r>
          </w:p>
        </w:tc>
        <w:tc>
          <w:tcPr>
            <w:tcW w:w="2340" w:type="dxa"/>
            <w:tcMar>
              <w:top w:w="120" w:type="dxa"/>
              <w:left w:w="120" w:type="dxa"/>
              <w:bottom w:w="120" w:type="dxa"/>
              <w:right w:w="120" w:type="dxa"/>
            </w:tcMar>
          </w:tcPr>
          <w:p w14:paraId="7B0DD237" w14:textId="77777777" w:rsidR="00D86414" w:rsidRPr="00EB7773" w:rsidRDefault="00000000">
            <w:pPr>
              <w:pBdr>
                <w:top w:val="nil"/>
                <w:left w:val="nil"/>
                <w:bottom w:val="nil"/>
                <w:right w:val="nil"/>
                <w:between w:val="nil"/>
              </w:pBdr>
              <w:rPr>
                <w:b/>
                <w:bCs/>
                <w:lang w:val="es-CO"/>
              </w:rPr>
            </w:pPr>
            <w:r w:rsidRPr="00EB7773">
              <w:rPr>
                <w:b/>
                <w:bCs/>
                <w:lang w:val="es-CO"/>
              </w:rPr>
              <w:t>RF-03: Botón de Historial de Cupones</w:t>
            </w:r>
          </w:p>
          <w:p w14:paraId="5C468A48" w14:textId="77777777" w:rsidR="00D86414" w:rsidRPr="00EB7773" w:rsidRDefault="00000000">
            <w:pPr>
              <w:pBdr>
                <w:top w:val="nil"/>
                <w:left w:val="nil"/>
                <w:bottom w:val="nil"/>
                <w:right w:val="nil"/>
                <w:between w:val="nil"/>
              </w:pBdr>
              <w:rPr>
                <w:lang w:val="es-CO"/>
              </w:rPr>
            </w:pPr>
            <w:r w:rsidRPr="00EB7773">
              <w:rPr>
                <w:lang w:val="es-CO"/>
              </w:rPr>
              <w:t xml:space="preserve">El sistema debe mostrar un botón en el </w:t>
            </w:r>
            <w:proofErr w:type="spellStart"/>
            <w:r w:rsidRPr="00EB7773">
              <w:rPr>
                <w:lang w:val="es-CO"/>
              </w:rPr>
              <w:t>dashboard</w:t>
            </w:r>
            <w:proofErr w:type="spellEnd"/>
            <w:r w:rsidRPr="00EB7773">
              <w:rPr>
                <w:lang w:val="es-CO"/>
              </w:rPr>
              <w:t xml:space="preserve"> del cliente que, al ser presionado, despliegue el historial de cupones de descuento ya utilizados.</w:t>
            </w:r>
          </w:p>
        </w:tc>
        <w:tc>
          <w:tcPr>
            <w:tcW w:w="2340" w:type="dxa"/>
            <w:tcMar>
              <w:top w:w="120" w:type="dxa"/>
              <w:left w:w="120" w:type="dxa"/>
              <w:bottom w:w="120" w:type="dxa"/>
              <w:right w:w="120" w:type="dxa"/>
            </w:tcMar>
          </w:tcPr>
          <w:p w14:paraId="1933C134" w14:textId="77777777" w:rsidR="00D86414" w:rsidRPr="00EB7773" w:rsidRDefault="00000000">
            <w:pPr>
              <w:pBdr>
                <w:top w:val="nil"/>
                <w:left w:val="nil"/>
                <w:bottom w:val="nil"/>
                <w:right w:val="nil"/>
                <w:between w:val="nil"/>
              </w:pBdr>
              <w:rPr>
                <w:b/>
                <w:bCs/>
                <w:lang w:val="es-CO"/>
              </w:rPr>
            </w:pPr>
            <w:r w:rsidRPr="00EB7773">
              <w:rPr>
                <w:b/>
                <w:bCs/>
                <w:lang w:val="es-CO"/>
              </w:rPr>
              <w:t>RNF-03: Rendimiento y Disponibilidad</w:t>
            </w:r>
          </w:p>
          <w:p w14:paraId="7187A195" w14:textId="77777777" w:rsidR="00D86414" w:rsidRPr="00EB7773" w:rsidRDefault="00000000">
            <w:pPr>
              <w:pBdr>
                <w:top w:val="nil"/>
                <w:left w:val="nil"/>
                <w:bottom w:val="nil"/>
                <w:right w:val="nil"/>
                <w:between w:val="nil"/>
              </w:pBdr>
              <w:rPr>
                <w:lang w:val="es-CO"/>
              </w:rPr>
            </w:pPr>
            <w:r w:rsidRPr="00EB7773">
              <w:rPr>
                <w:lang w:val="es-CO"/>
              </w:rPr>
              <w:t>La consulta y despliegue del historial de cupones no debe demorar más de 2 segundos en cargar tras accionar el botón.</w:t>
            </w:r>
          </w:p>
        </w:tc>
      </w:tr>
    </w:tbl>
    <w:p w14:paraId="18F844AE" w14:textId="77777777" w:rsidR="00D86414" w:rsidRPr="00EB7773" w:rsidRDefault="00D86414">
      <w:pPr>
        <w:pStyle w:val="Ttulo2"/>
        <w:rPr>
          <w:lang w:val="es-CO"/>
        </w:rPr>
      </w:pPr>
    </w:p>
    <w:p w14:paraId="076F9537" w14:textId="77777777" w:rsidR="00D86414" w:rsidRPr="00EB7773" w:rsidRDefault="00000000">
      <w:pPr>
        <w:pStyle w:val="Ttulo2"/>
        <w:rPr>
          <w:lang w:val="es-CO"/>
        </w:rPr>
      </w:pPr>
      <w:r w:rsidRPr="00EB7773">
        <w:rPr>
          <w:lang w:val="es-CO"/>
        </w:rPr>
        <w:t>3. Criterios de Aceptación para Pruebas</w:t>
      </w:r>
    </w:p>
    <w:p w14:paraId="5EBC15D4" w14:textId="77777777" w:rsidR="00D86414" w:rsidRPr="00EB7773" w:rsidRDefault="00000000">
      <w:pPr>
        <w:pBdr>
          <w:top w:val="nil"/>
          <w:left w:val="nil"/>
          <w:bottom w:val="nil"/>
          <w:right w:val="nil"/>
          <w:between w:val="nil"/>
        </w:pBdr>
        <w:rPr>
          <w:lang w:val="es-CO"/>
        </w:rPr>
      </w:pPr>
      <w:r w:rsidRPr="00EB7773">
        <w:rPr>
          <w:lang w:val="es-CO"/>
        </w:rPr>
        <w:t>Para guiar el ejercicio de pruebas de aceptación, se definen los siguientes escenarios de validación simplificados:</w:t>
      </w:r>
    </w:p>
    <w:p w14:paraId="709E3E5A" w14:textId="77777777" w:rsidR="00D86414" w:rsidRPr="00EB7773" w:rsidRDefault="00000000">
      <w:pPr>
        <w:numPr>
          <w:ilvl w:val="0"/>
          <w:numId w:val="1"/>
        </w:numPr>
        <w:pBdr>
          <w:top w:val="nil"/>
          <w:left w:val="nil"/>
          <w:bottom w:val="nil"/>
          <w:right w:val="nil"/>
          <w:between w:val="nil"/>
        </w:pBdr>
        <w:rPr>
          <w:lang w:val="es-CO"/>
        </w:rPr>
      </w:pPr>
      <w:r w:rsidRPr="00EB7773">
        <w:rPr>
          <w:b/>
          <w:bCs/>
          <w:lang w:val="es-CO"/>
        </w:rPr>
        <w:t>Prueba de Autenticación (RF-01):</w:t>
      </w:r>
      <w:r w:rsidRPr="00EB7773">
        <w:rPr>
          <w:lang w:val="es-CO"/>
        </w:rPr>
        <w:t xml:space="preserve"> Al presionar el botón "Iniciar sesión con Google", el sistema redirige correctamente al proveedor, autentica al usuario y lo ingresa a la plataforma sin solicitar contraseñas adicionales.</w:t>
      </w:r>
    </w:p>
    <w:p w14:paraId="01CB08D2" w14:textId="77777777" w:rsidR="00D86414" w:rsidRPr="00EB7773" w:rsidRDefault="00D86414">
      <w:pPr>
        <w:pBdr>
          <w:top w:val="nil"/>
          <w:left w:val="nil"/>
          <w:bottom w:val="nil"/>
          <w:right w:val="nil"/>
          <w:between w:val="nil"/>
        </w:pBdr>
        <w:ind w:left="600"/>
        <w:rPr>
          <w:lang w:val="es-CO"/>
        </w:rPr>
      </w:pPr>
    </w:p>
    <w:p w14:paraId="651E1928" w14:textId="77777777" w:rsidR="00D86414" w:rsidRPr="00EB7773" w:rsidRDefault="00000000">
      <w:pPr>
        <w:numPr>
          <w:ilvl w:val="0"/>
          <w:numId w:val="1"/>
        </w:numPr>
        <w:pBdr>
          <w:top w:val="nil"/>
          <w:left w:val="nil"/>
          <w:bottom w:val="nil"/>
          <w:right w:val="nil"/>
          <w:between w:val="nil"/>
        </w:pBdr>
        <w:rPr>
          <w:lang w:val="es-CO"/>
        </w:rPr>
      </w:pPr>
      <w:r w:rsidRPr="00EB7773">
        <w:rPr>
          <w:b/>
          <w:bCs/>
          <w:lang w:val="es-CO"/>
        </w:rPr>
        <w:t>Prueba de Interfaz (RF-02):</w:t>
      </w:r>
      <w:r w:rsidRPr="00EB7773">
        <w:rPr>
          <w:lang w:val="es-CO"/>
        </w:rPr>
        <w:t xml:space="preserve"> Al inspeccionar visualmente la plataforma, los colores primarios y secundarios coinciden exactamente con los códigos hexadecimales entregados por el cliente, manteniendo la uniformidad en todas las vistas.</w:t>
      </w:r>
    </w:p>
    <w:p w14:paraId="4EB80E91" w14:textId="77777777" w:rsidR="00D86414" w:rsidRPr="00EB7773" w:rsidRDefault="00D86414">
      <w:pPr>
        <w:pBdr>
          <w:top w:val="nil"/>
          <w:left w:val="nil"/>
          <w:bottom w:val="nil"/>
          <w:right w:val="nil"/>
          <w:between w:val="nil"/>
        </w:pBdr>
        <w:ind w:left="600"/>
        <w:rPr>
          <w:lang w:val="es-CO"/>
        </w:rPr>
      </w:pPr>
    </w:p>
    <w:p w14:paraId="0613A4E6" w14:textId="77777777" w:rsidR="00D86414" w:rsidRPr="00EB7773" w:rsidRDefault="00000000">
      <w:pPr>
        <w:numPr>
          <w:ilvl w:val="0"/>
          <w:numId w:val="1"/>
        </w:numPr>
        <w:pBdr>
          <w:top w:val="nil"/>
          <w:left w:val="nil"/>
          <w:bottom w:val="nil"/>
          <w:right w:val="nil"/>
          <w:between w:val="nil"/>
        </w:pBdr>
        <w:rPr>
          <w:lang w:val="es-CO"/>
        </w:rPr>
      </w:pPr>
      <w:r w:rsidRPr="00EB7773">
        <w:rPr>
          <w:b/>
          <w:bCs/>
          <w:lang w:val="es-CO"/>
        </w:rPr>
        <w:lastRenderedPageBreak/>
        <w:t>Prueba de Historial (RF-03):</w:t>
      </w:r>
      <w:r w:rsidRPr="00EB7773">
        <w:rPr>
          <w:lang w:val="es-CO"/>
        </w:rPr>
        <w:t xml:space="preserve"> Al ingresar al </w:t>
      </w:r>
      <w:proofErr w:type="spellStart"/>
      <w:r w:rsidRPr="00EB7773">
        <w:rPr>
          <w:lang w:val="es-CO"/>
        </w:rPr>
        <w:t>dashboard</w:t>
      </w:r>
      <w:proofErr w:type="spellEnd"/>
      <w:r w:rsidRPr="00EB7773">
        <w:rPr>
          <w:lang w:val="es-CO"/>
        </w:rPr>
        <w:t xml:space="preserve"> de un cliente con cupones previamente redimidos, se visualiza el botón correspondiente y, al hacer clic, se lista correctamente la información histórica de forma clara.</w:t>
      </w:r>
    </w:p>
    <w:p w14:paraId="3AA9C553" w14:textId="77777777" w:rsidR="00D86414" w:rsidRPr="00EB7773" w:rsidRDefault="00000000">
      <w:pPr>
        <w:pStyle w:val="Ttulo2"/>
        <w:rPr>
          <w:lang w:val="es-CO"/>
        </w:rPr>
      </w:pPr>
      <w:r w:rsidRPr="00EB7773">
        <w:rPr>
          <w:lang w:val="es-CO"/>
        </w:rPr>
        <w:t>4. Resumen de Verificación No Funcional</w:t>
      </w:r>
    </w:p>
    <w:p w14:paraId="1E03DCB8" w14:textId="77777777" w:rsidR="00D86414" w:rsidRDefault="00000000">
      <w:pPr>
        <w:rPr>
          <w:lang w:val="es-CO"/>
        </w:rPr>
      </w:pPr>
      <w:r w:rsidRPr="00EB7773">
        <w:rPr>
          <w:lang w:val="es-CO"/>
        </w:rPr>
        <w:t xml:space="preserve">A </w:t>
      </w:r>
      <w:proofErr w:type="gramStart"/>
      <w:r w:rsidRPr="00EB7773">
        <w:rPr>
          <w:lang w:val="es-CO"/>
        </w:rPr>
        <w:t>continuación</w:t>
      </w:r>
      <w:proofErr w:type="gramEnd"/>
      <w:r w:rsidRPr="00EB7773">
        <w:rPr>
          <w:lang w:val="es-CO"/>
        </w:rPr>
        <w:t xml:space="preserve"> se resume la evidencia de las pruebas no funcionales aplicadas sobre el </w:t>
      </w:r>
      <w:proofErr w:type="spellStart"/>
      <w:r w:rsidRPr="00EB7773">
        <w:rPr>
          <w:lang w:val="es-CO"/>
        </w:rPr>
        <w:t>dashboard</w:t>
      </w:r>
      <w:proofErr w:type="spellEnd"/>
      <w:r w:rsidRPr="00EB7773">
        <w:rPr>
          <w:lang w:val="es-CO"/>
        </w:rPr>
        <w:t xml:space="preserve"> de </w:t>
      </w:r>
      <w:proofErr w:type="spellStart"/>
      <w:r w:rsidRPr="00EB7773">
        <w:rPr>
          <w:lang w:val="es-CO"/>
        </w:rPr>
        <w:t>Saleor</w:t>
      </w:r>
      <w:proofErr w:type="spellEnd"/>
      <w:r w:rsidRPr="00EB7773">
        <w:rPr>
          <w:lang w:val="es-CO"/>
        </w:rPr>
        <w:t xml:space="preserve">: análisis estático del código con </w:t>
      </w:r>
      <w:proofErr w:type="spellStart"/>
      <w:r w:rsidRPr="00EB7773">
        <w:rPr>
          <w:lang w:val="es-CO"/>
        </w:rPr>
        <w:t>ESLint</w:t>
      </w:r>
      <w:proofErr w:type="spellEnd"/>
      <w:r w:rsidRPr="00EB7773">
        <w:rPr>
          <w:lang w:val="es-CO"/>
        </w:rPr>
        <w:t xml:space="preserve"> (mantenibilidad) y análisis dinámico con OWASP ZAP (seguridad).</w:t>
      </w:r>
    </w:p>
    <w:p w14:paraId="6A448697" w14:textId="77777777" w:rsidR="00EB7773" w:rsidRPr="00EB7773" w:rsidRDefault="00EB7773">
      <w:pPr>
        <w:rPr>
          <w:lang w:val="es-CO"/>
        </w:rPr>
      </w:pPr>
    </w:p>
    <w:p w14:paraId="153730F9" w14:textId="77777777" w:rsidR="00D86414" w:rsidRDefault="00000000">
      <w:pPr>
        <w:rPr>
          <w:lang w:val="es-CO"/>
        </w:rPr>
      </w:pPr>
      <w:r w:rsidRPr="00EB7773">
        <w:rPr>
          <w:b/>
          <w:lang w:val="es-CO"/>
        </w:rPr>
        <w:t xml:space="preserve">4.1 Análisis estático — </w:t>
      </w:r>
      <w:proofErr w:type="spellStart"/>
      <w:r w:rsidRPr="00EB7773">
        <w:rPr>
          <w:b/>
          <w:lang w:val="es-CO"/>
        </w:rPr>
        <w:t>ESLint</w:t>
      </w:r>
      <w:proofErr w:type="spellEnd"/>
      <w:r w:rsidRPr="00EB7773">
        <w:rPr>
          <w:b/>
          <w:lang w:val="es-CO"/>
        </w:rPr>
        <w:t xml:space="preserve"> (mantenibilidad). </w:t>
      </w:r>
      <w:r w:rsidRPr="00EB7773">
        <w:rPr>
          <w:lang w:val="es-CO"/>
        </w:rPr>
        <w:t xml:space="preserve">Se ejecutó </w:t>
      </w:r>
      <w:proofErr w:type="spellStart"/>
      <w:r w:rsidRPr="00EB7773">
        <w:rPr>
          <w:lang w:val="es-CO"/>
        </w:rPr>
        <w:t>ESLint</w:t>
      </w:r>
      <w:proofErr w:type="spellEnd"/>
      <w:r w:rsidRPr="00EB7773">
        <w:rPr>
          <w:lang w:val="es-CO"/>
        </w:rPr>
        <w:t xml:space="preserve"> (con la configuración del propio proyecto) sobre los archivos modificados por el equipo. Resultado: 15 problemas — 4 errores y 11 advertencias. Los 4 errores son de formato (</w:t>
      </w:r>
      <w:proofErr w:type="spellStart"/>
      <w:r w:rsidRPr="00EB7773">
        <w:rPr>
          <w:lang w:val="es-CO"/>
        </w:rPr>
        <w:t>padding</w:t>
      </w:r>
      <w:proofErr w:type="spellEnd"/>
      <w:r w:rsidRPr="00EB7773">
        <w:rPr>
          <w:lang w:val="es-CO"/>
        </w:rPr>
        <w:t>-line-</w:t>
      </w:r>
      <w:proofErr w:type="spellStart"/>
      <w:r w:rsidRPr="00EB7773">
        <w:rPr>
          <w:lang w:val="es-CO"/>
        </w:rPr>
        <w:t>between</w:t>
      </w:r>
      <w:proofErr w:type="spellEnd"/>
      <w:r w:rsidRPr="00EB7773">
        <w:rPr>
          <w:lang w:val="es-CO"/>
        </w:rPr>
        <w:t>-</w:t>
      </w:r>
      <w:proofErr w:type="spellStart"/>
      <w:r w:rsidRPr="00EB7773">
        <w:rPr>
          <w:lang w:val="es-CO"/>
        </w:rPr>
        <w:t>statements</w:t>
      </w:r>
      <w:proofErr w:type="spellEnd"/>
      <w:r w:rsidRPr="00EB7773">
        <w:rPr>
          <w:lang w:val="es-CO"/>
        </w:rPr>
        <w:t xml:space="preserve">). Entre las advertencias: la consulta </w:t>
      </w:r>
      <w:proofErr w:type="spellStart"/>
      <w:r w:rsidRPr="00EB7773">
        <w:rPr>
          <w:lang w:val="es-CO"/>
        </w:rPr>
        <w:t>GraphQL</w:t>
      </w:r>
      <w:proofErr w:type="spellEnd"/>
      <w:r w:rsidRPr="00EB7773">
        <w:rPr>
          <w:lang w:val="es-CO"/>
        </w:rPr>
        <w:t xml:space="preserve"> del botón de cupones no selecciona el campo id (</w:t>
      </w:r>
      <w:proofErr w:type="spellStart"/>
      <w:r w:rsidRPr="00EB7773">
        <w:rPr>
          <w:lang w:val="es-CO"/>
        </w:rPr>
        <w:t>require-selections</w:t>
      </w:r>
      <w:proofErr w:type="spellEnd"/>
      <w:r w:rsidRPr="00EB7773">
        <w:rPr>
          <w:lang w:val="es-CO"/>
        </w:rPr>
        <w:t xml:space="preserve"> ×3, afecta la caché de Apollo), 5 funciones sin tipo de retorno explícito y 2 usos de </w:t>
      </w:r>
      <w:proofErr w:type="spellStart"/>
      <w:r w:rsidRPr="00EB7773">
        <w:rPr>
          <w:lang w:val="es-CO"/>
        </w:rPr>
        <w:t>export</w:t>
      </w:r>
      <w:proofErr w:type="spellEnd"/>
      <w:r w:rsidRPr="00EB7773">
        <w:rPr>
          <w:lang w:val="es-CO"/>
        </w:rPr>
        <w:t xml:space="preserve"> default frente a la convención de </w:t>
      </w:r>
      <w:proofErr w:type="spellStart"/>
      <w:r w:rsidRPr="00EB7773">
        <w:rPr>
          <w:lang w:val="es-CO"/>
        </w:rPr>
        <w:t>named</w:t>
      </w:r>
      <w:proofErr w:type="spellEnd"/>
      <w:r w:rsidRPr="00EB7773">
        <w:rPr>
          <w:lang w:val="es-CO"/>
        </w:rPr>
        <w:t xml:space="preserve"> </w:t>
      </w:r>
      <w:proofErr w:type="spellStart"/>
      <w:r w:rsidRPr="00EB7773">
        <w:rPr>
          <w:lang w:val="es-CO"/>
        </w:rPr>
        <w:t>exports</w:t>
      </w:r>
      <w:proofErr w:type="spellEnd"/>
      <w:r w:rsidRPr="00EB7773">
        <w:rPr>
          <w:lang w:val="es-CO"/>
        </w:rPr>
        <w:t xml:space="preserve"> del proyecto. Conclusión: ningún hallazgo es crítico, pero evidencian que el código nuevo no pasó el </w:t>
      </w:r>
      <w:proofErr w:type="spellStart"/>
      <w:r w:rsidRPr="00EB7773">
        <w:rPr>
          <w:lang w:val="es-CO"/>
        </w:rPr>
        <w:t>linter</w:t>
      </w:r>
      <w:proofErr w:type="spellEnd"/>
      <w:r w:rsidRPr="00EB7773">
        <w:rPr>
          <w:lang w:val="es-CO"/>
        </w:rPr>
        <w:t xml:space="preserve"> del proyecto; las correcciones son de bajo esfuerzo.</w:t>
      </w:r>
    </w:p>
    <w:p w14:paraId="3DF00EAB" w14:textId="77777777" w:rsidR="00EB7773" w:rsidRPr="00EB7773" w:rsidRDefault="00EB7773">
      <w:pPr>
        <w:rPr>
          <w:lang w:val="es-CO"/>
        </w:rPr>
      </w:pPr>
    </w:p>
    <w:p w14:paraId="015E87CB" w14:textId="77777777" w:rsidR="00D86414" w:rsidRPr="00EB7773" w:rsidRDefault="00000000">
      <w:pPr>
        <w:rPr>
          <w:lang w:val="es-CO"/>
        </w:rPr>
      </w:pPr>
      <w:r w:rsidRPr="00EB7773">
        <w:rPr>
          <w:b/>
          <w:lang w:val="es-CO"/>
        </w:rPr>
        <w:t xml:space="preserve">4.2 Análisis dinámico — OWASP ZAP (seguridad). </w:t>
      </w:r>
      <w:r w:rsidRPr="00EB7773">
        <w:rPr>
          <w:lang w:val="es-CO"/>
        </w:rPr>
        <w:t xml:space="preserve">Se ejecutó OWASP ZAP 2.17 (escaneo </w:t>
      </w:r>
      <w:proofErr w:type="spellStart"/>
      <w:r w:rsidRPr="00EB7773">
        <w:rPr>
          <w:lang w:val="es-CO"/>
        </w:rPr>
        <w:t>baseline</w:t>
      </w:r>
      <w:proofErr w:type="spellEnd"/>
      <w:r w:rsidRPr="00EB7773">
        <w:rPr>
          <w:lang w:val="es-CO"/>
        </w:rPr>
        <w:t xml:space="preserve">) sobre http://localhost:9000, con el </w:t>
      </w:r>
      <w:proofErr w:type="spellStart"/>
      <w:r w:rsidRPr="00EB7773">
        <w:rPr>
          <w:lang w:val="es-CO"/>
        </w:rPr>
        <w:t>stack</w:t>
      </w:r>
      <w:proofErr w:type="spellEnd"/>
      <w:r w:rsidRPr="00EB7773">
        <w:rPr>
          <w:lang w:val="es-CO"/>
        </w:rPr>
        <w:t xml:space="preserve"> levantado mediante </w:t>
      </w:r>
      <w:proofErr w:type="spellStart"/>
      <w:r w:rsidRPr="00EB7773">
        <w:rPr>
          <w:lang w:val="es-CO"/>
        </w:rPr>
        <w:t>docker</w:t>
      </w:r>
      <w:proofErr w:type="spellEnd"/>
      <w:r w:rsidRPr="00EB7773">
        <w:rPr>
          <w:lang w:val="es-CO"/>
        </w:rPr>
        <w:t xml:space="preserve"> </w:t>
      </w:r>
      <w:proofErr w:type="spellStart"/>
      <w:r w:rsidRPr="00EB7773">
        <w:rPr>
          <w:lang w:val="es-CO"/>
        </w:rPr>
        <w:t>compose</w:t>
      </w:r>
      <w:proofErr w:type="spellEnd"/>
      <w:r w:rsidRPr="00EB7773">
        <w:rPr>
          <w:lang w:val="es-CO"/>
        </w:rPr>
        <w:t>. Resultado: 1 alerta Alta, 3 Medias, 3 Bajas y 5 Informativas, detalladas en la siguiente tabla.</w:t>
      </w:r>
    </w:p>
    <w:p w14:paraId="05A18991" w14:textId="77777777" w:rsidR="00EB7773" w:rsidRDefault="00EB7773">
      <w:pPr>
        <w:rPr>
          <w:b/>
          <w:lang w:val="es-CO"/>
        </w:rPr>
      </w:pPr>
    </w:p>
    <w:p w14:paraId="00B61222" w14:textId="7605612F" w:rsidR="00EB7773" w:rsidRDefault="00EB7773">
      <w:pPr>
        <w:rPr>
          <w:b/>
          <w:lang w:val="es-CO"/>
        </w:rPr>
      </w:pPr>
      <w:r w:rsidRPr="00EB7773">
        <w:rPr>
          <w:b/>
          <w:lang w:val="es-CO"/>
        </w:rPr>
        <w:drawing>
          <wp:inline distT="0" distB="0" distL="0" distR="0" wp14:anchorId="476E4401" wp14:editId="6DD49FBC">
            <wp:extent cx="5943600" cy="1552575"/>
            <wp:effectExtent l="0" t="0" r="0" b="9525"/>
            <wp:docPr id="1542367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67499" name=""/>
                    <pic:cNvPicPr/>
                  </pic:nvPicPr>
                  <pic:blipFill>
                    <a:blip r:embed="rId6"/>
                    <a:stretch>
                      <a:fillRect/>
                    </a:stretch>
                  </pic:blipFill>
                  <pic:spPr>
                    <a:xfrm>
                      <a:off x="0" y="0"/>
                      <a:ext cx="5943600" cy="1552575"/>
                    </a:xfrm>
                    <a:prstGeom prst="rect">
                      <a:avLst/>
                    </a:prstGeom>
                  </pic:spPr>
                </pic:pic>
              </a:graphicData>
            </a:graphic>
          </wp:inline>
        </w:drawing>
      </w:r>
    </w:p>
    <w:p w14:paraId="76EDDBD4" w14:textId="77777777" w:rsidR="00EB7773" w:rsidRDefault="00EB7773">
      <w:pPr>
        <w:rPr>
          <w:b/>
          <w:lang w:val="es-CO"/>
        </w:rPr>
      </w:pPr>
    </w:p>
    <w:p w14:paraId="6AED4714" w14:textId="14867775" w:rsidR="00D86414" w:rsidRDefault="00000000">
      <w:pPr>
        <w:rPr>
          <w:lang w:val="es-CO"/>
        </w:rPr>
      </w:pPr>
      <w:r w:rsidRPr="00EB7773">
        <w:rPr>
          <w:b/>
          <w:lang w:val="es-CO"/>
        </w:rPr>
        <w:t xml:space="preserve">Conclusión de seguridad. </w:t>
      </w:r>
      <w:r w:rsidRPr="00EB7773">
        <w:rPr>
          <w:lang w:val="es-CO"/>
        </w:rPr>
        <w:t>El riesgo principal es la ausencia de cabeceras de seguridad (CSP, X-Frame-</w:t>
      </w:r>
      <w:proofErr w:type="spellStart"/>
      <w:r w:rsidRPr="00EB7773">
        <w:rPr>
          <w:lang w:val="es-CO"/>
        </w:rPr>
        <w:t>Options</w:t>
      </w:r>
      <w:proofErr w:type="spellEnd"/>
      <w:r w:rsidRPr="00EB7773">
        <w:rPr>
          <w:lang w:val="es-CO"/>
        </w:rPr>
        <w:t>, X-Content-</w:t>
      </w:r>
      <w:proofErr w:type="spellStart"/>
      <w:r w:rsidRPr="00EB7773">
        <w:rPr>
          <w:lang w:val="es-CO"/>
        </w:rPr>
        <w:t>Type</w:t>
      </w:r>
      <w:proofErr w:type="spellEnd"/>
      <w:r w:rsidRPr="00EB7773">
        <w:rPr>
          <w:lang w:val="es-CO"/>
        </w:rPr>
        <w:t>-</w:t>
      </w:r>
      <w:proofErr w:type="spellStart"/>
      <w:r w:rsidRPr="00EB7773">
        <w:rPr>
          <w:lang w:val="es-CO"/>
        </w:rPr>
        <w:t>Options</w:t>
      </w:r>
      <w:proofErr w:type="spellEnd"/>
      <w:r w:rsidRPr="00EB7773">
        <w:rPr>
          <w:lang w:val="es-CO"/>
        </w:rPr>
        <w:t xml:space="preserve">, HSTS) y la exposición del servidor de desarrollo de Vite, que ZAP reporta como "Ruta Transversal" (34 instancias en rutas /@fs/.../node_modules). Mitigación recomendada: configurar dichas cabeceras en </w:t>
      </w:r>
      <w:proofErr w:type="spellStart"/>
      <w:r w:rsidRPr="00EB7773">
        <w:rPr>
          <w:lang w:val="es-CO"/>
        </w:rPr>
        <w:t>Nginx</w:t>
      </w:r>
      <w:proofErr w:type="spellEnd"/>
      <w:r w:rsidRPr="00EB7773">
        <w:rPr>
          <w:lang w:val="es-CO"/>
        </w:rPr>
        <w:t xml:space="preserve"> y servir el </w:t>
      </w:r>
      <w:proofErr w:type="spellStart"/>
      <w:r w:rsidRPr="00EB7773">
        <w:rPr>
          <w:lang w:val="es-CO"/>
        </w:rPr>
        <w:t>build</w:t>
      </w:r>
      <w:proofErr w:type="spellEnd"/>
      <w:r w:rsidRPr="00EB7773">
        <w:rPr>
          <w:lang w:val="es-CO"/>
        </w:rPr>
        <w:t xml:space="preserve"> de producción en lugar del servidor de desarrollo. Las alertas Informativas (token en URL, comentarios y caché) son de bajo impacto en este contexto académico.</w:t>
      </w:r>
    </w:p>
    <w:p w14:paraId="7DD86C2E" w14:textId="77777777" w:rsidR="00EB7773" w:rsidRPr="00EB7773" w:rsidRDefault="00EB7773">
      <w:pPr>
        <w:rPr>
          <w:lang w:val="es-CO"/>
        </w:rPr>
      </w:pPr>
    </w:p>
    <w:p w14:paraId="2BCCB531" w14:textId="77777777" w:rsidR="00D86414" w:rsidRPr="00EB7773" w:rsidRDefault="00000000">
      <w:pPr>
        <w:rPr>
          <w:lang w:val="es-CO"/>
        </w:rPr>
      </w:pPr>
      <w:r w:rsidRPr="00EB7773">
        <w:rPr>
          <w:b/>
          <w:lang w:val="es-CO"/>
        </w:rPr>
        <w:t xml:space="preserve">Falso positivo (rendimiento). </w:t>
      </w:r>
      <w:r w:rsidRPr="00EB7773">
        <w:rPr>
          <w:lang w:val="es-CO"/>
        </w:rPr>
        <w:t xml:space="preserve">Las métricas de rendimiento reportadas por ZAP (uso de memoria ≈89 % y un porcentaje de respuestas lentas) se consideran un falso positivo respecto al RNF-03. Las pruebas se ejecutaron con todo el </w:t>
      </w:r>
      <w:proofErr w:type="spellStart"/>
      <w:r w:rsidRPr="00EB7773">
        <w:rPr>
          <w:lang w:val="es-CO"/>
        </w:rPr>
        <w:t>stack</w:t>
      </w:r>
      <w:proofErr w:type="spellEnd"/>
      <w:r w:rsidRPr="00EB7773">
        <w:rPr>
          <w:lang w:val="es-CO"/>
        </w:rPr>
        <w:t xml:space="preserve"> levantado mediante </w:t>
      </w:r>
      <w:proofErr w:type="spellStart"/>
      <w:r w:rsidRPr="00EB7773">
        <w:rPr>
          <w:lang w:val="es-CO"/>
        </w:rPr>
        <w:t>docker</w:t>
      </w:r>
      <w:proofErr w:type="spellEnd"/>
      <w:r w:rsidRPr="00EB7773">
        <w:rPr>
          <w:lang w:val="es-CO"/>
        </w:rPr>
        <w:t xml:space="preserve"> </w:t>
      </w:r>
      <w:proofErr w:type="spellStart"/>
      <w:r w:rsidRPr="00EB7773">
        <w:rPr>
          <w:lang w:val="es-CO"/>
        </w:rPr>
        <w:t>compose</w:t>
      </w:r>
      <w:proofErr w:type="spellEnd"/>
      <w:r w:rsidRPr="00EB7773">
        <w:rPr>
          <w:lang w:val="es-CO"/>
        </w:rPr>
        <w:t xml:space="preserve"> en la misma máquina que también ejecutaba ZAP y el navegador; es decir, la RAM ya estaba en uso por otros procesos antes del escaneo. Por lo tanto, esas cifras reflejan la saturación del entorno de prueba (una sola máquina compartida), no una deficiencia de rendimiento de la aplicación. En un entorno aislado o con recursos dedicados, dichas métricas no representarían un problema real del </w:t>
      </w:r>
      <w:proofErr w:type="spellStart"/>
      <w:r w:rsidRPr="00EB7773">
        <w:rPr>
          <w:lang w:val="es-CO"/>
        </w:rPr>
        <w:t>dashboard</w:t>
      </w:r>
      <w:proofErr w:type="spellEnd"/>
      <w:r w:rsidRPr="00EB7773">
        <w:rPr>
          <w:lang w:val="es-CO"/>
        </w:rPr>
        <w:t>.</w:t>
      </w:r>
    </w:p>
    <w:sectPr w:rsidR="00D86414" w:rsidRPr="00EB777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133476-7EB0-4FED-9662-A06AA7AFFC0C}"/>
  </w:font>
  <w:font w:name="Calibri">
    <w:panose1 w:val="020F0502020204030204"/>
    <w:charset w:val="00"/>
    <w:family w:val="swiss"/>
    <w:pitch w:val="variable"/>
    <w:sig w:usb0="E4002EFF" w:usb1="C200247B" w:usb2="00000009" w:usb3="00000000" w:csb0="000001FF" w:csb1="00000000"/>
    <w:embedRegular r:id="rId2" w:fontKey="{4813607B-B1D2-4C6B-A115-CDFB4228DD08}"/>
  </w:font>
  <w:font w:name="Cambria">
    <w:panose1 w:val="02040503050406030204"/>
    <w:charset w:val="00"/>
    <w:family w:val="roman"/>
    <w:pitch w:val="variable"/>
    <w:sig w:usb0="E00006FF" w:usb1="420024FF" w:usb2="02000000" w:usb3="00000000" w:csb0="0000019F" w:csb1="00000000"/>
    <w:embedRegular r:id="rId3" w:fontKey="{35329CAF-D63E-4821-9229-E54DF17AEB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02C2"/>
    <w:multiLevelType w:val="multilevel"/>
    <w:tmpl w:val="1B8C33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5636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14"/>
    <w:rsid w:val="009C460B"/>
    <w:rsid w:val="00D86414"/>
    <w:rsid w:val="00EB7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4626"/>
  <w15:docId w15:val="{047E283F-A81E-4D35-9598-BA8861AC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aleor/saleor-platfor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Jairo Daniel Salas Mosquera</cp:lastModifiedBy>
  <cp:revision>3</cp:revision>
  <dcterms:created xsi:type="dcterms:W3CDTF">2026-06-06T19:57:00Z</dcterms:created>
  <dcterms:modified xsi:type="dcterms:W3CDTF">2026-06-06T19:58:00Z</dcterms:modified>
</cp:coreProperties>
</file>