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20"/>
        <w:jc w:val="center"/>
      </w:pPr>
      <w:r>
        <w:rPr>
          <w:rFonts w:ascii="Arial" w:cs="Arial" w:eastAsia="Arial" w:hAnsi="Arial"/>
          <w:b/>
          <w:bCs/>
          <w:color w:val="2A1A3A"/>
          <w:sz w:val="80"/>
          <w:szCs w:val="80"/>
        </w:rPr>
        <w:t xml:space="preserve">CIS</w:t>
      </w:r>
    </w:p>
    <w:p>
      <w:pPr>
        <w:spacing w:after="600"/>
        <w:jc w:val="center"/>
      </w:pPr>
      <w:r>
        <w:rPr>
          <w:rFonts w:ascii="Arial" w:cs="Arial" w:eastAsia="Arial" w:hAnsi="Arial"/>
          <w:color w:val="595959"/>
          <w:sz w:val="30"/>
          <w:szCs w:val="30"/>
        </w:rPr>
        <w:t xml:space="preserve">Cognitive Intelligence System</w:t>
      </w:r>
    </w:p>
    <w:p>
      <w:pPr>
        <w:pBdr>
          <w:bottom w:val="single" w:color="2A1A3A" w:sz="6" w:space="1"/>
        </w:pBdr>
        <w:spacing w:after="400"/>
      </w:pPr>
      <w:r>
        <w:t xml:space="preserve"/>
      </w:r>
    </w:p>
    <w:p>
      <w:pPr>
        <w:spacing w:after="200"/>
        <w:jc w:val="center"/>
      </w:pPr>
      <w:r>
        <w:rPr>
          <w:rFonts w:ascii="Arial" w:cs="Arial" w:eastAsia="Arial" w:hAnsi="Arial"/>
          <w:b/>
          <w:bCs/>
          <w:color w:val="2A1A3A"/>
          <w:sz w:val="36"/>
          <w:szCs w:val="36"/>
        </w:rPr>
        <w:t xml:space="preserve">COLD CASE — PARTIALLY SOLVED</w:t>
      </w:r>
    </w:p>
    <w:p>
      <w:pPr>
        <w:spacing w:after="200"/>
        <w:jc w:val="center"/>
      </w:pPr>
      <w:r>
        <w:rPr>
          <w:rFonts w:ascii="Arial" w:cs="Arial" w:eastAsia="Arial" w:hAnsi="Arial"/>
          <w:b/>
          <w:bCs/>
          <w:color w:val="2A1A3A"/>
          <w:sz w:val="52"/>
          <w:szCs w:val="52"/>
        </w:rPr>
        <w:t xml:space="preserve">ANTWERP DIAMOND HEIST</w:t>
      </w:r>
    </w:p>
    <w:p>
      <w:pPr>
        <w:spacing w:after="120"/>
        <w:jc w:val="center"/>
      </w:pPr>
      <w:r>
        <w:rPr>
          <w:rFonts w:ascii="Arial" w:cs="Arial" w:eastAsia="Arial" w:hAnsi="Arial"/>
          <w:color w:val="595959"/>
          <w:sz w:val="26"/>
          <w:szCs w:val="26"/>
        </w:rPr>
        <w:t xml:space="preserve">Antwerp Diamond Centre, Belgium  ·  February 2003</w:t>
      </w:r>
    </w:p>
    <w:p>
      <w:pPr>
        <w:spacing w:after="480"/>
        <w:jc w:val="center"/>
      </w:pPr>
      <w:r>
        <w:rPr>
          <w:rFonts w:ascii="Arial" w:cs="Arial" w:eastAsia="Arial" w:hAnsi="Arial"/>
          <w:color w:val="595959"/>
          <w:sz w:val="24"/>
          <w:szCs w:val="24"/>
        </w:rPr>
        <w:t xml:space="preserve">€100 million stolen  ·  Four convicted  ·  Nothing recovered  ·  Principals unknown</w:t>
      </w:r>
    </w:p>
    <w:p>
      <w:pPr>
        <w:spacing w:after="200"/>
        <w:jc w:val="center"/>
      </w:pPr>
      <w:r>
        <w:rPr>
          <w:rFonts w:ascii="Arial" w:cs="Arial" w:eastAsia="Arial" w:hAnsi="Arial"/>
          <w:b/>
          <w:bCs/>
          <w:color w:val="2A1A3A"/>
          <w:sz w:val="26"/>
          <w:szCs w:val="26"/>
        </w:rPr>
        <w:t xml:space="preserve">55 signals  ·  6 independent domains  ·  no triage</w:t>
      </w:r>
    </w:p>
    <w:p>
      <w:pPr>
        <w:spacing w:after="600"/>
        <w:jc w:val="center"/>
      </w:pPr>
      <w:r>
        <w:rPr>
          <w:rFonts w:ascii="Arial" w:cs="Arial" w:eastAsia="Arial" w:hAnsi="Arial"/>
          <w:i/>
          <w:iCs/>
          <w:color w:val="595959"/>
          <w:sz w:val="22"/>
          <w:szCs w:val="22"/>
        </w:rPr>
        <w:t xml:space="preserve">Each security system defeated separately. Each convicted person separately. The selectivity of 109 of 189 boxes as its own signal. Finotto's post-prison lifestyle as its own signal.</w:t>
      </w:r>
    </w:p>
    <w:p>
      <w:pPr>
        <w:jc w:val="center"/>
      </w:pPr>
      <w:r>
        <w:rPr>
          <w:rFonts w:ascii="Arial" w:cs="Arial" w:eastAsia="Arial" w:hAnsi="Arial"/>
          <w:color w:val="595959"/>
          <w:sz w:val="22"/>
          <w:szCs w:val="22"/>
        </w:rPr>
        <w:t xml:space="preserve">2026  ·  cisnew.vercel.app</w:t>
      </w:r>
    </w:p>
    <w:p>
      <w:r>
        <w:br w:type="page"/>
      </w:r>
    </w:p>
    <w:p>
      <w:pPr>
        <w:sectPr>
          <w:pgSz w:w="12240" w:h="15840" w:orient="portrait"/>
          <w:pgMar w:top="1440" w:right="1440" w:bottom="1440" w:left="1440" w:header="708" w:footer="708" w:gutter="0"/>
          <w:pgNumType/>
          <w:docGrid w:linePitch="360"/>
        </w:sectPr>
      </w:pPr>
    </w:p>
    <w:p>
      <w:pPr>
        <w:pStyle w:val="Heading1"/>
        <w:spacing w:after="160" w:before="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0"/>
      </w:pPr>
      <w:r>
        <w:rPr>
          <w:rFonts w:ascii="Arial" w:cs="Arial" w:eastAsia="Arial" w:hAnsi="Arial"/>
          <w:b/>
          <w:bCs/>
          <w:color w:val="2A1A3A"/>
          <w:sz w:val="34"/>
          <w:szCs w:val="34"/>
        </w:rPr>
        <w:t xml:space="preserve">The Case</w:t>
      </w:r>
    </w:p>
    <w:p>
      <w:pPr>
        <w:pBdr>
          <w:bottom w:val="single" w:color="2A1A3A" w:sz="4" w:space="1"/>
        </w:pBdr>
        <w:spacing w:after="200"/>
      </w:pPr>
      <w:r>
        <w:t xml:space="preserve"/>
      </w:r>
    </w:p>
    <w:p>
      <w:pPr>
        <w:spacing w:after="160" w:line="276"/>
      </w:pPr>
      <w:r>
        <w:rPr>
          <w:rFonts w:ascii="Arial" w:cs="Arial" w:eastAsia="Arial" w:hAnsi="Arial"/>
          <w:color w:val="000000"/>
          <w:sz w:val="22"/>
          <w:szCs w:val="22"/>
        </w:rPr>
        <w:t xml:space="preserve">On the weekend of 15-16 February 2003, thieves broke into vault B.02 at the Antwerp Diamond Centre — the fortified heart of the world's largest diamond trading district. They defeated five independent security systems, entered the vault, and systematically opened 109 of 189 safe deposit boxes. They took an estimated €100 million in diamonds, gold, jewellery, and cash — the largest diamond heist in history.</w:t>
      </w:r>
    </w:p>
    <w:p>
      <w:pPr>
        <w:spacing w:after="160" w:line="276"/>
      </w:pPr>
      <w:r>
        <w:rPr>
          <w:rFonts w:ascii="Arial" w:cs="Arial" w:eastAsia="Arial" w:hAnsi="Arial"/>
          <w:color w:val="000000"/>
          <w:sz w:val="22"/>
          <w:szCs w:val="22"/>
        </w:rPr>
        <w:t xml:space="preserve">The gang had spent approximately one year preparing. They rented office space in the Diamond Centre building, used that access to study the building's layout and security systems, and planned their entry route through a service corridor in the basement. The theft was not discovered until Monday morning, 17 February.</w:t>
      </w:r>
    </w:p>
    <w:p>
      <w:pPr>
        <w:spacing w:after="160" w:line="276"/>
      </w:pPr>
      <w:r>
        <w:rPr>
          <w:rFonts w:ascii="Arial" w:cs="Arial" w:eastAsia="Arial" w:hAnsi="Arial"/>
          <w:color w:val="000000"/>
          <w:sz w:val="22"/>
          <w:szCs w:val="22"/>
        </w:rPr>
        <w:t xml:space="preserve">Belgian police found a forest dump site near Mechelen containing discarded materials from the heist, including DNA evidence and a partial list of targeted safe deposit boxes. Four men were arrested and convicted: Ferdinando Finotto, the leader, received five years — widely considered lenient for a €100 million theft. Almost none of the stolen property was recovered. The individuals who commissioned the heist, the recipients of the diamonds, and the destination of the proceeds were never identified or charged.</w:t>
      </w:r>
    </w:p>
    <w:p>
      <w:pPr>
        <w:spacing w:after="160"/>
      </w:pPr>
      <w:r>
        <w:t xml:space="preserve"/>
      </w:r>
    </w:p>
    <w:p>
      <w:pPr>
        <w:pBdr>
          <w:left w:val="single" w:color="C00000" w:sz="14" w:space="8"/>
        </w:pBdr>
        <w:shd w:fill="FDE8E8" w:val="clear"/>
        <w:spacing w:after="240"/>
        <w:ind w:left="360"/>
      </w:pPr>
      <w:r>
        <w:rPr>
          <w:rFonts w:ascii="Arial" w:cs="Arial" w:eastAsia="Arial" w:hAnsi="Arial"/>
          <w:b/>
          <w:bCs/>
          <w:color w:val="C00000"/>
          <w:sz w:val="22"/>
          <w:szCs w:val="22"/>
        </w:rPr>
        <w:t xml:space="preserve">CRITICAL: Do not evaluate signal importance before entering. Every documented observable fact is its own signal.</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3280"/>
        <w:gridCol w:w="1400"/>
        <w:gridCol w:w="1400"/>
      </w:tblGrid>
      <w:tr>
        <w:tc>
          <w:tcPr>
            <w:tcW w:type="dxa" w:w="48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w:r>
          </w:p>
        </w:tc>
        <w:tc>
          <w:tcPr>
            <w:tcW w:type="dxa" w:w="280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28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HOLDS</w:t>
            </w:r>
          </w:p>
        </w:tc>
        <w:tc>
          <w:tcPr>
            <w:tcW w:type="dxa" w:w="140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SIGNALS</w:t>
            </w:r>
          </w:p>
        </w:tc>
        <w:tc>
          <w:tcPr>
            <w:tcW w:type="dxa" w:w="140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Vault Security Records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Each of the five security systems defeated separately, access route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Police Investigation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Discovery, dump site, each arrest separately, evidence, recovery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1-2</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Criminal Network</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Finotto, the gang's structure, reconnaissance, the Camorra connection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0-3</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Diamond Market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Antwerp's market structure, how stolen diamonds are disposed of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0-3</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Physical Evidence of the Theft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Total boxes, selectivity, what was taken, scope, inside knowledge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Post-Heist Revelations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Sentences, what was revealed, unidentified principals, final disposition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2-3</w:t>
            </w:r>
          </w:p>
        </w:tc>
      </w:tr>
    </w:tbl>
    <w:p>
      <w:pPr>
        <w:spacing w:after="160"/>
      </w:pPr>
      <w:r>
        <w:t xml:space="preserve"/>
      </w:r>
    </w:p>
    <w:p>
      <w:pPr>
        <w:spacing w:after="160" w:line="276"/>
      </w:pPr>
      <w:r>
        <w:rPr>
          <w:rFonts w:ascii="Arial" w:cs="Arial" w:eastAsia="Arial" w:hAnsi="Arial"/>
          <w:color w:val="000000"/>
          <w:sz w:val="22"/>
          <w:szCs w:val="22"/>
        </w:rPr>
        <w:t xml:space="preserve">Periods: Period 0 = before the theft (planning, reconnaissance, building access). Period 1 = the theft weekend and immediate discovery (February 2003). Period 2 = the investigation and prosecutions (2003-2007). Period 3 = post-conviction period and open questions (2007-present).</w:t>
      </w:r>
    </w:p>
    <w:p>
      <w:r>
        <w:br w:type="page"/>
      </w:r>
    </w:p>
    <w:p>
      <w:pPr>
        <w:pStyle w:val="Heading1"/>
        <w:spacing w:after="160" w:before="0"/>
      </w:pPr>
      <w:r>
        <w:rPr>
          <w:rFonts w:ascii="Arial" w:cs="Arial" w:eastAsia="Arial" w:hAnsi="Arial"/>
          <w:b/>
          <w:bCs/>
          <w:color w:val="2A1A3A"/>
          <w:sz w:val="34"/>
          <w:szCs w:val="34"/>
        </w:rPr>
        <w:t xml:space="preserve">Step 1 — Create the Case</w:t>
      </w:r>
    </w:p>
    <w:p>
      <w:pPr>
        <w:pBdr>
          <w:bottom w:val="single" w:color="2A1A3A" w:sz="4" w:space="1"/>
        </w:pBdr>
        <w:spacing w:after="200"/>
      </w:pPr>
      <w:r>
        <w:t xml:space="preserve"/>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Antwerp Diamond Heist — Cold Case Investigation</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2A1A3A" w:sz="14" w:space="8"/>
        </w:pBdr>
        <w:spacing w:after="240"/>
        <w:ind w:left="360"/>
      </w:pPr>
      <w:r>
        <w:rPr>
          <w:rFonts w:ascii="Arial" w:cs="Arial" w:eastAsia="Arial" w:hAnsi="Arial"/>
          <w:b/>
          <w:bCs/>
          <w:color w:val="2A1A3A"/>
          <w:sz w:val="22"/>
          <w:szCs w:val="22"/>
        </w:rPr>
        <w:t xml:space="preserve">Case Code:  </w:t>
      </w:r>
      <w:r>
        <w:rPr>
          <w:rFonts w:ascii="Arial" w:cs="Arial" w:eastAsia="Arial" w:hAnsi="Arial"/>
          <w:color w:val="595959"/>
          <w:sz w:val="22"/>
          <w:szCs w:val="22"/>
        </w:rPr>
        <w:t xml:space="preserve">________________________________________</w:t>
      </w:r>
    </w:p>
    <w:p>
      <w:r>
        <w:br w:type="page"/>
      </w:r>
    </w:p>
    <w:p>
      <w:pPr>
        <w:pStyle w:val="Heading1"/>
        <w:spacing w:after="160" w:before="0"/>
      </w:pPr>
      <w:r>
        <w:rPr>
          <w:rFonts w:ascii="Arial" w:cs="Arial" w:eastAsia="Arial" w:hAnsi="Arial"/>
          <w:b/>
          <w:bCs/>
          <w:color w:val="2A1A3A"/>
          <w:sz w:val="34"/>
          <w:szCs w:val="34"/>
        </w:rPr>
        <w:t xml:space="preserve">Step 2 — Create Domains and Declare Independence</w:t>
      </w:r>
    </w:p>
    <w:p>
      <w:pPr>
        <w:pBdr>
          <w:bottom w:val="single" w:color="2A1A3A"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Vault Security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five security systems protecting vault B.02: each system separately, how it was defeated, and the access route through the building that the thieves used.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Police Investigation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formal investigation: the discovery of the theft, the forest dump site and its evidence, the identification and arrest of each convicted person, the physical evidence recovered, and what the investigation did not reach.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Criminal Network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operational structure of the gang: Finotto's background, the year-long preparation using the rented office space, the question of inside knowledge, the Italian organized crime connections, and what happened to the stolen goods.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Diamond Market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structural context of the diamond market: why Antwerp is both the world's diamond capital and the likely location where these diamonds were disposed of, how stolen diamonds are laundered through recutting, and why recovery of stolen diamonds is structurally near-impossible.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Physical Evidence of the Theft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What happened in the vault: the total number of boxes, the 109 opened vs 80 untouched, the selectivity question, what the vault contained, and what physical evidence of the method was found at the scene.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Post-Heist Revelations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investigation's outcomes and the remaining unknowns: the convictions and their sentences, Finotto's post-prison circumstances, the intelligence about the criminal network above the convicted men, and the final disposition of the stolen property.</w:t>
            </w:r>
          </w:p>
        </w:tc>
      </w:tr>
    </w:tbl>
    <w:p>
      <w:pPr>
        <w:spacing w:after="160" w:line="276"/>
      </w:pPr>
      <w:r>
        <w:rPr>
          <w:rFonts w:ascii="Arial" w:cs="Arial" w:eastAsia="Arial" w:hAnsi="Arial"/>
          <w:color w:val="000000"/>
          <w:sz w:val="22"/>
          <w:szCs w:val="22"/>
        </w:rPr>
        <w:t xml:space="preserve">Declare every domain pair INDEPENDENT.</w:t>
      </w:r>
    </w:p>
    <w:p>
      <w:pPr>
        <w:pBdr>
          <w:left w:val="single" w:color="C47F00" w:sz="14" w:space="8"/>
        </w:pBdr>
        <w:shd w:fill="FFF9DB" w:val="clear"/>
        <w:spacing w:after="160"/>
        <w:ind w:left="360"/>
      </w:pPr>
      <w:r>
        <w:rPr>
          <w:rFonts w:ascii="Arial" w:cs="Arial" w:eastAsia="Arial" w:hAnsi="Arial"/>
          <w:b/>
          <w:bCs/>
          <w:color w:val="C47F00"/>
          <w:sz w:val="22"/>
          <w:szCs w:val="22"/>
        </w:rPr>
        <w:t xml:space="preserve">Why this matters:  </w:t>
      </w:r>
      <w:r>
        <w:rPr>
          <w:rFonts w:ascii="Arial" w:cs="Arial" w:eastAsia="Arial" w:hAnsi="Arial"/>
          <w:color w:val="000000"/>
          <w:sz w:val="22"/>
          <w:szCs w:val="22"/>
        </w:rPr>
        <w:t xml:space="preserve">The Belgian federal police held the criminal investigation. The Antwerp diamond trade held its own intelligence about what might have happened to the diamonds. The Italian organized crime intelligence community held information about the Camorra connection. The four convicted men held information about the commissioning principals that was not extracted through the prosecution. The diamond market itself functioned as the likely laundry mechanism. None of these information systems shared fully with the others. CIS holds all six simultaneously.</w:t>
      </w:r>
    </w:p>
    <w:p>
      <w:r>
        <w:br w:type="page"/>
      </w:r>
    </w:p>
    <w:p>
      <w:pPr>
        <w:pStyle w:val="Heading1"/>
        <w:spacing w:after="160" w:before="0"/>
      </w:pPr>
      <w:r>
        <w:rPr>
          <w:rFonts w:ascii="Arial" w:cs="Arial" w:eastAsia="Arial" w:hAnsi="Arial"/>
          <w:b/>
          <w:bCs/>
          <w:color w:val="2A1A3A"/>
          <w:sz w:val="34"/>
          <w:szCs w:val="34"/>
        </w:rPr>
        <w:t xml:space="preserve">Step 3 — Enter All 55 Signals</w:t>
      </w:r>
    </w:p>
    <w:p>
      <w:pPr>
        <w:pBdr>
          <w:bottom w:val="single" w:color="2A1A3A" w:sz="4" w:space="1"/>
        </w:pBdr>
        <w:spacing w:after="200"/>
      </w:pPr>
      <w:r>
        <w:t xml:space="preserve"/>
      </w:r>
    </w:p>
    <w:p>
      <w:pPr>
        <w:pBdr>
          <w:left w:val="single" w:color="C00000" w:sz="14" w:space="8"/>
        </w:pBdr>
        <w:shd w:fill="FDE8E8" w:val="clear"/>
        <w:spacing w:after="240"/>
        <w:ind w:left="360"/>
      </w:pPr>
      <w:r>
        <w:rPr>
          <w:rFonts w:ascii="Arial" w:cs="Arial" w:eastAsia="Arial" w:hAnsi="Arial"/>
          <w:b/>
          <w:bCs/>
          <w:color w:val="C00000"/>
          <w:sz w:val="22"/>
          <w:szCs w:val="22"/>
        </w:rPr>
        <w:t xml:space="preserve">CRITICAL: Do not evaluate signal importance before entering. Every documented observable fact is its own signal.</w:t>
      </w:r>
    </w:p>
    <w:p>
      <w:pPr>
        <w:spacing w:after="160"/>
      </w:pPr>
      <w:r>
        <w:t xml:space="preserve"/>
      </w:r>
    </w:p>
    <w:p>
      <w:pPr>
        <w:spacing w:after="160" w:line="276"/>
      </w:pPr>
      <w:r>
        <w:rPr>
          <w:rFonts w:ascii="Arial" w:cs="Arial" w:eastAsia="Arial" w:hAnsi="Arial"/>
          <w:color w:val="000000"/>
          <w:sz w:val="22"/>
          <w:szCs w:val="22"/>
        </w:rPr>
        <w:t xml:space="preserve">Go to Signal Intake. For each signal, select the domain, set the period, enter the observation. Note the SI score before submitting. Record all scores in the Signal Record table at the end.</w:t>
      </w:r>
    </w:p>
    <w:p>
      <w:r>
        <w:br w:type="page"/>
      </w:r>
    </w:p>
    <w:p>
      <w:pPr>
        <w:spacing w:after="120" w:before="360"/>
      </w:pPr>
      <w:r>
        <w:rPr>
          <w:rFonts w:ascii="Arial" w:cs="Arial" w:eastAsia="Arial" w:hAnsi="Arial"/>
          <w:b/>
          <w:bCs/>
          <w:color w:val="2A1A3A"/>
          <w:sz w:val="26"/>
          <w:szCs w:val="26"/>
        </w:rPr>
        <w:t xml:space="preserve">Domain 1: Vault Security Records  </w:t>
      </w:r>
      <w:r>
        <w:rPr>
          <w:rFonts w:ascii="Arial" w:cs="Arial" w:eastAsia="Arial" w:hAnsi="Arial"/>
          <w:i/>
          <w:iCs/>
          <w:color w:val="595959"/>
          <w:sz w:val="22"/>
          <w:szCs w:val="22"/>
        </w:rPr>
        <w:t xml:space="preserve">9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SEC01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Antwerp Diamond Centre is a ten-storey office building at Hoveniersstraat 2 in the heart of Antwerp's diamond district — within walking distance of the Central Station. The building houses approximately 160 companies involved in the diamond trade, providing secure office space and vault facilities to its tenants. The vault used by the gang was designated B.02 and was located in the basement.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SEC02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magnetic alarm sensor: the vault door at B.02 was equipped with a magnetic sensor designed to trigger an alarm if the door was opened without deactivating the sensor first. The thieves defeated this sensor using a magnetic device they brought to the scene — holding a magnet against the sensor to neutralize it while the door was opened. This technique requires prior knowledge of the sensor's location and type.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SEC03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seismic alarm: a seismic sensor was installed to detect the vibrations produced by drilling, cutting, or other forced-entry methods. The thieves defeated the seismic alarm by working slowly enough or using techniques that did not produce detectable vibration levels. The exact method of defeating the seismic sensor was not fully disclosed in court proceedings.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SEC04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infrared heat detector: an infrared sensor monitored for heat signatures consistent with human presence in the vault area. The thieves defeated this sensor — the exact method has been described differently across accounts. Defeating an infrared heat detector typically requires either blocking the sensor's field of view or using a material that reduces the infrared signature of a human body.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SEC05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Doppler radar: a Doppler radar motion detector was installed to detect movement within the vault area. Doppler radar detects movement by measuring frequency shifts in reflected radar signals. The thieves defeated this system — the exact method was not publicly disclosed in court proceedings. Defeating Doppler radar requires either blocking the signal or moving in ways that minimize the Doppler signature.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SEC06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combination lock: the vault door had a combination lock with approximately 100 million possible combinations. The thieves bypassed this lock. In the aftermath, investigators found that the exterior indicator components of the lock had been manipulated — the gang appears to have studied the lock's mechanics sufficiently to bypass it, possibly through prior extended access during the reconnaissance period.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SEC07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private security company: the Diamond Centre employed a private security company to conduct regular night checks of the building. The security schedule included rounds through the building that would have detected an obvious intrusion. The gang's operation was timed to occur between rounds, or they had knowledge of the security schedule that allowed them to work without detection across the full weekend.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SEC08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access route: the thieves entered the vault area through a service corridor in the basement of the Diamond Centre building — not through the main lobby or elevators. This route bypassed the surface-level security and connected the basement directly to the vault area. Knowledge of this specific access route required either prior exploration of the building or inside information about its layout.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SEC09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reconnaissance year: the gang rented office space in the Diamond Centre building for approximately one year before the theft. This legitimate tenancy gave them badge access to the building and unmonitored time in the building during business hours over twelve months. This access allowed them to study the building's layout, the vault area, the security system configurations, and the guard schedule without arousing suspicion.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14507E"/>
          <w:sz w:val="26"/>
          <w:szCs w:val="26"/>
        </w:rPr>
        <w:t xml:space="preserve">Domain 2: Police Investigation  </w:t>
      </w:r>
      <w:r>
        <w:rPr>
          <w:rFonts w:ascii="Arial" w:cs="Arial" w:eastAsia="Arial" w:hAnsi="Arial"/>
          <w:i/>
          <w:iCs/>
          <w:color w:val="595959"/>
          <w:sz w:val="22"/>
          <w:szCs w:val="22"/>
        </w:rPr>
        <w:t xml:space="preserve">11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POL01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theft was discovered on Monday morning, 17 February 2003, when Diamond Centre staff and box holders arrived and found the vault had been opened. The alarm systems had been defeated without triggering alerts — the theft was not discovered in progress. The first police response was called after the discovery.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POL02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Belgian federal police (Federale Politie) took the lead in the investigation. The theft's scale — €100 million and the involvement of organized crime — made it a federal investigation. Local Antwerp police and Interpol were also involved.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POL03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forest dump site: investigators found a dump site in a wooded area near Mechelen, south of Antwerp. The dump contained materials the gang had discarded after the theft, including plastic bags, food containers, the protective coverings they had used on the security sensors, and other materials from the heist operation.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POL04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DNA evidence at the dump site: among the discarded materials, investigators found DNA-containing material — food containers with saliva or other biological traces. The DNA was analysed and matched to individuals in the Belgian police database, leading investigators to the gang's members.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POL05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partial box list: at the dump site, investigators also found a partial handwritten list of safe deposit box numbers. The list appeared to be related to the boxes the gang had targeted during the theft. This finding was significant — it suggested the gang had prior knowledge of which boxes to prioritise.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POL06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arrest of Ferdinando Finotto: the DNA evidence and the box list led investigators to Ferdinando Finotto, an Italian national with a documented history of professional theft. Finotto was the planning and operational leader of the gang. He was arrested and charged with the theft.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POL07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arrest of Antonio Speedy Petalo: another Italian national arrested in connection with the theft. Petalo had a criminal history and was assessed as one of the operational members of the gang who entered the Diamond Centre.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POL08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Two Belgian associates were also arrested and convicted in connection with the theft. Their specific roles in the operation — whether as planners, lookouts, local logistics, or other functions — were established in the court proceedings.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POL09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convictions and sentences: Finotto was sentenced to five years imprisonment. The other convicted parties received sentences of shorter duration. The sentences were widely assessed as lenient given the scale of the theft — a €100 million theft resulting in a maximum of five years for the leader.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POL10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Diamond Centre cleaning employee's prior observation: a cleaning employee who worked in the Diamond Centre building had noticed suspicious behaviour by the gang during their reconnaissance year — observing individuals in areas and at times inconsistent with normal office tenancy activity. The employee had not reported this observation at the time. This account emerged during the investigation.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POL11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recovered stolen property: the investigation recovered almost none of the €100 million in diamonds, gold, jewellery, and cash taken in the heist. The physical proceeds of the theft were not found either in the possession of the convicted men or through subsequent investigation.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7B3F00"/>
          <w:sz w:val="26"/>
          <w:szCs w:val="26"/>
        </w:rPr>
        <w:t xml:space="preserve">Domain 3: Criminal Network  </w:t>
      </w:r>
      <w:r>
        <w:rPr>
          <w:rFonts w:ascii="Arial" w:cs="Arial" w:eastAsia="Arial" w:hAnsi="Arial"/>
          <w:i/>
          <w:iCs/>
          <w:color w:val="595959"/>
          <w:sz w:val="22"/>
          <w:szCs w:val="22"/>
        </w:rPr>
        <w:t xml:space="preserve">10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NET01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Ferdinando Finotto's background: Finotto was a professional Italian thief with prior convictions for theft operations. He was not an amateur — his background was in organised theft operations requiring advance planning and technical knowledge. The Antwerp operation required capabilities consistent with someone with his specific professional experience.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NET02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year-long reconnaissance: the decision to rent office space in the Diamond Centre for approximately one year before the theft is the most significant documented fact about the planning. This represents an investment of time, money, and risk tolerance that is consistent with a professional criminal organisation rather than an opportunistic team. The tenancy was legitimate — office rental fees were paid.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NET03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inside knowledge requirement: the specificity of the security bypass methods — knowing the type and location of each of the five security systems, knowing the service corridor access route, and having a partial list of which boxes to target — suggests the gang had detailed knowledge that went beyond what could be observed through the year of office tenancy alone. Whether this came from a contact inside the Diamond Centre, from stolen documents, or from the reconnaissance year entirely is not established.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NET04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Camorra connection: Belgian and Italian investigators identified intelligence suggesting connections between the Antwerp gang and the Camorra — the Neapolitan organized crime network. The specific nature of the Camorra connection — whether the Camorra commissioned the theft, received the stolen diamonds, or provided logistical support — was not established through the prosecution.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NET05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organizational structure above Finotto: the convicted men represented the operational layer of the gang — the people who planned and physically executed the theft. The individuals who commissioned the theft, provided the financing, specified which boxes to target, and arranged the disposal of the diamonds were never identified or charged. The investigation closed at the operational level.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NET06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How the diamonds were transported out of Antwerp: the diamonds and other stolen property had to be physically removed from the Diamond Centre area and transported out of Belgium. The transportation route and method have not been publicly established. The Antwerp diamond district's proximity to the Belgian highway network and to the Port of Antwerp provides multiple transportation options.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NET07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Diamond disposal through recutting: stolen diamonds of this calibre would typically be recut — re-polished into different shapes and sizes — to destroy any identifying characteristics. Recutting destroys the specific cut, weight, and proportions that might be used to identify a stolen stone. This process requires access to a diamond cutter, which implies the organizers had relationships within the diamond trade.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NET08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Finotto's post-prison lifestyle: following his release from prison after serving his sentence, Finotto returned to a modest lifestyle — not consistent with having personally retained a significant share of €100 million in stolen goods. His financial circumstances after release have been described in press accounts as unremarkable. This is consistent with the hypothesis that Finotto was a professional criminal paid for the operational execution rather than a principal who retained the proceeds.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NET09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Italian organized crime connection: the involvement of Italian nationals — specifically Finotto and Petalo — in a Belgian diamond heist with apparent connections to the Camorra is consistent with a pattern in which Italian organized crime networks commission and execute theft operations across European borders. The Belgian location was selected for its prize, not because of any local organized crime territory.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NET10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gang's disposal method: the forest dump site near Mechelen where materials were discarded was not randomly chosen. The use of a specific rural dump site — remote enough to avoid casual discovery but accessible by car — is consistent with a planned disposal protocol. That the dump site was eventually found by investigators suggests the disposal plan was imperfect.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2E7D32"/>
          <w:sz w:val="26"/>
          <w:szCs w:val="26"/>
        </w:rPr>
        <w:t xml:space="preserve">Domain 4: Diamond Market  </w:t>
      </w:r>
      <w:r>
        <w:rPr>
          <w:rFonts w:ascii="Arial" w:cs="Arial" w:eastAsia="Arial" w:hAnsi="Arial"/>
          <w:i/>
          <w:iCs/>
          <w:color w:val="595959"/>
          <w:sz w:val="22"/>
          <w:szCs w:val="22"/>
        </w:rPr>
        <w:t xml:space="preserve">8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DIA01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Antwerp's role in the global diamond trade: approximately 80-85 percent of the world's rough diamonds and 50 percent of cut diamonds pass through Antwerp at some point in the supply chain. The Antwerp diamond district — centred on Hoveniersstraat and the adjacent streets around the Diamond Centre — processes billions of dollars of diamonds annually. Antwerp is both the theft site and the most plausible laundry location for the stolen diamonds.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DIA02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Diamond Centre's function: the Diamond Centre building provides secure office space, vault facilities, and networking opportunities for the estimated 1,500 diamond businesses operating in the Antwerp district. The safe deposit boxes in vault B.02 belonged to diamond traders, jewellery businesses, private individuals connected to the trade, and others who used the facility for secure storage.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DIA03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uninsured nature of safe deposit box contents: contents of the B.02 safe deposit boxes were generally not insured. People store assets in safe deposit boxes precisely because they consider the boxes secure — not because they have insurance. The theft victims included individuals who had stored diamonds, gold, and cash without formal insurance. The financial loss to victims was total.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DIA04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Recutting and identification destruction: once a diamond is recut into a different shape and size, its original cut, proportions, and weight — the characteristics that could identify it as a specific stone — are permanently destroyed. A 2-carat emerald cut stolen from Antwerp, recut into a 1.5-carat round brilliant, cannot be identified as the stolen stone through gemological examination. The Gemological Institute of America (GIA) certification records would no longer apply.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DIA05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opacity of the diamond market: unlike financial markets, the diamond market has limited transparency requirements. Transactions between private parties do not require public registration. The movement of diamonds across borders is subject to the Kimberley Process Certification Scheme for rough diamonds but cut stones have less oversight. The combination of physical mobility, lack of transaction recording, and identification destruction through recutting makes stolen diamonds among the most effectively laundered assets in existence.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DIA06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Antwerp market as the likely laundry: the same market infrastructure that makes Antwerp the world's diamond capital — the concentration of cutters, polishers, dealers, and buyers in a small geographic area — also makes it the most efficient place to recut and redistribute stolen diamonds. The stolen Antwerp diamonds would most likely have been recut and re-entered the Antwerp market or moved through it to other centres such as Mumbai, Tel Aviv, or Hong Kong.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DIA07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GIA certification problem: many high-value diamonds have GIA grading reports that specify the stone's cut, carat weight, colour, clarity, and unique identifying characteristics. Stolen diamonds with GIA reports cannot be sold through reputable channels while their certificate exists. Recutting the stone renders the original GIA certificate inapplicable — and the stone can be re-certified under its new specifications.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DIA08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recovery impossibility: the combination of recutting, re-certification, and market opacity means that the Antwerp diamonds, if they entered the diamond market and were recut, are effectively unrecoverable. Unlike currency, which carries serial numbers, or art, which carries visual identification, a recut diamond leaves no trace of its previous state. The criminal economics of diamond theft are superior to currency theft from an evidence perspective.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6C3483"/>
          <w:sz w:val="26"/>
          <w:szCs w:val="26"/>
        </w:rPr>
        <w:t xml:space="preserve">Domain 5: Physical Evidence of the Theft  </w:t>
      </w:r>
      <w:r>
        <w:rPr>
          <w:rFonts w:ascii="Arial" w:cs="Arial" w:eastAsia="Arial" w:hAnsi="Arial"/>
          <w:i/>
          <w:iCs/>
          <w:color w:val="595959"/>
          <w:sz w:val="22"/>
          <w:szCs w:val="22"/>
        </w:rPr>
        <w:t xml:space="preserve">9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PHY01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vault B.02 contained 189 safe deposit boxes. The boxes belonged to various tenants and users of the Diamond Centre — diamond traders, jewellery businesses, and private individuals. The contents of the boxes at the time of the theft were not uniformly documented — safe deposit box contents are private and not required to be declared.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PHY02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109 boxes opened: of the 189 boxes in vault B.02, the thieves opened 109. The remaining 80 boxes were not opened. This selectivity — approximately 58 percent of the boxes opened — is a central fact of the case. Opening 109 boxes in one weekend requires either a method for rapidly defeating the individual box locks or prior knowledge of which boxes contained the most valuable assets.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PHY03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80 boxes not opened: the 80 boxes that were not touched are as significant as the 109 that were opened. The untouched boxes may have been skipped because: (1) the gang ran out of time; (2) they knew the specific contents of each box and targeted only those with valuable assets; or (3) they had a list of box numbers to target and completed the list. What the 80 untouched boxes contained compared to the 109 opened boxes is relevant to the inside knowledge question.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PHY04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partial box list found at the dump site: investigators found a partial handwritten list of safe deposit box numbers at the Mechelen dump site. The existence of this list — that the gang had pre-selected specific box numbers to target — confirms prior knowledge of the boxes' contents or owners. How this list was compiled has not been publicly established.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PHY05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scope of what was taken: the stolen assets included loose diamonds, diamond jewellery, gold bars and coins, cash in multiple currencies, and other valuables. The total estimated value at the time of the theft was approximately €100 million — an estimate that is inherently uncertain given the private and uninsured nature of most box contents. Some accounts suggest the true value was higher.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PHY06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physical method of defeating the box locks: individual safe deposit boxes within the vault have separate locks from the vault door itself. The gang defeated these individual box locks through the weekend of 15-16 February. The specific method used — drilling, picking, or other technique — has not been fully publicly documented.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PHY07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Physical evidence within the vault after the theft: investigators found physical evidence within the vault that documented the gang's presence and methods. This included materials used to defeat the security systems, tool marks, and other traces. The specific forensic evidence found in the vault and its analysis contributed to identifying the gang through the dump site connection.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PHY08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Evidence of premeditation in security bypass: the specific tools and materials used to defeat each of the five security systems — the magnetic device for the magnetic sensor, the materials for the infrared and Doppler sensors — were brought to the scene. These were not improvised on site. Their specificity to the Diamond Centre's known security configuration confirms the gang had detailed advance knowledge of each system.</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PHY09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total time spent in the vault: the thieves had from Friday evening (after the building closed) through Sunday evening to complete the operation — approximately two full days. They were not rushed. The time available is consistent with the careful, methodical defeat of five independent security systems and the methodical opening of 109 individual boxes.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3E2723"/>
          <w:sz w:val="26"/>
          <w:szCs w:val="26"/>
        </w:rPr>
        <w:t xml:space="preserve">Domain 6: Post-Heist Revelations  </w:t>
      </w:r>
      <w:r>
        <w:rPr>
          <w:rFonts w:ascii="Arial" w:cs="Arial" w:eastAsia="Arial" w:hAnsi="Arial"/>
          <w:i/>
          <w:iCs/>
          <w:color w:val="595959"/>
          <w:sz w:val="22"/>
          <w:szCs w:val="22"/>
        </w:rPr>
        <w:t xml:space="preserve">8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POST01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Finotto's five-year sentence: Ferdinando Finotto was convicted and sentenced to five years in prison. Belgian sentencing guidelines allowed for more severe sentences for crimes of this scale. The five-year sentence for the operational leader of a €100 million heist has been publicly characterised by legal commentators as lenient — consistent with him having been the operational executor rather than the principal organizer.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POST02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sentencing disparity: the maximum sentence received by any convicted party — Finotto's five years — stands in contrast to the scale of the crime. If the convicted men were low-level operational actors and the principals remained free and unidentified, this would explain both the sentencing outcome (modest sentence for a hired executor) and the absence of asset recovery (the proceeds were with the principals, not the convicted men).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POST03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What the convicted men revealed: the proceedings produced a record of the operational execution of the theft. The convicted men provided information about the gang's methods and activities during the planning and execution phases. The information that was not extracted — specifically the identity of the commissioning principals and the destination of the stolen property — represents the gap in the public record.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POST04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Belgian Federal Police continued investigation: following the convictions, the Belgian Federal Police continued investigating the theft, specifically pursuing the question of the stolen property's destination and the identity of the commissioning principals. This investigation has not produced additional prosecutions as of the available public record.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POST05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Interpol's involvement: Interpol was involved in the investigation, coordinating with Italian law enforcement on the organized crime connections and with other European jurisdictions on the tracking of the stolen property. The international dimension of the investigation reflected the cross-border nature of the criminal network.</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POST06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Camorra intelligence and the gap: the intelligence about Camorra connections identified in the investigation was not converted into prosecution. Whether this was because the intelligence was insufficient for prosecution, because the principals were too insulated, or because of limitations in Belgian-Italian judicial cooperation is not publicly documented.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POST07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final disposition of the stolen property: as of the available public record, the fate of the approximately €100 million in diamonds, gold, jewellery, and cash stolen from vault B.02 has not been established. No significant quantity was recovered in the investigation. The most likely scenario consistent with the available evidence is that the diamonds entered the Antwerp market through recutting and redistribution, but this has not been confirmed.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POST08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open investigation strand: four people were convicted of the Antwerp Diamond Heist, but the principals who commissioned it, financed it, received its proceeds, and profited from it were never identified or charged. This is the unresolved strand of the case — not the mechanics of the theft, which are reasonably well-documented, but the criminal network above the operational layer.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pStyle w:val="Heading1"/>
        <w:spacing w:after="160" w:before="0"/>
      </w:pPr>
      <w:r>
        <w:rPr>
          <w:rFonts w:ascii="Arial" w:cs="Arial" w:eastAsia="Arial" w:hAnsi="Arial"/>
          <w:b/>
          <w:bCs/>
          <w:color w:val="2A1A3A"/>
          <w:sz w:val="34"/>
          <w:szCs w:val="34"/>
        </w:rPr>
        <w:t xml:space="preserve">Step 4 — Register These Contradictions</w:t>
      </w:r>
    </w:p>
    <w:p>
      <w:pPr>
        <w:pBdr>
          <w:bottom w:val="single" w:color="2A1A3A" w:sz="4" w:space="1"/>
        </w:pBdr>
        <w:spacing w:after="200"/>
      </w:pPr>
      <w:r>
        <w:t xml:space="preserve"/>
      </w:r>
    </w:p>
    <w:p>
      <w:pPr>
        <w:pBdr>
          <w:left w:val="single" w:color="2A1A3A" w:sz="14" w:space="8"/>
        </w:pBdr>
        <w:spacing w:after="160"/>
        <w:ind w:left="360"/>
      </w:pPr>
      <w:r>
        <w:rPr>
          <w:rFonts w:ascii="Arial" w:cs="Arial" w:eastAsia="Arial" w:hAnsi="Arial"/>
          <w:b/>
          <w:bCs/>
          <w:color w:val="2A1A3A"/>
          <w:sz w:val="22"/>
          <w:szCs w:val="22"/>
        </w:rPr>
        <w:t xml:space="preserve">Contradiction 1:  </w:t>
      </w:r>
      <w:r>
        <w:rPr>
          <w:rFonts w:ascii="Arial" w:cs="Arial" w:eastAsia="Arial" w:hAnsi="Arial"/>
          <w:color w:val="000000"/>
          <w:sz w:val="22"/>
          <w:szCs w:val="22"/>
        </w:rPr>
        <w:t xml:space="preserve">Signal PHY03 (80 boxes not opened — the selectivity of 109 of 189 implies either a list or a method that identified the high-value boxes) vs Signal NET03 (the inside knowledge requirement — specific knowledge of which boxes contained valuable assets would require a contact inside the Diamond Centre or access to confidential tenant records). These two signals together imply a source of inside information that was never publicly identified. Register PHY03 against NET03.</w:t>
      </w:r>
    </w:p>
    <w:p>
      <w:pPr>
        <w:spacing w:after="160"/>
      </w:pPr>
      <w:r>
        <w:t xml:space="preserve"/>
      </w:r>
    </w:p>
    <w:p>
      <w:pPr>
        <w:pBdr>
          <w:left w:val="single" w:color="2A1A3A" w:sz="14" w:space="8"/>
        </w:pBdr>
        <w:spacing w:after="160"/>
        <w:ind w:left="360"/>
      </w:pPr>
      <w:r>
        <w:rPr>
          <w:rFonts w:ascii="Arial" w:cs="Arial" w:eastAsia="Arial" w:hAnsi="Arial"/>
          <w:b/>
          <w:bCs/>
          <w:color w:val="2A1A3A"/>
          <w:sz w:val="22"/>
          <w:szCs w:val="22"/>
        </w:rPr>
        <w:t xml:space="preserve">Contradiction 2:  </w:t>
      </w:r>
      <w:r>
        <w:rPr>
          <w:rFonts w:ascii="Arial" w:cs="Arial" w:eastAsia="Arial" w:hAnsi="Arial"/>
          <w:color w:val="000000"/>
          <w:sz w:val="22"/>
          <w:szCs w:val="22"/>
        </w:rPr>
        <w:t xml:space="preserve">Signal POST01 (Finotto sentenced to five years — lenient for a €100 million heist) vs Signal NET05 (the individuals who commissioned, financed, and received the proceeds were never identified or charged). If Finotto was the principal organiser, five years is very lenient for the scale of the crime. If he was an operational executor for higher principals, the sentence makes more sense — but those principals remain uncharged. The sentence length is structurally inconsistent with Finotto being the top of the criminal hierarchy. Register POST01 against NET05.</w:t>
      </w:r>
    </w:p>
    <w:p>
      <w:pPr>
        <w:spacing w:after="160"/>
      </w:pPr>
      <w:r>
        <w:t xml:space="preserve"/>
      </w:r>
    </w:p>
    <w:p>
      <w:pPr>
        <w:pBdr>
          <w:left w:val="single" w:color="2A1A3A" w:sz="14" w:space="8"/>
        </w:pBdr>
        <w:spacing w:after="160"/>
        <w:ind w:left="360"/>
      </w:pPr>
      <w:r>
        <w:rPr>
          <w:rFonts w:ascii="Arial" w:cs="Arial" w:eastAsia="Arial" w:hAnsi="Arial"/>
          <w:b/>
          <w:bCs/>
          <w:color w:val="2A1A3A"/>
          <w:sz w:val="22"/>
          <w:szCs w:val="22"/>
        </w:rPr>
        <w:t xml:space="preserve">Contradiction 3:  </w:t>
      </w:r>
      <w:r>
        <w:rPr>
          <w:rFonts w:ascii="Arial" w:cs="Arial" w:eastAsia="Arial" w:hAnsi="Arial"/>
          <w:color w:val="000000"/>
          <w:sz w:val="22"/>
          <w:szCs w:val="22"/>
        </w:rPr>
        <w:t xml:space="preserve">Signal NET04 (Belgian and Italian investigators identified Camorra connections in their intelligence) vs Signal POST06 (the Camorra intelligence was not converted into prosecution). The identification of a specific organized crime network's involvement, combined with the failure to prosecute any member of that network, represents a gap between what investigators concluded and what the criminal justice system produced. Register NET04 against POST06.</w:t>
      </w:r>
    </w:p>
    <w:p>
      <w:pPr>
        <w:spacing w:after="160"/>
      </w:pPr>
      <w:r>
        <w:t xml:space="preserve"/>
      </w:r>
    </w:p>
    <w:p>
      <w:pPr>
        <w:pBdr>
          <w:left w:val="single" w:color="2A1A3A" w:sz="14" w:space="8"/>
        </w:pBdr>
        <w:spacing w:after="160"/>
        <w:ind w:left="360"/>
      </w:pPr>
      <w:r>
        <w:rPr>
          <w:rFonts w:ascii="Arial" w:cs="Arial" w:eastAsia="Arial" w:hAnsi="Arial"/>
          <w:b/>
          <w:bCs/>
          <w:color w:val="2A1A3A"/>
          <w:sz w:val="22"/>
          <w:szCs w:val="22"/>
        </w:rPr>
        <w:t xml:space="preserve">Contradiction 4:  </w:t>
      </w:r>
      <w:r>
        <w:rPr>
          <w:rFonts w:ascii="Arial" w:cs="Arial" w:eastAsia="Arial" w:hAnsi="Arial"/>
          <w:color w:val="000000"/>
          <w:sz w:val="22"/>
          <w:szCs w:val="22"/>
        </w:rPr>
        <w:t xml:space="preserve">Signal NET08 (Finotto's post-prison modest lifestyle — inconsistent with personal retention of a share of €100 million) vs Signal PHY11 — (actually PHY05: the scope of what was taken was approximately €100 million). If Finotto organized a €100 million theft and lived modestly afterwards, either he was paid a flat fee rather than a share, the money went to the principals, or the €100 million estimate was inflated. Register NET08 against PHY05.</w:t>
      </w:r>
    </w:p>
    <w:p>
      <w:pPr>
        <w:spacing w:after="160"/>
      </w:pPr>
      <w:r>
        <w:t xml:space="preserve"/>
      </w:r>
    </w:p>
    <w:p>
      <w:pPr>
        <w:pStyle w:val="Heading1"/>
        <w:spacing w:after="160" w:before="0"/>
      </w:pPr>
      <w:r>
        <w:rPr>
          <w:rFonts w:ascii="Arial" w:cs="Arial" w:eastAsia="Arial" w:hAnsi="Arial"/>
          <w:b/>
          <w:bCs/>
          <w:color w:val="2A1A3A"/>
          <w:sz w:val="34"/>
          <w:szCs w:val="34"/>
        </w:rPr>
        <w:t xml:space="preserve">Step 5 — What CIS Should Have Done Automatically</w:t>
      </w:r>
    </w:p>
    <w:p>
      <w:pPr>
        <w:pBdr>
          <w:bottom w:val="single" w:color="2A1A3A"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HCL hypothesis connecting Vault Security Records, Criminal Network, and Physical Evidence around the inside knowledge question — what specific information the gang needed that went beyond what a year of office tenancy could provide.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the Diamond Market domain (recutting destroys identification, opacity of the market) not connected to the Police Investigation domain (nothing recovered, investigation could not trace the proceeds). The market structure is the reason the investigation failed to recover the property.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the Criminal Network domain (Camorra connection, commissioning principals) not connected to the Post-Heist Revelations domain (Camorra intelligence not converted to prosecution) without cross-domain analysis.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LP-4 flag: the five-year sentence for Finotto was treated as the case's conclusion. The existence of uncharged principals above him — implied by the sentence's leniency and his post-prison lifestyle — was not the subject of continued public investigation.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LP-5 flag: 80 untouched boxes, a partial box list, and Finotto's modest post-prison lifestyle are each individually sub-threshold. Aggregated across domains they describe a principal-executor structure in which the proceeds went to unidentified parties above Finotto.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LP-7 flag: the cleaning employee's prior observation of suspicious behaviour — an access event observed but not reported at the time. A prior observation that was permanently discarded before it could become actionable.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four contradictions shown as unresolved in the Contradiction Ledger.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1"/>
        <w:spacing w:after="160" w:before="0"/>
      </w:pPr>
      <w:r>
        <w:rPr>
          <w:rFonts w:ascii="Arial" w:cs="Arial" w:eastAsia="Arial" w:hAnsi="Arial"/>
          <w:b/>
          <w:bCs/>
          <w:color w:val="2A1A3A"/>
          <w:sz w:val="34"/>
          <w:szCs w:val="34"/>
        </w:rPr>
        <w:t xml:space="preserve">Competing Hypotheses — Record After Briefing</w:t>
      </w:r>
    </w:p>
    <w:p>
      <w:pPr>
        <w:pBdr>
          <w:bottom w:val="single" w:color="2A1A3A" w:sz="4" w:space="1"/>
        </w:pBdr>
        <w:spacing w:after="200"/>
      </w:pPr>
      <w:r>
        <w:t xml:space="preserve"/>
      </w:r>
    </w:p>
    <w:p>
      <w:pPr>
        <w:pBdr>
          <w:left w:val="single" w:color="2A1A3A" w:sz="14" w:space="8"/>
        </w:pBdr>
        <w:spacing w:after="140"/>
        <w:ind w:left="360"/>
      </w:pPr>
      <w:r>
        <w:rPr>
          <w:rFonts w:ascii="Arial" w:cs="Arial" w:eastAsia="Arial" w:hAnsi="Arial"/>
          <w:b/>
          <w:bCs/>
          <w:color w:val="2A1A3A"/>
          <w:sz w:val="22"/>
          <w:szCs w:val="22"/>
        </w:rPr>
        <w:t xml:space="preserve">H1 — A Camorra-commissioned professional theft, proceeds fully distributed:  </w:t>
      </w:r>
      <w:r>
        <w:rPr>
          <w:rFonts w:ascii="Arial" w:cs="Arial" w:eastAsia="Arial" w:hAnsi="Arial"/>
          <w:color w:val="000000"/>
          <w:sz w:val="22"/>
          <w:szCs w:val="22"/>
        </w:rPr>
        <w:t xml:space="preserve">The Camorra (or an affiliated Italian organized crime network) commissioned Finotto and his team as professional executors. The inside knowledge about which boxes to target came from a diamond market contact. The proceeds — the recut diamonds — entered the global diamond market through Camorra-connected channels and are irretrievably dispersed. The principals remain unidentified.</w:t>
      </w:r>
    </w:p>
    <w:p>
      <w:pPr>
        <w:pBdr>
          <w:left w:val="single" w:color="2A1A3A" w:sz="14" w:space="8"/>
        </w:pBdr>
        <w:spacing w:after="140"/>
        <w:ind w:left="360"/>
      </w:pPr>
      <w:r>
        <w:rPr>
          <w:rFonts w:ascii="Arial" w:cs="Arial" w:eastAsia="Arial" w:hAnsi="Arial"/>
          <w:b/>
          <w:bCs/>
          <w:color w:val="2A1A3A"/>
          <w:sz w:val="22"/>
          <w:szCs w:val="22"/>
        </w:rPr>
        <w:t xml:space="preserve">H2 — An inside job with an unknown Diamond Centre contact:  </w:t>
      </w:r>
      <w:r>
        <w:rPr>
          <w:rFonts w:ascii="Arial" w:cs="Arial" w:eastAsia="Arial" w:hAnsi="Arial"/>
          <w:color w:val="000000"/>
          <w:sz w:val="22"/>
          <w:szCs w:val="22"/>
        </w:rPr>
        <w:t xml:space="preserve">The selectivity of the 109 boxes requires an inside source who knew which box holders stored the most valuable assets. This contact within the Diamond Centre provided the box list but was never identified. The contact may have been a Diamond Centre employee, a tenant, or someone with access to box holder records. Finotto was the operational executor; the inside contact was the intellectual architect.</w:t>
      </w:r>
    </w:p>
    <w:p>
      <w:pPr>
        <w:pBdr>
          <w:left w:val="single" w:color="2A1A3A" w:sz="14" w:space="8"/>
        </w:pBdr>
        <w:spacing w:after="140"/>
        <w:ind w:left="360"/>
      </w:pPr>
      <w:r>
        <w:rPr>
          <w:rFonts w:ascii="Arial" w:cs="Arial" w:eastAsia="Arial" w:hAnsi="Arial"/>
          <w:b/>
          <w:bCs/>
          <w:color w:val="2A1A3A"/>
          <w:sz w:val="22"/>
          <w:szCs w:val="22"/>
        </w:rPr>
        <w:t xml:space="preserve">H3 — The proceeds remain intact in criminal hands awaiting circumstances to liquidate:  </w:t>
      </w:r>
      <w:r>
        <w:rPr>
          <w:rFonts w:ascii="Arial" w:cs="Arial" w:eastAsia="Arial" w:hAnsi="Arial"/>
          <w:color w:val="000000"/>
          <w:sz w:val="22"/>
          <w:szCs w:val="22"/>
        </w:rPr>
        <w:t xml:space="preserve">The €100 million in diamonds and other assets has not been fully recut and distributed — a portion or all of it remains in criminal storage, used as collateral in the manner of other organized crime asset stores. The barriers to liquidation — international attention on the case, the Interpol involvement — prevented the principals from fully distributing the proceeds.</w:t>
      </w:r>
    </w:p>
    <w:p>
      <w:pPr>
        <w:pBdr>
          <w:left w:val="single" w:color="2A1A3A" w:sz="14" w:space="8"/>
        </w:pBdr>
        <w:spacing w:after="140"/>
        <w:ind w:left="360"/>
      </w:pPr>
      <w:r>
        <w:rPr>
          <w:rFonts w:ascii="Arial" w:cs="Arial" w:eastAsia="Arial" w:hAnsi="Arial"/>
          <w:b/>
          <w:bCs/>
          <w:color w:val="2A1A3A"/>
          <w:sz w:val="22"/>
          <w:szCs w:val="22"/>
        </w:rPr>
        <w:t xml:space="preserve">H4 — The €100 million estimate is significantly inflated:  </w:t>
      </w:r>
      <w:r>
        <w:rPr>
          <w:rFonts w:ascii="Arial" w:cs="Arial" w:eastAsia="Arial" w:hAnsi="Arial"/>
          <w:color w:val="000000"/>
          <w:sz w:val="22"/>
          <w:szCs w:val="22"/>
        </w:rPr>
        <w:t xml:space="preserve">Safe deposit box contents are uninsured and self-reported by claimants after the fact. The actual value of what was taken may be significantly lower than €100 million. If the real value was substantially less, Finotto's five-year sentence and post-prison modest lifestyle become more consistent with his having retained the proceeds personally. This hypothesis does not change the structural questions but does affect the scale of the unresolved criminal network question.</w:t>
      </w:r>
    </w:p>
    <w:p>
      <w:pPr>
        <w:spacing w:after="160"/>
      </w:pPr>
      <w:r>
        <w:t xml:space="preserve"/>
      </w:r>
    </w:p>
    <w:p>
      <w:pPr>
        <w:pStyle w:val="Heading1"/>
        <w:spacing w:after="160" w:before="0"/>
      </w:pPr>
      <w:r>
        <w:rPr>
          <w:rFonts w:ascii="Arial" w:cs="Arial" w:eastAsia="Arial" w:hAnsi="Arial"/>
          <w:b/>
          <w:bCs/>
          <w:color w:val="2A1A3A"/>
          <w:sz w:val="34"/>
          <w:szCs w:val="34"/>
        </w:rPr>
        <w:t xml:space="preserve">Open Questions</w:t>
      </w:r>
    </w:p>
    <w:p>
      <w:pPr>
        <w:pBdr>
          <w:bottom w:val="single" w:color="2A1A3A" w:sz="4" w:space="1"/>
        </w:pBdr>
        <w:spacing w:after="200"/>
      </w:pPr>
      <w:r>
        <w:t xml:space="preserve"/>
      </w:r>
    </w:p>
    <w:p>
      <w:pPr>
        <w:pStyle w:val="ListParagraph"/>
        <w:numPr>
          <w:ilvl w:val="0"/>
          <w:numId w:val="3"/>
        </w:numPr>
        <w:spacing w:after="120"/>
      </w:pPr>
      <w:r>
        <w:rPr>
          <w:rFonts w:ascii="Arial" w:cs="Arial" w:eastAsia="Arial" w:hAnsi="Arial"/>
          <w:color w:val="000000"/>
          <w:sz w:val="22"/>
          <w:szCs w:val="22"/>
        </w:rPr>
        <w:t xml:space="preserve">The partial box list: how was the list of targeted box numbers compiled? What information would be required to know which of 189 boxes contained the most valuable assets, and who had access to that information?</w:t>
      </w:r>
    </w:p>
    <w:p>
      <w:pPr>
        <w:pStyle w:val="ListParagraph"/>
        <w:numPr>
          <w:ilvl w:val="0"/>
          <w:numId w:val="3"/>
        </w:numPr>
        <w:spacing w:after="120"/>
      </w:pPr>
      <w:r>
        <w:rPr>
          <w:rFonts w:ascii="Arial" w:cs="Arial" w:eastAsia="Arial" w:hAnsi="Arial"/>
          <w:color w:val="000000"/>
          <w:sz w:val="22"/>
          <w:szCs w:val="22"/>
        </w:rPr>
        <w:t xml:space="preserve">The 80 untouched boxes: what did the 80 untouched boxes contain, compared to the 109 that were opened? This comparison would indicate whether the selection was random, time-limited, or knowledge-based.</w:t>
      </w:r>
    </w:p>
    <w:p>
      <w:pPr>
        <w:pStyle w:val="ListParagraph"/>
        <w:numPr>
          <w:ilvl w:val="0"/>
          <w:numId w:val="3"/>
        </w:numPr>
        <w:spacing w:after="120"/>
      </w:pPr>
      <w:r>
        <w:rPr>
          <w:rFonts w:ascii="Arial" w:cs="Arial" w:eastAsia="Arial" w:hAnsi="Arial"/>
          <w:color w:val="000000"/>
          <w:sz w:val="22"/>
          <w:szCs w:val="22"/>
        </w:rPr>
        <w:t xml:space="preserve">The Camorra connection: what specific intelligence identified the Camorra connection, and was this intelligence shared with Italian prosecutors? Did the investigation ever identify a specific individual within the Camorra network connected to the theft?</w:t>
      </w:r>
    </w:p>
    <w:p>
      <w:pPr>
        <w:pStyle w:val="ListParagraph"/>
        <w:numPr>
          <w:ilvl w:val="0"/>
          <w:numId w:val="3"/>
        </w:numPr>
        <w:spacing w:after="120"/>
      </w:pPr>
      <w:r>
        <w:rPr>
          <w:rFonts w:ascii="Arial" w:cs="Arial" w:eastAsia="Arial" w:hAnsi="Arial"/>
          <w:color w:val="000000"/>
          <w:sz w:val="22"/>
          <w:szCs w:val="22"/>
        </w:rPr>
        <w:t xml:space="preserve">Finotto's post-prison finances: has any financial investigation traced assets connected to Finotto or his associates to the proceeds of the Antwerp theft?</w:t>
      </w:r>
    </w:p>
    <w:p>
      <w:pPr>
        <w:pStyle w:val="ListParagraph"/>
        <w:numPr>
          <w:ilvl w:val="0"/>
          <w:numId w:val="3"/>
        </w:numPr>
        <w:spacing w:after="120"/>
      </w:pPr>
      <w:r>
        <w:rPr>
          <w:rFonts w:ascii="Arial" w:cs="Arial" w:eastAsia="Arial" w:hAnsi="Arial"/>
          <w:color w:val="000000"/>
          <w:sz w:val="22"/>
          <w:szCs w:val="22"/>
        </w:rPr>
        <w:t xml:space="preserve">The cleaning employee's observation: what specifically did the employee observe that seemed suspicious, and could this observation have been made actionable through a reporting mechanism?</w:t>
      </w:r>
    </w:p>
    <w:p>
      <w:pPr>
        <w:pStyle w:val="ListParagraph"/>
        <w:numPr>
          <w:ilvl w:val="0"/>
          <w:numId w:val="3"/>
        </w:numPr>
        <w:spacing w:after="120"/>
      </w:pPr>
      <w:r>
        <w:rPr>
          <w:rFonts w:ascii="Arial" w:cs="Arial" w:eastAsia="Arial" w:hAnsi="Arial"/>
          <w:color w:val="000000"/>
          <w:sz w:val="22"/>
          <w:szCs w:val="22"/>
        </w:rPr>
        <w:t xml:space="preserve">The diamonds in the market: have any diamonds from the Antwerp collection been identified in subsequent market transactions through weight, type, or provenance anomalies — even if not individually traceable?</w:t>
      </w:r>
    </w:p>
    <w:p>
      <w:pPr>
        <w:spacing w:after="160"/>
      </w:pPr>
      <w:r>
        <w:t xml:space="preserve"/>
      </w:r>
    </w:p>
    <w:p>
      <w:pPr>
        <w:pBdr>
          <w:left w:val="single" w:color="C47F00" w:sz="14" w:space="8"/>
        </w:pBdr>
        <w:shd w:fill="FFF9DB" w:val="clear"/>
        <w:spacing w:after="160"/>
        <w:ind w:left="360"/>
      </w:pPr>
      <w:r>
        <w:rPr>
          <w:rFonts w:ascii="Arial" w:cs="Arial" w:eastAsia="Arial" w:hAnsi="Arial"/>
          <w:b/>
          <w:bCs/>
          <w:color w:val="C47F00"/>
          <w:sz w:val="22"/>
          <w:szCs w:val="22"/>
        </w:rPr>
        <w:t xml:space="preserve">Collaboration Needed:  </w:t>
      </w:r>
      <w:r>
        <w:rPr>
          <w:rFonts w:ascii="Arial" w:cs="Arial" w:eastAsia="Arial" w:hAnsi="Arial"/>
          <w:color w:val="000000"/>
          <w:sz w:val="22"/>
          <w:szCs w:val="22"/>
        </w:rPr>
        <w:t xml:space="preserve">This case needs: Belgian Federal Police investigators with access to the full investigation file who can confirm whether the partial box list was fully analysed for its source; Italian organized crime researchers who can assess the specific Camorra connection and whether it was investigated to its full extent; diamond market specialists who can assess how a mass of stolen diamonds of this size and variety would have been processed through the recutting and redistribution pipeline.</w:t>
      </w:r>
    </w:p>
    <w:p>
      <w:pPr>
        <w:pBdr>
          <w:left w:val="single" w:color="2A1A3A" w:sz="14" w:space="8"/>
        </w:pBdr>
        <w:spacing w:after="240"/>
        <w:ind w:left="360"/>
      </w:pPr>
      <w:r>
        <w:rPr>
          <w:rFonts w:ascii="Arial" w:cs="Arial" w:eastAsia="Arial" w:hAnsi="Arial"/>
          <w:b/>
          <w:bCs/>
          <w:color w:val="2A1A3A"/>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1"/>
        <w:spacing w:after="160" w:before="0"/>
      </w:pPr>
      <w:r>
        <w:rPr>
          <w:rFonts w:ascii="Arial" w:cs="Arial" w:eastAsia="Arial" w:hAnsi="Arial"/>
          <w:b/>
          <w:bCs/>
          <w:color w:val="2A1A3A"/>
          <w:sz w:val="34"/>
          <w:szCs w:val="34"/>
        </w:rPr>
        <w:t xml:space="preserve">Signal Record</w:t>
      </w:r>
    </w:p>
    <w:p>
      <w:pPr>
        <w:pBdr>
          <w:bottom w:val="single" w:color="2A1A3A" w:sz="4" w:space="1"/>
        </w:pBdr>
        <w:spacing w:after="200"/>
      </w:pPr>
      <w:r>
        <w:t xml:space="preserve"/>
      </w:r>
    </w:p>
    <w:p>
      <w:pPr>
        <w:spacing w:after="160" w:line="276"/>
      </w:pPr>
      <w:r>
        <w:rPr>
          <w:rFonts w:ascii="Arial" w:cs="Arial" w:eastAsia="Arial" w:hAnsi="Arial"/>
          <w:color w:val="000000"/>
          <w:sz w:val="22"/>
          <w:szCs w:val="22"/>
        </w:rPr>
        <w:t xml:space="preserve">Record the SI score and admission decision for every signal submitted.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400"/>
        <w:gridCol w:w="2000"/>
        <w:gridCol w:w="2000"/>
        <w:gridCol w:w="2280"/>
      </w:tblGrid>
      <w:tr>
        <w:tc>
          <w:tcPr>
            <w:tcW w:type="dxa" w:w="68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240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 SUMMARY</w:t>
            </w:r>
          </w:p>
        </w:tc>
        <w:tc>
          <w:tcPr>
            <w:tcW w:type="dxa" w:w="200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 SCORE</w:t>
            </w:r>
          </w:p>
        </w:tc>
        <w:tc>
          <w:tcPr>
            <w:tcW w:type="dxa" w:w="200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ADMITTED?</w:t>
            </w:r>
          </w:p>
        </w:tc>
        <w:tc>
          <w:tcPr>
            <w:tcW w:type="dxa" w:w="2280"/>
            <w:tcBorders>
              <w:top w:val="single" w:color="999999" w:sz="1"/>
              <w:left w:val="single" w:color="999999" w:sz="1"/>
              <w:bottom w:val="single" w:color="999999" w:sz="1"/>
              <w:right w:val="single" w:color="999999" w:sz="1"/>
            </w:tcBorders>
            <w:shd w:fill="2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SEC01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SEC02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SEC03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SEC04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SEC05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SEC06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SEC07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SEC08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SEC09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POL01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POL02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POL03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POL04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POL05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POL06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POL07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POL08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POL09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POL10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POL11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NET01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NET02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NET03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NET04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NET05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NET06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NET07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NET08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NET09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NET10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DIA01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DIA02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DIA03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DIA04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DIA05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DIA06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DIA07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DIA08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PHY01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PHY02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PHY03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PHY04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PHY05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PHY06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PHY07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PHY08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PHY09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POST01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POST02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POST03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POST04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POST05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POST06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POST07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3A"/>
                <w:sz w:val="20"/>
                <w:szCs w:val="20"/>
              </w:rPr>
              <w:t xml:space="preserve">POST08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1A3A" w:sz="4" w:space="4"/>
      </w:pBdr>
      <w:jc w:val="right"/>
    </w:pPr>
    <w:r>
      <w:rPr>
        <w:rFonts w:ascii="Arial" w:cs="Arial" w:eastAsia="Arial" w:hAnsi="Arial"/>
        <w:color w:val="595959"/>
        <w:sz w:val="18"/>
        <w:szCs w:val="18"/>
      </w:rPr>
      <w:t xml:space="preserve">cisnew.vercel.app  |  2026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1A3A" w:sz="4" w:space="4"/>
      </w:pBdr>
    </w:pPr>
    <w:r>
      <w:rPr>
        <w:rFonts w:ascii="Arial" w:cs="Arial" w:eastAsia="Arial" w:hAnsi="Arial"/>
        <w:i/>
        <w:iCs/>
        <w:color w:val="595959"/>
        <w:sz w:val="18"/>
        <w:szCs w:val="18"/>
      </w:rPr>
      <w:t xml:space="preserve">CIS Cold Case  |  Antwerp Diamond Heist — Full Signal Inventory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20"/>
        <w:ind w:left="720" w:hanging="360"/>
      </w:pPr>
    </w:lvl>
  </w:abstractNum>
  <w:abstractNum w:abstractNumId="3" w15:restartNumberingAfterBreak="0">
    <w:multiLevelType w:val="hybridMultilevel"/>
    <w:lvl w:ilvl="0" w15:tentative="1">
      <w:start w:val="1"/>
      <w:numFmt w:val="decimal"/>
      <w:lvlText w:val="%1."/>
      <w:lvlJc w:val="left"/>
      <w:pPr>
        <w:spacing w:after="16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2A1A3A"/>
      <w:sz w:val="34"/>
      <w:szCs w:val="34"/>
    </w:rPr>
  </w:style>
  <w:style w:type="paragraph" w:styleId="Heading2">
    <w:name w:val="Heading 2"/>
    <w:basedOn w:val="Normal"/>
    <w:next w:val="Normal"/>
    <w:qFormat/>
    <w:pPr>
      <w:spacing w:after="140" w:before="36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C3C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2026-06-11T08:43:02.065Z</dcterms:created>
  <dcterms:modified xsi:type="dcterms:W3CDTF">2026-06-11T08:43:02.065Z</dcterms:modified>
</cp:coreProperties>
</file>

<file path=docProps/custom.xml><?xml version="1.0" encoding="utf-8"?>
<Properties xmlns="http://schemas.openxmlformats.org/officeDocument/2006/custom-properties" xmlns:vt="http://schemas.openxmlformats.org/officeDocument/2006/docPropsVTypes"/>
</file>