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120"/>
              <w:jc w:val="center"/>
            </w:pPr>
            <w:r>
              <w:rPr>
                <w:rFonts w:ascii="Arial" w:cs="Arial" w:eastAsia="Arial" w:hAnsi="Arial"/>
                <w:b/>
                <w:bCs/>
                <w:i w:val="false"/>
                <w:iCs w:val="false"/>
                <w:color w:val="FFFFFF"/>
                <w:sz w:val="44"/>
                <w:szCs w:val="44"/>
              </w:rPr>
              <w:t xml:space="preserve">Deepwater Horizon</w:t>
            </w:r>
          </w:p>
          <w:p>
            <w:pPr>
              <w:spacing w:before="80"/>
              <w:jc w:val="center"/>
            </w:pPr>
            <w:r>
              <w:rPr>
                <w:rFonts w:ascii="Arial" w:cs="Arial" w:eastAsia="Arial" w:hAnsi="Arial"/>
                <w:b w:val="false"/>
                <w:bCs w:val="false"/>
                <w:i w:val="false"/>
                <w:iCs w:val="false"/>
                <w:color w:val="C0D0E0"/>
                <w:sz w:val="24"/>
                <w:szCs w:val="24"/>
              </w:rPr>
              <w:t xml:space="preserve">Gulf of Mexico · 20 April 2010</w:t>
            </w:r>
          </w:p>
          <w:p>
            <w:pPr>
              <w:spacing w:before="60"/>
              <w:jc w:val="center"/>
            </w:pPr>
            <w:r>
              <w:rPr>
                <w:rFonts w:ascii="Arial" w:cs="Arial" w:eastAsia="Arial" w:hAnsi="Arial"/>
                <w:b w:val="false"/>
                <w:bCs w:val="false"/>
                <w:i w:val="false"/>
                <w:iCs w:val="false"/>
                <w:color w:val="90A8BC"/>
                <w:sz w:val="20"/>
                <w:szCs w:val="20"/>
              </w:rPr>
              <w:t xml:space="preserve">Industrial Disaster · Offshore Drilling · BP Macondo Well</w:t>
            </w:r>
          </w:p>
          <w:p>
            <w:pPr>
              <w:spacing w:before="120"/>
              <w:jc w:val="center"/>
            </w:pPr>
            <w:r>
              <w:rPr>
                <w:rFonts w:ascii="Arial" w:cs="Arial" w:eastAsia="Arial" w:hAnsi="Arial"/>
                <w:b/>
                <w:bCs/>
                <w:i w:val="false"/>
                <w:iCs w:val="false"/>
                <w:color w:val="FFD700"/>
                <w:sz w:val="20"/>
                <w:szCs w:val="20"/>
              </w:rPr>
              <w:t xml:space="preserve">68 signals  ·  7 independent domains  ·  no triage</w:t>
            </w:r>
          </w:p>
          <w:p>
            <w:pPr>
              <w:spacing w:before="60"/>
              <w:jc w:val="center"/>
            </w:pPr>
            <w:r>
              <w:rPr>
                <w:rFonts w:ascii="Arial" w:cs="Arial" w:eastAsia="Arial" w:hAnsi="Arial"/>
                <w:b w:val="false"/>
                <w:bCs w:val="false"/>
                <w:i/>
                <w:iCs/>
                <w:color w:val="90A8BC"/>
                <w:sz w:val="18"/>
                <w:szCs w:val="18"/>
              </w:rPr>
              <w:t xml:space="preserve">Raw signal set — documented without filtering or pre-classification</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On 20 April 2010, a blowout at BP's Macondo well caused a series of explosions on the Deepwater Horizon drilling rig, killing 11 workers and triggering the largest marine oil spill in US history. Approximately 4.9 million barrels of oil entered the Gulf of Mexico over 87 days before the well was capped. The National Commission on the BP Deepwater Horizon Oil Spill and Offshore Drilling found the accident resulted from multiple failures across three companies — BP, Transocean, and Halliburton — and from regulatory failure. On the day of the blowout, BP cancelled a cement bond log test (saving $128,000), misinterpreted a negative pressure test showing physically anomalous readings, and displaced mud with seawater before setting a final cement plug — removing multiple safety barriers simultaneously. Halliburton's pre-job cement simulation had predicted the cement job might fail; this was not communicated to BP decision makers. The BOP's automatic deadman switch did not activate. BP pleaded guilty to 11 counts of felony manslaughter and paid $4.5 billion in criminal penalties; total liability was estimated at $65 billion. Judge Barbier ruled BP was grossly negligent.</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Well Design and Cementing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Macondo well design decisions, casing configuration, centraliser placement, negative pressure test interpretation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2009–2010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Blowout Preventer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BOP design, testing history, deadman switch, blind shear rams, manufacturer testing failures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2001–2010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Decision Making on Rig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Cement bond log decision, negative test interpretation, mud displacement decision, risk assessment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Apr 2010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Explosion and Casualties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Sequence of events 20 April 2010, explosion, fire, 11 deaths, evacuation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 Apr 2010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Spill and Response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Flow rate estimates, cap attempts, relief well, BP estimates vs. independent estimates, 87-day spill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Apr–Sep 2010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Regulatory and Corporate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MMS oversight failures, BP safety culture, prior incidents (Texas City, Alaska pipeline), debarment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2005–2015</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Legal and Financial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BP $65 billion liability, Transocean, Halliburton settlements, criminal charges, Clean Water Act fines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2010–2015</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earliest documented | B = active phase | C = acute event / investigation | D = post-event / official finding</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Deepwater Horizon Investigation 2010</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pPr>
        <w:spacing w:after="60" w:before="60"/>
        <w:jc w:val="left"/>
      </w:pPr>
      <w:r>
        <w:rPr>
          <w:rFonts w:ascii="Arial" w:cs="Arial" w:eastAsia="Arial" w:hAnsi="Arial"/>
          <w:b w:val="false"/>
          <w:bCs w:val="false"/>
          <w:i w:val="false"/>
          <w:iCs w:val="false"/>
          <w:color w:val="000000"/>
          <w:sz w:val="22"/>
          <w:szCs w:val="22"/>
        </w:rPr>
        <w:t xml:space="preserve">Create the following domains. Declare independence for all domain pairs before entering signals.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Well Design and Cementing</w:t>
      </w:r>
    </w:p>
    <w:p>
      <w:pPr>
        <w:spacing w:after="60" w:before="60"/>
        <w:jc w:val="left"/>
      </w:pPr>
      <w:r>
        <w:rPr>
          <w:rFonts w:ascii="Arial" w:cs="Arial" w:eastAsia="Arial" w:hAnsi="Arial"/>
          <w:b w:val="false"/>
          <w:bCs w:val="false"/>
          <w:i w:val="false"/>
          <w:iCs w:val="false"/>
          <w:color w:val="000000"/>
          <w:sz w:val="22"/>
          <w:szCs w:val="22"/>
        </w:rPr>
        <w:t xml:space="preserve">Macondo well design decisions, casing configuration, centraliser placement, negative pressure test interpretation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Blowout Preventer</w:t>
      </w:r>
    </w:p>
    <w:p>
      <w:pPr>
        <w:spacing w:after="60" w:before="60"/>
        <w:jc w:val="left"/>
      </w:pPr>
      <w:r>
        <w:rPr>
          <w:rFonts w:ascii="Arial" w:cs="Arial" w:eastAsia="Arial" w:hAnsi="Arial"/>
          <w:b w:val="false"/>
          <w:bCs w:val="false"/>
          <w:i w:val="false"/>
          <w:iCs w:val="false"/>
          <w:color w:val="000000"/>
          <w:sz w:val="22"/>
          <w:szCs w:val="22"/>
        </w:rPr>
        <w:t xml:space="preserve">BOP design, testing history, deadman switch, blind shear rams, manufacturer testing failures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Decision Making on Rig</w:t>
      </w:r>
    </w:p>
    <w:p>
      <w:pPr>
        <w:spacing w:after="60" w:before="60"/>
        <w:jc w:val="left"/>
      </w:pPr>
      <w:r>
        <w:rPr>
          <w:rFonts w:ascii="Arial" w:cs="Arial" w:eastAsia="Arial" w:hAnsi="Arial"/>
          <w:b w:val="false"/>
          <w:bCs w:val="false"/>
          <w:i w:val="false"/>
          <w:iCs w:val="false"/>
          <w:color w:val="000000"/>
          <w:sz w:val="22"/>
          <w:szCs w:val="22"/>
        </w:rPr>
        <w:t xml:space="preserve">Cement bond log decision, negative test interpretation, mud displacement decision, risk assessment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Explosion and Casualties</w:t>
      </w:r>
    </w:p>
    <w:p>
      <w:pPr>
        <w:spacing w:after="60" w:before="60"/>
        <w:jc w:val="left"/>
      </w:pPr>
      <w:r>
        <w:rPr>
          <w:rFonts w:ascii="Arial" w:cs="Arial" w:eastAsia="Arial" w:hAnsi="Arial"/>
          <w:b w:val="false"/>
          <w:bCs w:val="false"/>
          <w:i w:val="false"/>
          <w:iCs w:val="false"/>
          <w:color w:val="000000"/>
          <w:sz w:val="22"/>
          <w:szCs w:val="22"/>
        </w:rPr>
        <w:t xml:space="preserve">Sequence of events 20 April 2010, explosion, fire, 11 deaths, evacuation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Spill and Response</w:t>
      </w:r>
    </w:p>
    <w:p>
      <w:pPr>
        <w:spacing w:after="60" w:before="60"/>
        <w:jc w:val="left"/>
      </w:pPr>
      <w:r>
        <w:rPr>
          <w:rFonts w:ascii="Arial" w:cs="Arial" w:eastAsia="Arial" w:hAnsi="Arial"/>
          <w:b w:val="false"/>
          <w:bCs w:val="false"/>
          <w:i w:val="false"/>
          <w:iCs w:val="false"/>
          <w:color w:val="000000"/>
          <w:sz w:val="22"/>
          <w:szCs w:val="22"/>
        </w:rPr>
        <w:t xml:space="preserve">Flow rate estimates, cap attempts, relief well, BP estimates vs. independent estimates, 87-day spill</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Regulatory and Corporate Record</w:t>
      </w:r>
    </w:p>
    <w:p>
      <w:pPr>
        <w:spacing w:after="60" w:before="60"/>
        <w:jc w:val="left"/>
      </w:pPr>
      <w:r>
        <w:rPr>
          <w:rFonts w:ascii="Arial" w:cs="Arial" w:eastAsia="Arial" w:hAnsi="Arial"/>
          <w:b w:val="false"/>
          <w:bCs w:val="false"/>
          <w:i w:val="false"/>
          <w:iCs w:val="false"/>
          <w:color w:val="000000"/>
          <w:sz w:val="22"/>
          <w:szCs w:val="22"/>
        </w:rPr>
        <w:t xml:space="preserve">MMS oversight failures, BP safety culture, prior incidents (Texas City, Alaska pipeline), debarment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7: Legal and Financial Record</w:t>
      </w:r>
    </w:p>
    <w:p>
      <w:pPr>
        <w:spacing w:after="60" w:before="60"/>
        <w:jc w:val="left"/>
      </w:pPr>
      <w:r>
        <w:rPr>
          <w:rFonts w:ascii="Arial" w:cs="Arial" w:eastAsia="Arial" w:hAnsi="Arial"/>
          <w:b w:val="false"/>
          <w:bCs w:val="false"/>
          <w:i w:val="false"/>
          <w:iCs w:val="false"/>
          <w:color w:val="000000"/>
          <w:sz w:val="22"/>
          <w:szCs w:val="22"/>
        </w:rPr>
        <w:t xml:space="preserve">BP $65 billion liability, Transocean, Halliburton settlements, criminal charges, Clean Water Act fines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Well Design and Cementing</w:t>
      </w:r>
    </w:p>
    <w:p>
      <w:pPr>
        <w:spacing w:after="60" w:before="60"/>
        <w:jc w:val="left"/>
      </w:pPr>
      <w:r>
        <w:rPr>
          <w:rFonts w:ascii="Arial" w:cs="Arial" w:eastAsia="Arial" w:hAnsi="Arial"/>
          <w:b w:val="false"/>
          <w:bCs w:val="false"/>
          <w:i w:val="false"/>
          <w:iCs w:val="false"/>
          <w:color w:val="000000"/>
          <w:sz w:val="22"/>
          <w:szCs w:val="22"/>
        </w:rPr>
        <w:t xml:space="preserve">Macondo well design decisions, casing configuration, centraliser placement, negative pressure test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WD-01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Macondo well used a long-string casing design rather than a liner-tieback design; CSB and National Commission both identified this as a higher-risk choice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Casing design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WD-02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Halliburton recommended 21 centralisers to improve cement job quality; BP used 6; a BP engineer objected in email but was overruled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Apr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Centraliser decision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WD-03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Cement bond log (CBL) was scheduled to test cement integrity; the crew of Schlumberger CBL specialists left the rig without performing the test — BP cancelled it to save $128,000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 Apr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CBL cancellation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WD-04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Halliburton had conducted a pre-job simulation that showed the cement job might fail; this result was not shared with BP decision makers before the job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Apr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Simulation suppressed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WD-05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negative pressure test conducted on 20 April was misinterpreted; anomalous pressure readings were attributed to a 'bladder effect' that does not physically exist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 Apr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Negative test misread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WD-06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During the negative pressure test, the kill line showed zero pressure while the drill pipe showed 1,400 psi — an inconsistency that was not investigated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 Apr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Pressure inconsistency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WD-07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Mud was being displaced from the riser with seawater before a final cement plug was set; this removed a key well-control barrier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 Apr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Barrier removal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WD-08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well-control barriers were removed or compromised simultaneously in the hours before the blowout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 Apr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barrier failure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WD-09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BP engineer calculated the risk of a gas flow problem as 'unlikely' on the basis of incomplete information the morning of 20 April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 Apr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Risk underestimate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WD-10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Macondo well had experienced well-control problems on multiple prior occasions during drilling; crew was aware of formation challenges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2009–2010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Prior well issues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WD-11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BP was behind schedule on the Macondo well; time pressure was cited in multiple accounts as influencing the accelerated decision to begin mud removal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Apr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Schedule pressure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Blowout Preventer</w:t>
      </w:r>
    </w:p>
    <w:p>
      <w:pPr>
        <w:spacing w:after="60" w:before="60"/>
        <w:jc w:val="left"/>
      </w:pPr>
      <w:r>
        <w:rPr>
          <w:rFonts w:ascii="Arial" w:cs="Arial" w:eastAsia="Arial" w:hAnsi="Arial"/>
          <w:b w:val="false"/>
          <w:bCs w:val="false"/>
          <w:i w:val="false"/>
          <w:iCs w:val="false"/>
          <w:color w:val="000000"/>
          <w:sz w:val="22"/>
          <w:szCs w:val="22"/>
        </w:rPr>
        <w:t xml:space="preserve">BOP design, testing history, deadman switch, blind shear rams, manufacturer testing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BP-01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BOP on Deepwater Horizon was manufactured by Cameron; it had not been fully tested to verify the blind shear rams could sever the drill pipe under the conditions present on 20 April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2001–2010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BOP testing gap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BP-02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BOP had an hydraulic leak in one of its pods; this was known before the accident and had been evaluated as acceptable risk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Apr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Known BOP defect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BP-03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automatic mode function (AMF or 'deadman') should have automatically triggered the BOP if the rig lost power and communication; it did not activate as designed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 Apr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Deadman failure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BP-04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blind shear rams, when triggered after the blowout, failed to sever the drill pipe and seal the well; investigations found the pipe was not centred in the BOP at time of activation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 Apr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Shear ram failure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BP-05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MMS (Minerals Management Service) regulations allowed operators to conduct some BOP tests at reduced frequency; Deepwater Horizon's BOP had not been tested to full capacity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2001–2010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Regulatory testing gap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BP-06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Independent testing of the same BOP design following the accident showed the shear rams were insufficient for the drill pipe sizes used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Post-accident test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BP-07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BOP had 260 failure modes identified in a prior industry study; safety-critical functions were not independently verified as redundant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2001–2010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Failure mode analysis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BP-08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 the blowout, multiple attempts to activate the BOP remotely failed; ROVs attempted manual activation and also failed initially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Apr–May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Activation failures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BP-09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BOP had been on the Deepwater Horizon rig since 2001; it had not been fully refurbished in that period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2001–2010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BOP age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BP-10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National Commission found the BOP was incapable of performing its intended function under the conditions that existed on 20 April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National Commission finding</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Decision Making on Rig</w:t>
      </w:r>
    </w:p>
    <w:p>
      <w:pPr>
        <w:spacing w:after="60" w:before="60"/>
        <w:jc w:val="left"/>
      </w:pPr>
      <w:r>
        <w:rPr>
          <w:rFonts w:ascii="Arial" w:cs="Arial" w:eastAsia="Arial" w:hAnsi="Arial"/>
          <w:b w:val="false"/>
          <w:bCs w:val="false"/>
          <w:i w:val="false"/>
          <w:iCs w:val="false"/>
          <w:color w:val="000000"/>
          <w:sz w:val="22"/>
          <w:szCs w:val="22"/>
        </w:rPr>
        <w:t xml:space="preserve">Cement bond log decision, negative test interpretation, mud displacement decision,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BP company men on the rig (Vidrine and Kaluza) approved the negative pressure test interpretation despite anomalous readings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 Apr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Decision authority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Transocean toolpusher and driller accepted the negative pressure test as satisfactory despite the 1,400 psi on the drill pipe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 Apr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Rig crew acceptance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BP executive visit to the rig on 20 April was cited in accounts as contributing to schedule pressure; the executives were present when decisions were made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 Apr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Executive presence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decision to remove mud before setting the final cement plug was taken to save time and money; it removed a safety barrier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 Apr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Barrier removal decision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formal risk assessment was conducted for the sequence of operations on 20 April; decisions were made without structured hazard analysis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 Apr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Risk assessment absent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decisions on 20 April each individually reduced well integrity; in combination they created conditions for blowout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 Apr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Decision interaction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CBL cancellation saved $128,000 on a project costing approximately $1 million per day; the proportionality was noted by investigators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 Apr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Cost proportionality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Well design decisions (centraliser count, casing type) were made weeks before 20 April by BP engineers in Houston, not on the rig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Onshore decisions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BP's internal investigation (Bly Report) attributed the accident to multiple companies and multiple decisions; did not primarily attribute blame to BP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Sep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Internal attribution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National Commission concluded the accident was the result of multiple failures in risk management, not a single mistake or villain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2011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Commission attribution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Explosion and Casualties</w:t>
      </w:r>
    </w:p>
    <w:p>
      <w:pPr>
        <w:spacing w:after="60" w:before="60"/>
        <w:jc w:val="left"/>
      </w:pPr>
      <w:r>
        <w:rPr>
          <w:rFonts w:ascii="Arial" w:cs="Arial" w:eastAsia="Arial" w:hAnsi="Arial"/>
          <w:b w:val="false"/>
          <w:bCs w:val="false"/>
          <w:i w:val="false"/>
          <w:iCs w:val="false"/>
          <w:color w:val="000000"/>
          <w:sz w:val="22"/>
          <w:szCs w:val="22"/>
        </w:rPr>
        <w:t xml:space="preserve">Sequence of events 20 April 2010, explosion, fire, 11 deaths, evacuation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EX-01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 approximately 21:49 on 20 April 2010, gas reached the rig floor and ignited; two explosions occurred within seconds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21:49 20 Apr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Explosion time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EX-02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Eleven workers were killed in the explosion: Jason Anderson, Dale Burkeen, Donald Clark, Stephen Curtis, Roy Wyatt Kemp, Karl Kleppinger Jr., Keith Blair Manuel, Dewey Revette, Shane Roshto, Adam Weise, Gordon Jones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 Apr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11 deaths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EX-03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Approximately 115 workers were evacuated from the rig; most by lifeboat, some by helicopter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20–21 Apr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Evacuation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EX-04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Deepwater Horizon rig burned for approximately 36 hours and sank on 22 April 2010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22 Apr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Rig sinking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EX-05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11 workers who died were all in the immediate path of the initial gas explosion; they had no warning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 Apr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Casualty location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EX-06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survivors reported feeling the rig shudder before the explosion; the gas had been flowing for some time before ignition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 Apr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Pre-explosion warning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EX-07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gas alarm had activated but was silenced as a false alarm shortly before the blowout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 Apr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Alarm silenced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EX-08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rig's emergency disconnect system (EDS) was initiated after the explosion; it failed to actuate the BOP to seal the well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 Apr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EDS failure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Spill and Response</w:t>
      </w:r>
    </w:p>
    <w:p>
      <w:pPr>
        <w:spacing w:after="60" w:before="60"/>
        <w:jc w:val="left"/>
      </w:pPr>
      <w:r>
        <w:rPr>
          <w:rFonts w:ascii="Arial" w:cs="Arial" w:eastAsia="Arial" w:hAnsi="Arial"/>
          <w:b w:val="false"/>
          <w:bCs w:val="false"/>
          <w:i w:val="false"/>
          <w:iCs w:val="false"/>
          <w:color w:val="000000"/>
          <w:sz w:val="22"/>
          <w:szCs w:val="22"/>
        </w:rPr>
        <w:t xml:space="preserve">Flow rate estimates, cap attempts, relief well, BP estimates vs. independent estimates, 87-day spill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BP's initial flow rate estimate was 1,000 barrels per day; independent scientists assessed 5,000–100,000 barrels per day; final official estimate was 62,000 barrels/day in early days falling to 53,000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Apr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Flow rate underestimate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Total oil released was approximately 4.9 million barrels (210 million gallons) — largest marine oil spill in US history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Apr–Sep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Spill volume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BP deployed 1.84 million gallons of the dispersant Corexit, including 771,000 gallons applied at the wellhead; EPA questioned the use of so much dispersant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Dispersant use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Macondo well was not capped until 15 July 2010 — 87 days after the blowout; relief wells completed in September 2010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Jul–Sep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Capping timeline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BP attempted multiple containment methods before the cap succeeded: top hat, top kill, junk shot; all failed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Apr–Jul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Failed attempts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NOAA scientist estimated flow at 70,000 barrels/day early in the crisis; she was pressured by supervisors not to publicise the estimate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Apr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Flow estimate pressure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SR-07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Unified Command's flow rate technical group concluded in August 2010 that 4.9 million barrels had been released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Aug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Final estimate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SR-08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Dispersant application at depth (subsea) was unprecedented; long-term effects on marine ecosystem were unknown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Dispersant unknowns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SR-09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BP's containment dome failed when methane hydrates clogged it; a phenomenon engineers had not fully anticipated at that depth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May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Hydrate failure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SR-10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Fisheries in Gulf of Mexico were closed across large areas; economic impact on fishing and tourism communities was severe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Economic impact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Regulatory and Corporate Record</w:t>
      </w:r>
    </w:p>
    <w:p>
      <w:pPr>
        <w:spacing w:after="60" w:before="60"/>
        <w:jc w:val="left"/>
      </w:pPr>
      <w:r>
        <w:rPr>
          <w:rFonts w:ascii="Arial" w:cs="Arial" w:eastAsia="Arial" w:hAnsi="Arial"/>
          <w:b w:val="false"/>
          <w:bCs w:val="false"/>
          <w:i w:val="false"/>
          <w:iCs w:val="false"/>
          <w:color w:val="000000"/>
          <w:sz w:val="22"/>
          <w:szCs w:val="22"/>
        </w:rPr>
        <w:t xml:space="preserve">MMS oversight failures, BP safety culture, prior incidents (Texas City, Alaska pipeline), debarment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RG-01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Minerals Management Service (MMS) had a structural conflict of interest: it collected royalties from the same companies it regulated; this was addressed by splitting into separate agencies post-accident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Regulatory conflict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RG-02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MMS had exempted BP's Macondo well from detailed environmental review under a categorical exclusion — a shortcut designed for low-risk activities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Categorical exclusion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RG-03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BP's safety culture had been criticised in prior incidents: 2005 Texas City refinery explosion killed 15; 2006 Alaska pipeline corrosion leak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2005–2006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Prior incidents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RG-04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BP had paid the largest criminal fine in OSHA history ($87 million) for Texas City before the Deepwater Horizon accident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2005–2010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Prior penalties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RG-05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MMS inspectors who were supposed to oversee Deepwater Horizon operations had accepted gifts from industry; some had personal relationships with rig workers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Inspector conduct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RG-06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prior MMS rule that would have required acoustic backup systems for BOPs (a requirement in Norway and Brazil) was withdrawn after industry lobbying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Regulatory withdrawal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RG-07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BP was operating under a permit that was obtained with minimal environmental review; MMS had approved it as low-risk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Permit adequacy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RG-08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National Commission concluded the accident revealed 'a failure of industry management and government oversight'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2011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Commission conclusion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RG-09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BP was temporarily debarred from federal contracts following the accident; debarment was later lifted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Debarment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RG-10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Post-accident regulatory reforms included BSEE (Bureau of Safety and Environmental Enforcement) creation as separate agency from BOEM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Regulatory reform</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7: Legal and Financial Record</w:t>
      </w:r>
    </w:p>
    <w:p>
      <w:pPr>
        <w:spacing w:after="60" w:before="60"/>
        <w:jc w:val="left"/>
      </w:pPr>
      <w:r>
        <w:rPr>
          <w:rFonts w:ascii="Arial" w:cs="Arial" w:eastAsia="Arial" w:hAnsi="Arial"/>
          <w:b w:val="false"/>
          <w:bCs w:val="false"/>
          <w:i w:val="false"/>
          <w:iCs w:val="false"/>
          <w:color w:val="000000"/>
          <w:sz w:val="22"/>
          <w:szCs w:val="22"/>
        </w:rPr>
        <w:t xml:space="preserve">BP $65 billion liability, Transocean, Halliburton settlements, criminal charges, Clean Water Act fines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BP pleaded guilty to 11 counts of felony manslaughter, one count of felony obstruction, and violations of the Clean Water Act and Migratory Bird Treaty Act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Criminal plea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BP agreed to pay $4.525 billion in criminal penalties — largest criminal settlement in US history at 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Criminal penalty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BP's total liability estimated at approximately $65 billion including cleanup, civil penalties, settlements, and economic claims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2010–2015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Total liability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Clean Water Act civil penalty: $5.5 billion (maximum per-barrel fine applied for gross negligence)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Civil penalty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Transocean paid $1.4 billion in criminal and civil penalties; admitted Clean Water Act violations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Transocean settlement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Halliburton paid $1.1 billion settlement and pleaded guilty to destroying evidence (computer simulation showing cement failure)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Halliburton settlement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Individual criminal charges: two BP supervisors charged with involuntary manslaughter; charges later dropped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2012–2015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Individual charges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Judge Carl Barbier ruled that BP was grossly negligent; Transocean was negligent; Halliburton was negligent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Gross negligence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BP's $20 billion trust fund was established within weeks of the accident for economic claims; over 220,000 claims filed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Claims fund</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p>
      <w:pPr>
        <w:spacing w:after="60" w:before="60"/>
        <w:jc w:val="left"/>
      </w:pPr>
      <w:r>
        <w:rPr>
          <w:rFonts w:ascii="Arial" w:cs="Arial" w:eastAsia="Arial" w:hAnsi="Arial"/>
          <w:b w:val="false"/>
          <w:bCs w:val="false"/>
          <w:i w:val="false"/>
          <w:iCs w:val="false"/>
          <w:color w:val="000000"/>
          <w:sz w:val="22"/>
          <w:szCs w:val="22"/>
        </w:rPr>
        <w:t xml:space="preserve">Register these pre-identified contradictions. CIS should surface additional contradictions automatically.</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Well Design and Cementing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Decision Making on Rig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BP cancelled the cement bond log (saving $128,000) to accelerate departure; Halliburton's pre-job cement simulation had shown the job might fail — this result was not shared with BP decision makers before the cancellation.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Well Design and Cementing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Decision Making on Rig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negative pressure test showed 1,400 psi on the drill pipe and zero on the kill line simultaneously — a physically impossible result if the well was secure. Decision makers attributed it to a non-existent 'bladder effect' and proceeded.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Blowout Preventer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Regulatory and Corporate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MMS had withdrawn a proposed rule requiring acoustic backup BOP systems (as required in Norway and Brazil) after industry lobbying. The BOP's deadman switch failed to activate automatically during the blowout.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Spill and Response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Regulatory and Corporate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BP's initial flow estimate was 1,000 barrels/day; independent scientists assessed 5,000–100,000 barrels/day; a NOAA scientist was pressured not to publicise her estimate. The final official figure was 62,000 barrels/day.</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Have Done Automatically</w:t>
      </w:r>
    </w:p>
    <w:p>
      <w:pPr>
        <w:spacing w:after="60" w:before="60"/>
        <w:jc w:val="left"/>
      </w:pPr>
      <w:r>
        <w:rPr>
          <w:rFonts w:ascii="Arial" w:cs="Arial" w:eastAsia="Arial" w:hAnsi="Arial"/>
          <w:b w:val="false"/>
          <w:bCs w:val="false"/>
          <w:i w:val="false"/>
          <w:iCs w:val="false"/>
          <w:color w:val="000000"/>
          <w:sz w:val="22"/>
          <w:szCs w:val="22"/>
        </w:rPr>
        <w:t xml:space="preserve">After signal entry, verify CIS has automatically identified:</w:t>
      </w:r>
    </w:p>
    <w:p>
      <w:pPr>
        <w:pStyle w:val="ListParagraph"/>
        <w:numPr>
          <w:ilvl w:val="0"/>
          <w:numId w:val="1"/>
        </w:numPr>
      </w:pPr>
      <w:r>
        <w:rPr>
          <w:rFonts w:ascii="Arial" w:cs="Arial" w:eastAsia="Arial" w:hAnsi="Arial"/>
          <w:b w:val="false"/>
          <w:bCs w:val="false"/>
          <w:i w:val="false"/>
          <w:iCs w:val="false"/>
          <w:color w:val="000000"/>
          <w:sz w:val="20"/>
          <w:szCs w:val="20"/>
        </w:rPr>
        <w:t xml:space="preserve">Flag simultaneous removal of multiple independent safety barriers as systemic well-control signal</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cement bond log cancellation against the Halliburton simulation result — safety test cancelled when failure was predicted</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1,400 psi drill pipe / 0 psi kill line inconsistency as a physically impossible reading that was not investigated</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BOP deadman system failure as a last-resort safety system failure</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spacing w:after="60" w:before="60"/>
        <w:jc w:val="left"/>
      </w:pPr>
      <w:r>
        <w:rPr>
          <w:rFonts w:ascii="Arial" w:cs="Arial" w:eastAsia="Arial" w:hAnsi="Arial"/>
          <w:b w:val="false"/>
          <w:bCs w:val="false"/>
          <w:i w:val="false"/>
          <w:iCs w:val="false"/>
          <w:color w:val="000000"/>
          <w:sz w:val="22"/>
          <w:szCs w:val="22"/>
        </w:rPr>
        <w:t xml:space="preserve">Use CIS to generate a briefing. Verify the output addresses:</w:t>
      </w:r>
    </w:p>
    <w:p>
      <w:pPr>
        <w:pStyle w:val="ListParagraph"/>
        <w:numPr>
          <w:ilvl w:val="0"/>
          <w:numId w:val="1"/>
        </w:numPr>
      </w:pPr>
      <w:r>
        <w:rPr>
          <w:rFonts w:ascii="Arial" w:cs="Arial" w:eastAsia="Arial" w:hAnsi="Arial"/>
          <w:b w:val="false"/>
          <w:bCs w:val="false"/>
          <w:i w:val="false"/>
          <w:iCs w:val="false"/>
          <w:color w:val="000000"/>
          <w:sz w:val="20"/>
          <w:szCs w:val="20"/>
        </w:rPr>
        <w:t xml:space="preserve">Which domain has the highest signal density pointing to foreseeable risk: well design or regulatory record?</w:t>
      </w:r>
    </w:p>
    <w:p>
      <w:pPr>
        <w:pStyle w:val="ListParagraph"/>
        <w:numPr>
          <w:ilvl w:val="0"/>
          <w:numId w:val="1"/>
        </w:numPr>
      </w:pPr>
      <w:r>
        <w:rPr>
          <w:rFonts w:ascii="Arial" w:cs="Arial" w:eastAsia="Arial" w:hAnsi="Arial"/>
          <w:b w:val="false"/>
          <w:bCs w:val="false"/>
          <w:i w:val="false"/>
          <w:iCs w:val="false"/>
          <w:color w:val="000000"/>
          <w:sz w:val="20"/>
          <w:szCs w:val="20"/>
        </w:rPr>
        <w:t xml:space="preserve">Are the decision-making signals congruent with the corporate safety culture signals?</w:t>
      </w:r>
    </w:p>
    <w:p>
      <w:pPr>
        <w:pStyle w:val="ListParagraph"/>
        <w:numPr>
          <w:ilvl w:val="0"/>
          <w:numId w:val="1"/>
        </w:numPr>
      </w:pPr>
      <w:r>
        <w:rPr>
          <w:rFonts w:ascii="Arial" w:cs="Arial" w:eastAsia="Arial" w:hAnsi="Arial"/>
          <w:b w:val="false"/>
          <w:bCs w:val="false"/>
          <w:i w:val="false"/>
          <w:iCs w:val="false"/>
          <w:color w:val="000000"/>
          <w:sz w:val="20"/>
          <w:szCs w:val="20"/>
        </w:rPr>
        <w:t xml:space="preserve">What SI score does the cancelled cement bond log receive given the Halliburton simulation result?</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Clean Water Act gross negligence finding have supporting signals across multiple domains?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Hypotheses</w:t>
      </w:r>
    </w:p>
    <w:p>
      <w:pPr>
        <w:pStyle w:val="Heading2"/>
      </w:pPr>
      <w:r>
        <w:rPr>
          <w:rFonts w:ascii="Arial" w:cs="Arial" w:eastAsia="Arial" w:hAnsi="Arial"/>
          <w:b/>
          <w:bCs/>
          <w:i w:val="false"/>
          <w:iCs w:val="false"/>
          <w:color w:val="000000"/>
          <w:sz w:val="26"/>
          <w:szCs w:val="26"/>
        </w:rPr>
        <w:t xml:space="preserve">H1: Foreseeable accident from accumulated risk decisions</w:t>
      </w:r>
    </w:p>
    <w:p>
      <w:pPr>
        <w:spacing w:after="60" w:before="60"/>
        <w:jc w:val="left"/>
      </w:pPr>
      <w:r>
        <w:rPr>
          <w:rFonts w:ascii="Arial" w:cs="Arial" w:eastAsia="Arial" w:hAnsi="Arial"/>
          <w:b w:val="false"/>
          <w:bCs w:val="false"/>
          <w:i w:val="false"/>
          <w:iCs w:val="false"/>
          <w:color w:val="000000"/>
          <w:sz w:val="22"/>
          <w:szCs w:val="22"/>
        </w:rPr>
        <w:t xml:space="preserve">Each decision — casing design, centralisers, CBL cancellation, negative test misinterpretation, mud displacement — was individually questionable and collectively catastrophic. The 1982 analogue is Texas City (BP's own prior accident). Risk was systemic and foreseeable.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H2: Regulatory capture and permitting failure</w:t>
      </w:r>
    </w:p>
    <w:p>
      <w:pPr>
        <w:spacing w:after="60" w:before="60"/>
        <w:jc w:val="left"/>
      </w:pPr>
      <w:r>
        <w:rPr>
          <w:rFonts w:ascii="Arial" w:cs="Arial" w:eastAsia="Arial" w:hAnsi="Arial"/>
          <w:b w:val="false"/>
          <w:bCs w:val="false"/>
          <w:i w:val="false"/>
          <w:iCs w:val="false"/>
          <w:color w:val="000000"/>
          <w:sz w:val="22"/>
          <w:szCs w:val="22"/>
        </w:rPr>
        <w:t xml:space="preserve">MMS's structural conflict of interest, its categorical exclusion of the Macondo well, and the withdrawal of the acoustic BOP rule created conditions where inadequate safety was permitted. The accident was as much a regulatory failure as an operator failure.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H3: BOP design inadequacy as primary cause</w:t>
      </w:r>
    </w:p>
    <w:p>
      <w:pPr>
        <w:spacing w:after="60" w:before="60"/>
        <w:jc w:val="left"/>
      </w:pPr>
      <w:r>
        <w:rPr>
          <w:rFonts w:ascii="Arial" w:cs="Arial" w:eastAsia="Arial" w:hAnsi="Arial"/>
          <w:b w:val="false"/>
          <w:bCs w:val="false"/>
          <w:i w:val="false"/>
          <w:iCs w:val="false"/>
          <w:color w:val="000000"/>
          <w:sz w:val="22"/>
          <w:szCs w:val="22"/>
        </w:rPr>
        <w:t xml:space="preserve">If the BOP had functioned as designed, the blowout would have been controlled. The shear rams were inadequate for the drill pipe; the deadman did not activate. The root cause was the industry's reliance on a last-resort system that had not been tested to the conditions it would face.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H4: Schedule and cost pressure as proximate cause</w:t>
      </w:r>
    </w:p>
    <w:p>
      <w:pPr>
        <w:spacing w:after="60" w:before="60"/>
        <w:jc w:val="left"/>
      </w:pPr>
      <w:r>
        <w:rPr>
          <w:rFonts w:ascii="Arial" w:cs="Arial" w:eastAsia="Arial" w:hAnsi="Arial"/>
          <w:b w:val="false"/>
          <w:bCs w:val="false"/>
          <w:i w:val="false"/>
          <w:iCs w:val="false"/>
          <w:color w:val="000000"/>
          <w:sz w:val="22"/>
          <w:szCs w:val="22"/>
        </w:rPr>
        <w:t xml:space="preserve">The specific decisions of 20 April — CBL cancellation, negative test acceptance, mud displacement — were all influenced by being behind schedule and over budget. Without the time and cost pressure, the safety decisions would likely have been different.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w:t>
      </w:r>
    </w:p>
    <w:p>
      <w:pPr>
        <w:pStyle w:val="ListParagraph"/>
        <w:numPr>
          <w:ilvl w:val="0"/>
          <w:numId w:val="1"/>
        </w:numPr>
      </w:pPr>
      <w:r>
        <w:rPr>
          <w:rFonts w:ascii="Arial" w:cs="Arial" w:eastAsia="Arial" w:hAnsi="Arial"/>
          <w:b w:val="false"/>
          <w:bCs w:val="false"/>
          <w:i w:val="false"/>
          <w:iCs w:val="false"/>
          <w:color w:val="000000"/>
          <w:sz w:val="20"/>
          <w:szCs w:val="20"/>
        </w:rPr>
        <w:t xml:space="preserve">Why did the negative pressure test 1,400 psi anomaly not trigger a stop-work decision?</w:t>
      </w:r>
    </w:p>
    <w:p>
      <w:pPr>
        <w:pStyle w:val="ListParagraph"/>
        <w:numPr>
          <w:ilvl w:val="0"/>
          <w:numId w:val="1"/>
        </w:numPr>
      </w:pPr>
      <w:r>
        <w:rPr>
          <w:rFonts w:ascii="Arial" w:cs="Arial" w:eastAsia="Arial" w:hAnsi="Arial"/>
          <w:b w:val="false"/>
          <w:bCs w:val="false"/>
          <w:i w:val="false"/>
          <w:iCs w:val="false"/>
          <w:color w:val="000000"/>
          <w:sz w:val="20"/>
          <w:szCs w:val="20"/>
        </w:rPr>
        <w:t xml:space="preserve">What did Halliburton's pre-job cement simulation show, and when was it shared with BP?</w:t>
      </w:r>
    </w:p>
    <w:p>
      <w:pPr>
        <w:pStyle w:val="ListParagraph"/>
        <w:numPr>
          <w:ilvl w:val="0"/>
          <w:numId w:val="1"/>
        </w:numPr>
      </w:pPr>
      <w:r>
        <w:rPr>
          <w:rFonts w:ascii="Arial" w:cs="Arial" w:eastAsia="Arial" w:hAnsi="Arial"/>
          <w:b w:val="false"/>
          <w:bCs w:val="false"/>
          <w:i w:val="false"/>
          <w:iCs w:val="false"/>
          <w:color w:val="000000"/>
          <w:sz w:val="20"/>
          <w:szCs w:val="20"/>
        </w:rPr>
        <w:t xml:space="preserve">Why was the acoustic BOP backup requirement withdrawn by MMS after industry lobbying?</w:t>
      </w:r>
    </w:p>
    <w:p>
      <w:pPr>
        <w:pStyle w:val="ListParagraph"/>
        <w:numPr>
          <w:ilvl w:val="0"/>
          <w:numId w:val="1"/>
        </w:numPr>
      </w:pPr>
      <w:r>
        <w:rPr>
          <w:rFonts w:ascii="Arial" w:cs="Arial" w:eastAsia="Arial" w:hAnsi="Arial"/>
          <w:b w:val="false"/>
          <w:bCs w:val="false"/>
          <w:i w:val="false"/>
          <w:iCs w:val="false"/>
          <w:color w:val="000000"/>
          <w:sz w:val="20"/>
          <w:szCs w:val="20"/>
        </w:rPr>
        <w:t xml:space="preserve">What happened to the 11 families of those killed — were individual criminal charges pursued?</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After completing all steps, export the case code from CIS and record it here.</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p>
      <w:pPr>
        <w:spacing w:after="60" w:before="60"/>
        <w:jc w:val="left"/>
      </w:pPr>
      <w:r>
        <w:rPr>
          <w:rFonts w:ascii="Arial" w:cs="Arial" w:eastAsia="Arial" w:hAnsi="Arial"/>
          <w:b w:val="false"/>
          <w:bCs w:val="false"/>
          <w:i w:val="false"/>
          <w:iCs w:val="false"/>
          <w:color w:val="000000"/>
          <w:sz w:val="22"/>
          <w:szCs w:val="22"/>
        </w:rPr>
        <w:t xml:space="preserve">Complete after CIS analysis. SI scores and admission status to be filled by CIS.</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WD-01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Macondo well used a long-string casing design rather than a liner-tieback design; CSB and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WD-02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Halliburton recommended 21 centralisers to improve cement job quality; BP used 6; a BP eng...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WD-03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Cement bond log (CBL) was scheduled to test cement integrity; the crew of Schlumberger CBL...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WD-04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Halliburton had conducted a pre-job simulation that showed the cement job might fail; this...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WD-05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negative pressure test conducted on 20 April was misinterpreted; anomalous pressure 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WD-06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During the negative pressure test, the kill line showed zero pressure while the drill pipe...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WD-07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Mud was being displaced from the riser with seawater before a final cement plug was set;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WD-08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well-control barriers were removed or compromised simultaneously in the hours bef...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WD-09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BP engineer calculated the risk of a gas flow problem as 'unlikely' on the basis of inco...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WD-10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Macondo well had experienced well-control problems on multiple prior occasions during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WD-11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BP was behind schedule on the Macondo well; time pressure was cited in multiple accounts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BP-01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BOP on Deepwater Horizon was manufactured by Cameron; it had not been fully tested to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BP-02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BOP had an hydraulic leak in one of its pods; this was known before the accident and 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BP-03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automatic mode function (AMF or 'deadman') should have automatically triggered the BOP...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BP-04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blind shear rams, when triggered after the blowout, failed to sever the drill pipe and...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BP-05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MMS (Minerals Management Service) regulations allowed operators to conduct some BOP tests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BP-06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Independent testing of the same BOP design following the accident showed the shear rams we...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BP-07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BOP had 260 failure modes identified in a prior industry study; safety-critical functi...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BP-08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 the blowout, multiple attempts to activate the BOP remotely failed; ROVs attempted 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BP-09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BOP had been on the Deepwater Horizon rig since 2001; it had not been fully refurbishe...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BP-10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National Commission found the BOP was incapable of performing its intended function un...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BP company men on the rig (Vidrine and Kaluza) approved the negative pressure test interpr...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Transocean toolpusher and driller accepted the negative pressure test as satisfactory desp...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BP executive visit to the rig on 20 April was cited in accounts as contributing to sched...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decision to remove mud before setting the final cement plug was taken to save time and...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formal risk assessment was conducted for the sequence of operations on 20 April; decisi...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decisions on 20 April each individually reduced well integrity; in combination 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CBL cancellation saved $128,000 on a project costing approximately $1 million per day;...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Well design decisions (centraliser count, casing type) were made weeks before 20 April by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BP's internal investigation (Bly Report) attributed the accident to multiple companies and...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National Commission concluded the accident was the result of multiple failures in risk man...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EX-01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 approximately 21:49 on 20 April 2010, gas reached the rig floor and ignited; two explos...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EX-02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Eleven workers were killed in the explosion: Jason Anderson, Dale Burkeen, Donald Clark, 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EX-03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Approximately 115 workers were evacuated from the rig; most by lifeboat, some by helicopte...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EX-04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Deepwater Horizon rig burned for approximately 36 hours and sank on 22 April 2010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EX-05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11 workers who died were all in the immediate path of the initial gas explosion; they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EX-06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survivors reported feeling the rig shudder before the explosion; the gas had been...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EX-07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gas alarm had activated but was silenced as a false alarm shortly before the blowout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EX-08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rig's emergency disconnect system (EDS) was initiated after the explosion; it failed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BP's initial flow rate estimate was 1,000 barrels per day; independent scientists assessed...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Total oil released was approximately 4.9 million barrels (210 million gallons) — largest 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BP deployed 1.84 million gallons of the dispersant Corexit, including 771,000 gallons appl...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Macondo well was not capped until 15 July 2010 — 87 days after the blowout; relief wel...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BP attempted multiple containment methods before the cap succeeded: top hat, top kill, jun...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NOAA scientist estimated flow at 70,000 barrels/day early in the crisis; she was pressur...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SR-07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Unified Command's flow rate technical group concluded in August 2010 that 4.9 million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SR-08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Dispersant application at depth (subsea) was unprecedented; long-term effects on marine ec...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SR-09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BP's containment dome failed when methane hydrates clogged it; a phenomenon engineers had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SR-10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Fisheries in Gulf of Mexico were closed across large areas; economic impact on fishing and...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RG-01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Minerals Management Service (MMS) had a structural conflict of interest: it collected roya...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RG-02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MMS had exempted BP's Macondo well from detailed environmental review under a categorical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RG-03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BP's safety culture had been criticised in prior incidents: 2005 Texas City refinery explo...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RG-04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BP had paid the largest criminal fine in OSHA history ($87 million) for Texas City before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RG-05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MMS inspectors who were supposed to oversee Deepwater Horizon operations had accepted gift...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RG-06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prior MMS rule that would have required acoustic backup systems for BOPs (a requirement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RG-07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BP was operating under a permit that was obtained with minimal environmental review; MMS 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RG-08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National Commission concluded the accident revealed 'a failure of industry management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RG-09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BP was temporarily debarred from federal contracts following the accident; debarment was 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RG-10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Post-accident regulatory reforms included BSEE (Bureau of Safety and Environmental Enforce...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BP pleaded guilty to 11 counts of felony manslaughter, one count of felony obstruction, 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BP agreed to pay $4.525 billion in criminal penalties — largest criminal settlement in US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BP's total liability estimated at approximately $65 billion including cleanup, civil penal...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Clean Water Act civil penalty: $5.5 billion (maximum per-barrel fine applied for gross neg...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Transocean paid $1.4 billion in criminal and civil penalties; admitted Clean Water Act vio...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Halliburton paid $1.1 billion settlement and pleaded guilty to destroying evidence (comput...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Individual criminal charges: two BP supervisors charged with involuntary manslaughter; cha...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Judge Carl Barbier ruled that BP was grossly negligent; Transocean was negligent; Hallibur...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BP's $20 billion trust fund was established within weeks of the accident for economic clai...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2026-06-14T03:11:54.016Z</dcterms:created>
  <dcterms:modified xsi:type="dcterms:W3CDTF">2026-06-14T03:11:54.016Z</dcterms:modified>
</cp:coreProperties>
</file>

<file path=docProps/custom.xml><?xml version="1.0" encoding="utf-8"?>
<Properties xmlns="http://schemas.openxmlformats.org/officeDocument/2006/custom-properties" xmlns:vt="http://schemas.openxmlformats.org/officeDocument/2006/docPropsVTypes"/>
</file>