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A3A2A"/>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1A3A2A" w:sz="6" w:space="1"/>
        </w:pBdr>
        <w:spacing w:after="400"/>
      </w:pPr>
      <w:r>
        <w:t xml:space="preserve"/>
      </w:r>
    </w:p>
    <w:p>
      <w:pPr>
        <w:spacing w:after="200"/>
        <w:jc w:val="center"/>
      </w:pPr>
      <w:r>
        <w:rPr>
          <w:rFonts w:ascii="Arial" w:cs="Arial" w:eastAsia="Arial" w:hAnsi="Arial"/>
          <w:b/>
          <w:bCs/>
          <w:color w:val="1A3A2A"/>
          <w:sz w:val="40"/>
          <w:szCs w:val="40"/>
        </w:rPr>
        <w:t xml:space="preserve">COLD CASE</w:t>
      </w:r>
    </w:p>
    <w:p>
      <w:pPr>
        <w:spacing w:after="200"/>
        <w:jc w:val="center"/>
      </w:pPr>
      <w:r>
        <w:rPr>
          <w:rFonts w:ascii="Arial" w:cs="Arial" w:eastAsia="Arial" w:hAnsi="Arial"/>
          <w:b/>
          <w:bCs/>
          <w:color w:val="1A3A2A"/>
          <w:sz w:val="52"/>
          <w:szCs w:val="52"/>
        </w:rPr>
        <w:t xml:space="preserve">HAVANA SYNDROME</w:t>
      </w:r>
    </w:p>
    <w:p>
      <w:pPr>
        <w:spacing w:after="120"/>
        <w:jc w:val="center"/>
      </w:pPr>
      <w:r>
        <w:rPr>
          <w:rFonts w:ascii="Arial" w:cs="Arial" w:eastAsia="Arial" w:hAnsi="Arial"/>
          <w:color w:val="595959"/>
          <w:sz w:val="26"/>
          <w:szCs w:val="26"/>
        </w:rPr>
        <w:t xml:space="preserve">Havana, Cuba and globally  ·  2016-ongoing</w:t>
      </w:r>
    </w:p>
    <w:p>
      <w:pPr>
        <w:spacing w:after="480"/>
        <w:jc w:val="center"/>
      </w:pPr>
      <w:r>
        <w:rPr>
          <w:rFonts w:ascii="Arial" w:cs="Arial" w:eastAsia="Arial" w:hAnsi="Arial"/>
          <w:color w:val="595959"/>
          <w:sz w:val="24"/>
          <w:szCs w:val="24"/>
        </w:rPr>
        <w:t xml:space="preserve">~1,000 cases across 70+ countries  ·  Cause not officially established</w:t>
      </w:r>
    </w:p>
    <w:p>
      <w:pPr>
        <w:spacing w:after="200"/>
        <w:jc w:val="center"/>
      </w:pPr>
      <w:r>
        <w:rPr>
          <w:rFonts w:ascii="Arial" w:cs="Arial" w:eastAsia="Arial" w:hAnsi="Arial"/>
          <w:b/>
          <w:bCs/>
          <w:color w:val="1A3A2A"/>
          <w:sz w:val="26"/>
          <w:szCs w:val="26"/>
        </w:rPr>
        <w:t xml:space="preserve">62 signals  ·  6 independent domains  ·  no triage</w:t>
      </w:r>
    </w:p>
    <w:p>
      <w:pPr>
        <w:spacing w:after="600"/>
        <w:jc w:val="center"/>
      </w:pPr>
      <w:r>
        <w:rPr>
          <w:rFonts w:ascii="Arial" w:cs="Arial" w:eastAsia="Arial" w:hAnsi="Arial"/>
          <w:i/>
          <w:iCs/>
          <w:color w:val="595959"/>
          <w:sz w:val="22"/>
          <w:szCs w:val="22"/>
        </w:rPr>
        <w:t xml:space="preserve">Every documented observable fact. Each cluster separately. Each scientific assessment separately. Each institutional conclusion separately.</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1A3A2A"/>
          <w:sz w:val="34"/>
          <w:szCs w:val="34"/>
        </w:rPr>
        <w:t xml:space="preserve">The Case</w:t>
      </w:r>
    </w:p>
    <w:p>
      <w:pPr>
        <w:pBdr>
          <w:bottom w:val="single" w:color="1A3A2A" w:sz="4" w:space="1"/>
        </w:pBdr>
        <w:spacing w:after="200"/>
      </w:pPr>
      <w:r>
        <w:t xml:space="preserve"/>
      </w:r>
    </w:p>
    <w:p>
      <w:pPr>
        <w:spacing w:after="160" w:line="276"/>
      </w:pPr>
      <w:r>
        <w:rPr>
          <w:rFonts w:ascii="Arial" w:cs="Arial" w:eastAsia="Arial" w:hAnsi="Arial"/>
          <w:color w:val="000000"/>
          <w:sz w:val="22"/>
          <w:szCs w:val="22"/>
        </w:rPr>
        <w:t xml:space="preserve">Beginning in late 2016, US diplomatic and intelligence personnel stationed in Havana, Cuba began reporting a distinctive and alarming pattern of symptoms. The onset was often sudden and directional — a perceived pressure or sound that seemed to come from a specific location. Persistent cognitive impairment, hearing loss, tinnitus, headache, balance problems, and sleep disruption followed. Multiple personnel required medical evacuation to Walter Reed National Military Medical Center.</w:t>
      </w:r>
    </w:p>
    <w:p>
      <w:pPr>
        <w:spacing w:after="160" w:line="276"/>
      </w:pPr>
      <w:r>
        <w:rPr>
          <w:rFonts w:ascii="Arial" w:cs="Arial" w:eastAsia="Arial" w:hAnsi="Arial"/>
          <w:color w:val="000000"/>
          <w:sz w:val="22"/>
          <w:szCs w:val="22"/>
        </w:rPr>
        <w:t xml:space="preserve">The phenomenon spread. Similar cases were reported in Guangzhou, China. Then Vienna, Austria. Then across more than seventy countries. The affected personnel included CIA officers, State Department officials, NSC staff, White House personnel, and military officers. After seven years of investigation by multiple US government agencies, the cause has not been officially established. The CIA concluded in 2022 that most cases were likely psychogenic or environmental. A panel of independent scientists reached the opposite conclusion: that pulsed radiofrequency energy was the most plausible explanation. Several affected officers publicly disputed both conclusions as incomplete.</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400"/>
        <w:gridCol w:w="1400"/>
      </w:tblGrid>
      <w:tr>
        <w:tc>
          <w:tcPr>
            <w:tcW w:type="dxa" w:w="48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8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4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4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Medical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Symptom presentations, MRI findings, clinical assessments by cohort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Physics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physical mechanism separately — Frey effect, pulsed RF, acoustic, ultrasound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Intelligence Assessment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CIA 2022 conclusion, JASON report, NASEM report, IC disagreements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Case Distribution and Location Patterns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geographic cluster separately — Havana, Guangzhou, Vienna, Moscow, DC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Historical Precedent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Moscow Signal, Soviet and Russian directed energy research programs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Investigation and Institutional Response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Congressional hearings, HAVANA Act, suppression claims, FBI, interagency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2-3</w:t>
            </w:r>
          </w:p>
        </w:tc>
      </w:tr>
    </w:tbl>
    <w:p>
      <w:pPr>
        <w:spacing w:after="160"/>
      </w:pPr>
      <w:r>
        <w:t xml:space="preserve"/>
      </w:r>
    </w:p>
    <w:p>
      <w:pPr>
        <w:spacing w:after="160" w:line="276"/>
      </w:pPr>
      <w:r>
        <w:rPr>
          <w:rFonts w:ascii="Arial" w:cs="Arial" w:eastAsia="Arial" w:hAnsi="Arial"/>
          <w:color w:val="000000"/>
          <w:sz w:val="22"/>
          <w:szCs w:val="22"/>
        </w:rPr>
        <w:t xml:space="preserve">Periods: Period 0 = historical background (pre-2016). Period 1 = Havana 2016-2017 (first cluster). Period 2 = 2018-2020 (spread and early investigation). Period 3 = 2021-ongoing (Vienna cluster, CIA conclusion, ongoing cases).</w:t>
      </w:r>
    </w:p>
    <w:p>
      <w:r>
        <w:br w:type="page"/>
      </w:r>
    </w:p>
    <w:p>
      <w:pPr>
        <w:pStyle w:val="Heading1"/>
        <w:spacing w:after="160" w:before="0"/>
      </w:pPr>
      <w:r>
        <w:rPr>
          <w:rFonts w:ascii="Arial" w:cs="Arial" w:eastAsia="Arial" w:hAnsi="Arial"/>
          <w:b/>
          <w:bCs/>
          <w:color w:val="1A3A2A"/>
          <w:sz w:val="34"/>
          <w:szCs w:val="34"/>
        </w:rPr>
        <w:t xml:space="preserve">Step 1 — Create the Case</w:t>
      </w:r>
    </w:p>
    <w:p>
      <w:pPr>
        <w:pBdr>
          <w:bottom w:val="single" w:color="1A3A2A"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Havana Syndrome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3A2A" w:sz="14" w:space="8"/>
        </w:pBdr>
        <w:spacing w:after="240"/>
        <w:ind w:left="360"/>
      </w:pPr>
      <w:r>
        <w:rPr>
          <w:rFonts w:ascii="Arial" w:cs="Arial" w:eastAsia="Arial" w:hAnsi="Arial"/>
          <w:b/>
          <w:bCs/>
          <w:color w:val="1A3A2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1A3A2A"/>
          <w:sz w:val="34"/>
          <w:szCs w:val="34"/>
        </w:rPr>
        <w:t xml:space="preserve">Step 2 — Create Domains and Declare Independence</w:t>
      </w:r>
    </w:p>
    <w:p>
      <w:pPr>
        <w:pBdr>
          <w:bottom w:val="single" w:color="1A3A2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Medical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clinical presentation data: symptom descriptions from affected personnel, imaging findings from medical evaluations, audiological assessments, neurological assessments, and the published peer-reviewed medical literature on the affected cohorts.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Signals Physics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physical science of potential mechanisms: the Frey microwave auditory effect, pulsed radiofrequency energy bioeffects, acoustic and ultrasound hypotheses, and the biophysical plausibility assessments of each mechanism.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Intelligence Assessment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formal institutional assessments by US government agencies: the CIA 2022 panel conclusion, the JASON report, the NASEM 2021 report, the intelligence community's full assessment, and the specific conclusions and non-conclusions of each.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Case Distribution and Location Patterns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geographic and temporal distribution of cases: each location cluster separately, the timing of case onset relative to political events, the pattern of who was affected, and the residential vs official premises pattern.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Historical Precedent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documented historical instances of states using directed energy or electromagnetic radiation against diplomatic and intelligence personnel: the Moscow Signal, Soviet microwave bioeffects research, and Russian successor programs.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Investigation and Institutional Response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US government's institutional response: Congressional hearings and legislation, the interagency task force, the FBI investigation, claims by affected officers of investigation suppression, and the Cuban government's response.</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Six independent institutional domains each hold different pieces of this investigation. The medical community holds the symptom and imaging data. The physics community holds the mechanism analysis. The intelligence community holds its internal assessment (much of which is classified). The security logs hold the location and timing patterns. The historical record holds the precedent data. The Congressional record holds the testimony of affected personnel. None of these have been assembled in a single cross-domain structure.</w:t>
      </w:r>
    </w:p>
    <w:p>
      <w:r>
        <w:br w:type="page"/>
      </w:r>
    </w:p>
    <w:p>
      <w:pPr>
        <w:pStyle w:val="Heading1"/>
        <w:spacing w:after="160" w:before="0"/>
      </w:pPr>
      <w:r>
        <w:rPr>
          <w:rFonts w:ascii="Arial" w:cs="Arial" w:eastAsia="Arial" w:hAnsi="Arial"/>
          <w:b/>
          <w:bCs/>
          <w:color w:val="1A3A2A"/>
          <w:sz w:val="34"/>
          <w:szCs w:val="34"/>
        </w:rPr>
        <w:t xml:space="preserve">Step 3 — Enter All 62 Signals</w:t>
      </w:r>
    </w:p>
    <w:p>
      <w:pPr>
        <w:pBdr>
          <w:bottom w:val="single" w:color="1A3A2A"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p>
      <w:pPr>
        <w:spacing w:after="160" w:line="276"/>
      </w:pPr>
      <w:r>
        <w:rPr>
          <w:rFonts w:ascii="Arial" w:cs="Arial" w:eastAsia="Arial" w:hAnsi="Arial"/>
          <w:color w:val="000000"/>
          <w:sz w:val="22"/>
          <w:szCs w:val="22"/>
        </w:rPr>
        <w:t xml:space="preserve">Go to Signal Intake. For each signal, select the domain, set the period, enter the observation. Note the SI score before submitting. Record all scores in the Signal Record table at the end.</w:t>
      </w:r>
    </w:p>
    <w:p>
      <w:r>
        <w:br w:type="page"/>
      </w:r>
    </w:p>
    <w:p>
      <w:pPr>
        <w:spacing w:after="120" w:before="360"/>
      </w:pPr>
      <w:r>
        <w:rPr>
          <w:rFonts w:ascii="Arial" w:cs="Arial" w:eastAsia="Arial" w:hAnsi="Arial"/>
          <w:b/>
          <w:bCs/>
          <w:color w:val="1A3A2A"/>
          <w:sz w:val="26"/>
          <w:szCs w:val="26"/>
        </w:rPr>
        <w:t xml:space="preserve">Domain 1: Medical Records  </w:t>
      </w:r>
      <w:r>
        <w:rPr>
          <w:rFonts w:ascii="Arial" w:cs="Arial" w:eastAsia="Arial" w:hAnsi="Arial"/>
          <w:i/>
          <w:iCs/>
          <w:color w:val="595959"/>
          <w:sz w:val="22"/>
          <w:szCs w:val="22"/>
        </w:rPr>
        <w:t xml:space="preserve">12 signals</w:t>
      </w:r>
    </w:p>
    <w:p>
      <w:pPr>
        <w:spacing w:after="160" w:line="276"/>
      </w:pPr>
      <w:r>
        <w:rPr>
          <w:rFonts w:ascii="Arial" w:cs="Arial" w:eastAsia="Arial" w:hAnsi="Arial"/>
          <w:color w:val="000000"/>
          <w:sz w:val="22"/>
          <w:szCs w:val="22"/>
        </w:rPr>
        <w:t xml:space="preserve">Each clinical finding is a separate signal. Do not combine symptom clusters — enter each documented finding independently.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initial Havana cohort (late 2016 to early 2017): personnel reported a sudden onset of perceived pressure, vibration, or sound that appeared to come from a specific direction — localized in space. The onset was typically at their residences, often at night. The perceived sensation was not ambient — it had a specific apparent direction and some personnel reported being able to move in and out of the affected zone within their own rooms.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Acute symptoms reported across the initial Havana cohort: intense headache during and after the onset event, tinnitus (ringing in the ears), balance and gait disturbance, nausea, and cognitive difficulty. These acute symptoms were documented at medical evaluation within days of onset for the majority of affected personnel.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Persistent symptoms reported after recovery from the acute phase: the majority of affected Havana personnel reported persistent cognitive difficulties including memory problems, difficulty concentrating, word-finding difficulty, and mental fatigue. These symptoms persisted for months to years in affected individuals and were documented in follow-up evaluations.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Audiological findings in the Havana cohort: several affected personnel were found to have hearing loss in specific frequency ranges. The pattern of hearing loss in some cases was described as unusual — affecting frequencies not typically associated with acoustic trauma from loud noise. This finding was documented in the medical evaluation reports.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Verma et al., JAMA, 2019: a study comparing the brain MRI findings of 40 affected Havana personnel against 48 healthy controls found statistically significant differences in white matter microstructure and functional connectivity. The affected group showed differences in the cerebellum, visual cortex, and auditory cortex. The differences were assessed as consistent with white matter injury or abnormal development.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Verma 2019 study limitations acknowledged by the authors: the sample was not randomly selected, the control group was not matched in occupation or stress level, and the study could not establish causation. These limitations were cited by critics of the study as reasons to view the findings cautiously.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Functional neurological symptoms: a separate assessment of some affected personnel found patterns consistent with functional neurological disorder (FND) — a condition in which neurological symptoms occur without structural damage, sometimes associated with stress and psychological factors. This assessment was not universal — it applied to some cases within the cohort, not all.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Canadian diplomatic personnel cohort: Canadian diplomats and their family members stationed in Havana also reported symptoms overlapping with the US cohort. Canada's investigation is independent of the US investigation. Canadian personnel were medically evacuated and evaluated. Canada's official position has been more cautious than the US in attributing cause but has not dismissed the reports.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Cases involving children: children of affected US diplomatic and intelligence personnel in Havana also reported symptoms including headache and cognitive difficulties. Medical assessments of affected children were conducted. This sub-cohort is documented but less extensively published than the adult cohort.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Marc Polymeropoulos: a senior CIA officer who reported symptoms while in Moscow in 2017 — a separate location from the Havana cluster. He subsequently left the CIA citing health impacts. He testified before Congress and gave public interviews describing persistent severe headaches and other symptoms consistent with the Havana cohort. His case is individually documented and named.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National Academies of Sciences, Engineering and Medicine (NASEM) 2021 report: An Assessment of Illness in US Government Employees and Their Families at Overseas Embassies. The report assessed the evidence across all proposed mechanisms and symptom clusters. It concluded that the most plausible explanation for the core cases was pulsed radiofrequency energy. It did not name a perpetrator.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NASEM report specifically noted that the directional nature of the reported onset sensation — perceived as coming from a specific location and varying with position within a room — was not consistent with ambient environmental causes, stress, or psychogenic illness. This feature of the symptom presentation was assessed as diagnostically significant by the NASEM panel.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4507E"/>
          <w:sz w:val="26"/>
          <w:szCs w:val="26"/>
        </w:rPr>
        <w:t xml:space="preserve">Domain 2: Signals Physics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Frey effect (microwave auditory effect): frequencies between approximately 300 MHz and 3 GHz can cause humans to perceive auditory sensations — described as buzzing, clicking, hissing, or a pressure sensation — through direct absorption of microwave energy in tissue adjacent to the cochlea. This effect does not require the ear canal or conventional sound waves. It was documented by US researcher Allan Frey in 1962.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Frey effect research history in the United States: following Frey's 1962 publication, US government agencies including the Army and the Walter Reed Army Institute of Research conducted research on microwave auditory effects from the 1960s through the 1980s. Some of this research was classified. The biophysical mechanism is established science — it is not disputed that the effect exists.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Soviet and Russian parallel research: the Soviet Union conducted parallel research on microwave bioeffects from the 1950s onward. Soviet research included both the auditory effects and potential neurological and cognitive effects at non-thermal intensities. This research continued in Russian successor institutions after 1991. Published summaries of this research exist in the open literature.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JASON report (2018): a panel of independent physicists convened under the JASON defence advisory group was asked to assess the Havana Syndrome reports. The JASON report is classified. Its existence is publicly known and general conclusions have been reported by journalists. The reported JASON conclusion: pulsed radiofrequency energy is a plausible mechanism for the reported symptoms, specifically through the Frey effect.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acoustic weapon hypothesis: an alternative explanation proposed early in the investigation was that the symptoms were caused by a directional acoustic weapon using ultrasound or infrasound. The directionality of ultrasound is well-established — focused ultrasound beams can be precisely aimed. However, the specific symptoms reported — particularly the cognitive and neurological effects — are not well-explained by acoustic mechanisms alone.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Cuban crickets acoustic analysis: in 2019, researchers at the University of California Berkeley published an analysis of a recording made by US personnel in Havana of the sound they described as associated with their symptoms onset. The researchers identified the sound as consistent with the call of the Indies short-tailed cricket (Anurogryllus celerinictus). This acoustic analysis was published in a peer-reviewed journal.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cricket recording analysis limitations: the identification of the cricket sound explains the acoustic recording but does not explain the neurological symptoms reported by affected personnel. A cricket call produces sound — it does not produce the directional pressure sensation described, and it does not explain the MRI findings reported in the Verma 2019 study. The two findings address different aspects of the case.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Lin et al. ultrasound interference hypothesis: researchers including James Lin published analysis suggesting that two overlapping ultrasound beams could produce audible beats at the difference frequency — a phenomenon that could explain the directional perceived sound. This mechanism would require two separately aimed ultrasound sources creating an interference pattern at the target location.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indoor propagation problem: radiofrequency energy at the frequencies relevant to the Frey effect (hundreds of MHz to a few GHz) attenuates when passing through walls, windows, and building materials. A device operating from outside a building at conventional ranges would need to deliver sufficient energy through these materials to produce the reported effects. Whether this is physically achievable with realistic device parameters has been assessed differently by different physicists.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power level required: the Frey effect requires specific power densities at the target — the amount of energy per unit area per unit time. The power density required to produce auditory effects has been measured in laboratory conditions. Whether a device operating covertly at residential distances could deliver this power density without being detectable by standard RF measurement equipment is a question that has been assessed as plausible but not confirmed.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directionality of the reported symptoms within rooms: affected personnel reported that moving to a different position within the same room changed or eliminated the perceived sensation. This is physically consistent with a directed beam that does not fill the entire room — it would not be consistent with ambient environmental RF exposure, which would be diffuse. This specific spatial characteristic of the symptom onset was noted in the NASEM report.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6C3483"/>
          <w:sz w:val="26"/>
          <w:szCs w:val="26"/>
        </w:rPr>
        <w:t xml:space="preserve">Domain 3: Intelligence Assessment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CIA 2022 panel: the CIA convened a panel of five independent scientific and medical experts to review the Havana Syndrome evidence. The panel's conclusion, released in February 2022: it was very unlikely that a foreign adversary was responsible for most of the Havana Syndrome cases. The most likely explanations for the majority of cases were identified as environmental factors, pre-existing conditions, and functional neurological disorder.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CIA 2022 panel residual: the panel identified approximately 20 to 25 cases from the full set that it could not explain using the psychogenic and environmental explanations applied to the majority. These cases were assessed as genuinely unexplained. The panel did not provide an explanation for this residual group.</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CIA 2022 panel methodology dispute: several affected CIA officers and their representatives publicly disputed the panel's methodology. The specific objections included: the panel reviewed case summaries rather than interviewing affected officers directly; the panel did not have access to the full medical records; and the panel members were not specialists in directed energy or RF bioeffects.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Marc Polymeropoulos's Congressional testimony (2021): Polymeropoulos testified before the Senate Intelligence Committee that his CIA leadership had not taken his case or others seriously, had suggested his symptoms were psychosomatic, and that affected officers had been pressured not to discuss their cases. He testified that the investigation had been impeded within the CIA.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State Department assessment: the State Department's position on Havana Syndrome has differed from the CIA's at several points. State Department officials have been more willing to characterise the phenomenon as potentially related to foreign adversary action. The interagency disagreement on this point is documented in Congressional testimony and press reporting.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full intelligence community assessment: in addition to the CIA's specific panel conclusion, a broader intelligence community assessment was conducted. This assessment, described in press reporting as involving all relevant agencies, reached a more divided conclusion than the CIA's — acknowledging that the evidence was insufficient to reach a definitive assessment on adversarial action.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GRU Unit 29155: the New York Times and other news organisations reported in 2021 that US intelligence assessments had identified GRU Unit 29155 — a Russian military intelligence unit associated with assassination attempts and disruptive operations — as a possible perpetrator. This identification was not confirmed by the intelligence community in any official public statement.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attribution problem: the intelligence community's stated difficulty in attributing Havana Syndrome to a specific actor is partly explained by the classified nature of the evidence — classified evidence cannot be disclosed to affected officers or their physicians. This creates a structural problem where the people being asked to assess causation do not have access to the intelligence that might inform their assessment.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CIA Director William Burns: Burns stated publicly in 2021 that he took the Havana Syndrome cases seriously and that the CIA was conducting a serious investigation. This statement represented a shift from earlier CIA communications that some affected officers characterised as dismissive. Burns established a senior CIA officer to lead the investigation.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NSA position: the National Security Agency, whose personnel operate in many of the same locations where cases have been reported, has not publicly stated a position on Havana Syndrome. NSA personnel have been among those reporting symptoms. The NSA's internal assessment is not publicly known.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Senate Intelligence Committee's classified briefing: the committee received a classified briefing on Havana Syndrome that has been described in public statements by committee members as alarming. Committee members have expressed views more consistent with the directed energy hypothesis than with the CIA's 2022 psychogenic conclusion. The classified briefing content is not publicly available.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7B3F00"/>
          <w:sz w:val="26"/>
          <w:szCs w:val="26"/>
        </w:rPr>
        <w:t xml:space="preserve">Domain 4: Case Distribution and Location Patterns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Havana 2016-2017: the original cluster. Approximately 26 US diplomatic and intelligence personnel reported symptoms. The cases were concentrated among personnel living in specific residences — not all personnel in Havana. The cases began in late 2016. The temporal onset clustering was noted by investigators.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Havana residential pattern: the majority of initial Havana cases reported the onset at their personal residences — homes and hotel rooms — rather than at the US Embassy building itself. This pattern is significant: it suggests the effect (whatever its cause) was being applied at private addresses, which requires knowledge of where specific personnel were living.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nighttime pattern in Havana: the majority of initial Havana onset reports occurred during nighttime hours — while personnel were asleep or preparing for sleep. This pattern was consistent across multiple affected individuals who did not know each other's reports at the time of their own onset. The nighttime concentration was documented in the medical assessments.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Canadian personnel in Havana: Canadian diplomatic personnel and their family members — stationed at the same embassy district as US personnel — also reported symptoms. The Canadian cases began at approximately the same time as the US cases. Canada conducted an independent medical evaluation of its affected personnel. The overlap between US and Canadian cases at the same location strengthens the environmental exposure hypothesis relative to a targeted-individual hypothesis.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Guangzhou, China 2018: at least one US Consulate official in Guangzhou, China reported symptoms consistent with the Havana cohort. The State Department evacuated the affected individual. The Guangzhou case established that the phenomenon was not geographically limited to Cuba.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Vienna, Austria 2021: more than 40 US government employees — including intelligence officers, State Department personnel, and their family members — reported Havana Syndrome symptoms in Vienna. This was the largest single cluster outside Havana. Vienna is a significant intelligence hub; many US intelligence officers are stationed there for operations related to Europe, Russia, and the Middle East.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Vienna temporal pattern: several Vienna cases were reported to have occurred in the period of and around US-Russia diplomatic negotiations being conducted in Vienna in 2021. This temporal correlation between diplomatic events and case onset has been noted but not established as causal.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Washington DC cases: cases have been reported among NSC staff and other US government personnel within the United States — including in Washington DC. A case was reported near the White House in 2021. The reporting of cases on US soil represented an escalation of the geographic scope.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Moscow cases: US intelligence and diplomatic personnel in Moscow reported symptoms consistent with Havana Syndrome. The Moscow cases are significant because of the context: the Moscow Signal (see Historical Precedent domain) had previously demonstrated that Russia was willing to direct electromagnetic energy at US personnel in Moscow over an extended period.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targeting pattern — intelligence officers disproportionately affected: analyses of the affected personnel across multiple locations consistently found that CIA officers and intelligence community personnel were disproportionately represented among the cases relative to their proportion of US government employees in those locations. This pattern was noted in press reporting and in Congressional testimony.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full geographic scope: as of 2023, cases consistent with Havana Syndrome have been reported by US government personnel in more than 70 countries. The overwhelming majority involve personnel stationed in locations significant to US intelligence operations. The global distribution rules out a Cuba-specific environmental cause.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5D4037"/>
          <w:sz w:val="26"/>
          <w:szCs w:val="26"/>
        </w:rPr>
        <w:t xml:space="preserve">Domain 5: Historical Precedent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Moscow Signal: from 1953 to 1976, the Soviet Union directed microwave radiation at the US Embassy in Moscow. The radiation was directed at the building from an apartment building across the street. The Soviet objective was assessed as either activating surveillance devices planted in the embassy building or as a direct physiological effect on embassy personnel.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Moscow Signal frequency and power levels: the Soviet microwave signal was reported at frequencies of approximately 2.4 to 4.0 GHz. Power levels were described as low — at levels below the US exposure standards of the time. Whether these levels were sufficient to cause physiological effects was disputed within the US government at the time.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US government's concealment of the Moscow Signal from Embassy staff: the existence of the Soviet microwave transmission was discovered by the US government in the 1950s but was not disclosed to Embassy personnel for approximately two decades. Embassy staff worked in the irradiated building without knowledge that they were being exposed.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Ambassador Walter Stoessel: Stoessel served as US Ambassador to the Soviet Union from 1974 to 1976 — the final years of the Moscow Signal period. He subsequently developed a rare blood disorder and died of leukaemia in 1986. Several of his predecessors and successors also died of cancer at rates that attracted attention, though establishing causation was not possible from epidemiological data alone.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US government's Project Pandora: in the 1960s, the US government launched a classified research project — Project Pandora — to investigate the potential health effects of the Moscow Signal and to study the broader question of microwave bioeffects. Project Pandora research established that microwave energy at various frequencies could produce physiological effects in animals and humans.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Soviet research on microwave bioeffects: the Soviet Union maintained a substantial research program on microwave bioeffects from the 1950s through the Soviet era and continuing in Russian successor institutions. Published work from this program (available through translated scientific literature) documented neurological and cognitive effects of non-thermal microwave exposure in animal models and human subjects.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Russian directed energy program: Russia inherited the Soviet research infrastructure on directed energy and microwave weapons. The existence of a Russian directed energy weapons program is publicly acknowledged by the US Department of Defense in open-source reports on Russian military capabilities. The specific capabilities of this program are classified.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Prior incidents of suspected directed energy use: several incidents involving US intelligence officers in countries with Russian intelligence presence — in the years before the 2016 Havana reports — have been retrospectively identified as potentially consistent with Havana Syndrome. These pre-2016 incidents were not formally reported as such at the time because the syndrome had not yet been characterised.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US directed energy research program: the United States has conducted its own research on directed energy weapons for decades, including microwave and radiofrequency weapons. Active Denial System (ADS) is a publicly documented US millimetre-wave directed energy system designed for crowd control. The existence of US research establishes that such technologies are technically achievable.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7474F"/>
          <w:sz w:val="26"/>
          <w:szCs w:val="26"/>
        </w:rPr>
        <w:t xml:space="preserve">Domain 6: Investigation and Institutional Response  </w:t>
      </w:r>
      <w:r>
        <w:rPr>
          <w:rFonts w:ascii="Arial" w:cs="Arial" w:eastAsia="Arial" w:hAnsi="Arial"/>
          <w:i/>
          <w:iCs/>
          <w:color w:val="595959"/>
          <w:sz w:val="22"/>
          <w:szCs w:val="22"/>
        </w:rPr>
        <w:t xml:space="preserve">8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HAVANA Act (Helping American Victims Afflicted by Neurological Attacks Act): legislation passed unanimously by the US Senate in June 2021 and signed into law by President Biden in October 2021. The Act requires the CIA and other agencies to provide compensation and medical support to employees affected by Havana Syndrome. The Act's title implies a position on causation — neurological attacks — that goes beyond the CIA's subsequent official conclusion.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Congressional testimony by affected officers: multiple CIA officers and State Department officials testified before Congressional committees about their symptoms, their experiences seeking medical care, and their characterisation of the institutional response. Several testified that they had been pressured to attribute their symptoms to stress or pre-existing conditions. This testimony is documented in the Congressional Record.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interagency task force: the US government established an interagency task force to coordinate the investigation across the CIA, FBI, State Department, NSA, DoD, and other agencies. The specific findings of the task force have not been publicly released. Its existence and mandate are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FBI investigation: the FBI was involved in the investigation of Havana Syndrome cases. The FBI's specific findings have not been publicly disclosed. The FBI's jurisdiction — investigating potential crimes against US government personnel — would apply if a foreign actor deliberately targeted US personnel.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Cuban government's response: the Cuban government denied any involvement in or knowledge of attacks on US diplomatic personnel. Cuba cooperated with some aspects of the investigation, including allowing US investigators to examine the residences where cases occurred. No evidence directly connecting the Cuban government to the cases has been publicly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Claims of investigation suppression: multiple affected officers and their attorneys have publicly claimed that the CIA and other agencies discouraged reporting, questioned the credibility of affected officers, and placed some affected officers on administrative leave after they reported symptoms. These claims are documented in press reporting and Congressional testimony. The agencies have denied systematic suppression.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US Department of Defense cases: DoD personnel — including military officers — have also reported Havana Syndrome symptoms. The DoD has conducted its own assessment of cases among its personnel. The DoD's position on causation has not been publicly stated as clearly as the CIA's 2022 conclusion.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2024 status: subsequent to the CIA's 2022 panel conclusion, new cases continued to be reported. The investigation remained active. Several Congressional members continued to push for a more definitive assessment. No foreign government has been officially named as responsible by the US government. The NASEM 2021 report recommendation — that further research be conducted into pulsed radiofrequency mechanisms — has not been publicly acted upon with the urgency the NASEM panel recommended.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pStyle w:val="Heading1"/>
        <w:spacing w:after="160" w:before="0"/>
      </w:pPr>
      <w:r>
        <w:rPr>
          <w:rFonts w:ascii="Arial" w:cs="Arial" w:eastAsia="Arial" w:hAnsi="Arial"/>
          <w:b/>
          <w:bCs/>
          <w:color w:val="1A3A2A"/>
          <w:sz w:val="34"/>
          <w:szCs w:val="34"/>
        </w:rPr>
        <w:t xml:space="preserve">Step 4 — Register These Contradictions</w:t>
      </w:r>
    </w:p>
    <w:p>
      <w:pPr>
        <w:pBdr>
          <w:bottom w:val="single" w:color="1A3A2A" w:sz="4" w:space="1"/>
        </w:pBdr>
        <w:spacing w:after="200"/>
      </w:pPr>
      <w:r>
        <w:t xml:space="preserve"/>
      </w:r>
    </w:p>
    <w:p>
      <w:pPr>
        <w:pBdr>
          <w:left w:val="single" w:color="1A3A2A" w:sz="14" w:space="8"/>
        </w:pBdr>
        <w:spacing w:after="160"/>
        <w:ind w:left="360"/>
      </w:pPr>
      <w:r>
        <w:rPr>
          <w:rFonts w:ascii="Arial" w:cs="Arial" w:eastAsia="Arial" w:hAnsi="Arial"/>
          <w:b/>
          <w:bCs/>
          <w:color w:val="1A3A2A"/>
          <w:sz w:val="22"/>
          <w:szCs w:val="22"/>
        </w:rPr>
        <w:t xml:space="preserve">Contradiction 1:  </w:t>
      </w:r>
      <w:r>
        <w:rPr>
          <w:rFonts w:ascii="Arial" w:cs="Arial" w:eastAsia="Arial" w:hAnsi="Arial"/>
          <w:color w:val="000000"/>
          <w:sz w:val="22"/>
          <w:szCs w:val="22"/>
        </w:rPr>
        <w:t xml:space="preserve">Signal INT01 (CIA 2022 panel: most cases are psychogenic or environmental) vs Signal MED11 (NASEM 2021 report: most plausible explanation for core cases is pulsed radiofrequency energy). These are two independent scientific panels reviewing overlapping evidence and reaching opposite conclusions. Register INT01 against MED11.</w:t>
      </w:r>
    </w:p>
    <w:p>
      <w:pPr>
        <w:spacing w:after="160"/>
      </w:pPr>
      <w:r>
        <w:t xml:space="preserve"/>
      </w:r>
    </w:p>
    <w:p>
      <w:pPr>
        <w:pBdr>
          <w:left w:val="single" w:color="1A3A2A" w:sz="14" w:space="8"/>
        </w:pBdr>
        <w:spacing w:after="160"/>
        <w:ind w:left="360"/>
      </w:pPr>
      <w:r>
        <w:rPr>
          <w:rFonts w:ascii="Arial" w:cs="Arial" w:eastAsia="Arial" w:hAnsi="Arial"/>
          <w:b/>
          <w:bCs/>
          <w:color w:val="1A3A2A"/>
          <w:sz w:val="22"/>
          <w:szCs w:val="22"/>
        </w:rPr>
        <w:t xml:space="preserve">Contradiction 2:  </w:t>
      </w:r>
      <w:r>
        <w:rPr>
          <w:rFonts w:ascii="Arial" w:cs="Arial" w:eastAsia="Arial" w:hAnsi="Arial"/>
          <w:color w:val="000000"/>
          <w:sz w:val="22"/>
          <w:szCs w:val="22"/>
        </w:rPr>
        <w:t xml:space="preserve">Signal MED05 (Verma 2019 JAMA study: structural MRI differences in white matter between affected and control groups) vs Signal INT01 (CIA 2022 panel: psychogenic illness and functional neurological disorder). Functional neurological disorder and psychogenic illness do not produce structural white matter changes on diffusion tensor imaging. If the MRI findings are valid, they are inconsistent with a purely psychogenic explanation. Register MED05 against INT01.</w:t>
      </w:r>
    </w:p>
    <w:p>
      <w:pPr>
        <w:spacing w:after="160"/>
      </w:pPr>
      <w:r>
        <w:t xml:space="preserve"/>
      </w:r>
    </w:p>
    <w:p>
      <w:pPr>
        <w:pBdr>
          <w:left w:val="single" w:color="1A3A2A" w:sz="14" w:space="8"/>
        </w:pBdr>
        <w:spacing w:after="160"/>
        <w:ind w:left="360"/>
      </w:pPr>
      <w:r>
        <w:rPr>
          <w:rFonts w:ascii="Arial" w:cs="Arial" w:eastAsia="Arial" w:hAnsi="Arial"/>
          <w:b/>
          <w:bCs/>
          <w:color w:val="1A3A2A"/>
          <w:sz w:val="22"/>
          <w:szCs w:val="22"/>
        </w:rPr>
        <w:t xml:space="preserve">Contradiction 3:  </w:t>
      </w:r>
      <w:r>
        <w:rPr>
          <w:rFonts w:ascii="Arial" w:cs="Arial" w:eastAsia="Arial" w:hAnsi="Arial"/>
          <w:color w:val="000000"/>
          <w:sz w:val="22"/>
          <w:szCs w:val="22"/>
        </w:rPr>
        <w:t xml:space="preserve">Signal PHY06 (the cricket recording was identified as the Indies short-tailed cricket) vs Signal MED12 (the NASEM report noted the directional onset sensation — varying with position within a room — is not consistent with ambient environmental causes). The cricket identification explains the acoustic recording but it does not explain the directional spatial characteristic of the symptom onset. Register PHY06 against MED12.</w:t>
      </w:r>
    </w:p>
    <w:p>
      <w:pPr>
        <w:spacing w:after="160"/>
      </w:pPr>
      <w:r>
        <w:t xml:space="preserve"/>
      </w:r>
    </w:p>
    <w:p>
      <w:pPr>
        <w:pBdr>
          <w:left w:val="single" w:color="1A3A2A" w:sz="14" w:space="8"/>
        </w:pBdr>
        <w:spacing w:after="160"/>
        <w:ind w:left="360"/>
      </w:pPr>
      <w:r>
        <w:rPr>
          <w:rFonts w:ascii="Arial" w:cs="Arial" w:eastAsia="Arial" w:hAnsi="Arial"/>
          <w:b/>
          <w:bCs/>
          <w:color w:val="1A3A2A"/>
          <w:sz w:val="22"/>
          <w:szCs w:val="22"/>
        </w:rPr>
        <w:t xml:space="preserve">Contradiction 4:  </w:t>
      </w:r>
      <w:r>
        <w:rPr>
          <w:rFonts w:ascii="Arial" w:cs="Arial" w:eastAsia="Arial" w:hAnsi="Arial"/>
          <w:color w:val="000000"/>
          <w:sz w:val="22"/>
          <w:szCs w:val="22"/>
        </w:rPr>
        <w:t xml:space="preserve">Signal LOC10 (intelligence officers disproportionately affected relative to their proportion of the population at affected locations) vs Signal INT01 (CIA 2022 conclusion: psychogenic illness and stress). Mass psychogenic illness typically propagates through social networks and shared belief systems — it does not selectively target one professional group within a mixed diplomatic community. Register LOC10 against INT01.</w:t>
      </w:r>
    </w:p>
    <w:p>
      <w:pPr>
        <w:spacing w:after="160"/>
      </w:pPr>
      <w:r>
        <w:t xml:space="preserve"/>
      </w:r>
    </w:p>
    <w:p>
      <w:pPr>
        <w:pBdr>
          <w:left w:val="single" w:color="1A3A2A" w:sz="14" w:space="8"/>
        </w:pBdr>
        <w:spacing w:after="160"/>
        <w:ind w:left="360"/>
      </w:pPr>
      <w:r>
        <w:rPr>
          <w:rFonts w:ascii="Arial" w:cs="Arial" w:eastAsia="Arial" w:hAnsi="Arial"/>
          <w:b/>
          <w:bCs/>
          <w:color w:val="1A3A2A"/>
          <w:sz w:val="22"/>
          <w:szCs w:val="22"/>
        </w:rPr>
        <w:t xml:space="preserve">Contradiction 5:  </w:t>
      </w:r>
      <w:r>
        <w:rPr>
          <w:rFonts w:ascii="Arial" w:cs="Arial" w:eastAsia="Arial" w:hAnsi="Arial"/>
          <w:color w:val="000000"/>
          <w:sz w:val="22"/>
          <w:szCs w:val="22"/>
        </w:rPr>
        <w:t xml:space="preserve">Signal HIST03 (the US government concealed the Moscow Signal from Embassy staff for approximately twenty years) vs Signal INT01 (CIA conclusion that foreign adversary action is very unlikely). The US government has a documented historical precedent of concealing from its own employees the fact that a foreign state was irradiating them. The institutional precedent for concealment makes the CIA conclusion about current cases structurally harder to evaluate. Register HIST03 against INT01.</w:t>
      </w:r>
    </w:p>
    <w:p>
      <w:pPr>
        <w:spacing w:after="160"/>
      </w:pPr>
      <w:r>
        <w:t xml:space="preserve"/>
      </w:r>
    </w:p>
    <w:p>
      <w:pPr>
        <w:pStyle w:val="Heading1"/>
        <w:spacing w:after="160" w:before="0"/>
      </w:pPr>
      <w:r>
        <w:rPr>
          <w:rFonts w:ascii="Arial" w:cs="Arial" w:eastAsia="Arial" w:hAnsi="Arial"/>
          <w:b/>
          <w:bCs/>
          <w:color w:val="1A3A2A"/>
          <w:sz w:val="34"/>
          <w:szCs w:val="34"/>
        </w:rPr>
        <w:t xml:space="preserve">Step 5 — What CIS Should Have Done Automatically</w:t>
      </w:r>
    </w:p>
    <w:p>
      <w:pPr>
        <w:pBdr>
          <w:bottom w:val="single" w:color="1A3A2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Medical Records, Signals Physics, and Historical Precedent around the Frey effect as a plausible mechanism consistent with the Moscow Signal precedent and the NASEM findings.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Signals Physics domain (JASON classified conclusion — pulsed RF plausible) not connected to Intelligence Assessment domain (CIA 2022 conclusion — most cases psychogenic). These two assessments were produced by separate groups without sharing their full evidence bases.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the cricket recording acoustic identification (Signal PHY06) was applied as an explanation for the audio component of the reports but used in public discourse to partially displace investigation of other aspects of the phenomenon.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Historical Precedent domain (Moscow Signal, Soviet concealment of irradiation from US Embassy staff) not connected to the Intelligence Assessment domain (CIA conclusion on likelihood of foreign adversary 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LP-5 flag: the intelligence officer disproportionate representation across multiple locations (LOC10) — each individual case may be sub-threshold for pattern detection within a single location, but across 70+ countries the pattern accumulates.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Signal INV06 — claims that affected officers were placed on administrative leave after reporting, effectively discarding the signal source. Documented as a suppression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five contradictions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1A3A2A"/>
          <w:sz w:val="34"/>
          <w:szCs w:val="34"/>
        </w:rPr>
        <w:t xml:space="preserve">Competing Hypotheses — Record After Briefing</w:t>
      </w:r>
    </w:p>
    <w:p>
      <w:pPr>
        <w:pBdr>
          <w:bottom w:val="single" w:color="1A3A2A" w:sz="4" w:space="1"/>
        </w:pBdr>
        <w:spacing w:after="200"/>
      </w:pPr>
      <w:r>
        <w:t xml:space="preserve"/>
      </w:r>
    </w:p>
    <w:p>
      <w:pPr>
        <w:pBdr>
          <w:left w:val="single" w:color="1A3A2A" w:sz="14" w:space="8"/>
        </w:pBdr>
        <w:spacing w:after="140"/>
        <w:ind w:left="360"/>
      </w:pPr>
      <w:r>
        <w:rPr>
          <w:rFonts w:ascii="Arial" w:cs="Arial" w:eastAsia="Arial" w:hAnsi="Arial"/>
          <w:b/>
          <w:bCs/>
          <w:color w:val="1A3A2A"/>
          <w:sz w:val="22"/>
          <w:szCs w:val="22"/>
        </w:rPr>
        <w:t xml:space="preserve">H1 — Pulsed radiofrequency directed energy weapon (foreign adversary):  </w:t>
      </w:r>
      <w:r>
        <w:rPr>
          <w:rFonts w:ascii="Arial" w:cs="Arial" w:eastAsia="Arial" w:hAnsi="Arial"/>
          <w:color w:val="000000"/>
          <w:sz w:val="22"/>
          <w:szCs w:val="22"/>
        </w:rPr>
        <w:t xml:space="preserve">The NASEM 2021 conclusion. Consistent with the Frey effect mechanism, the directional onset pattern, the MRI findings, the disproportionate targeting of intelligence officers, and the Moscow Signal precedent. Requires a foreign adversary operating with specific technical capability across 70+ countries. The CIA 2022 panel assessed this as very unlikely for most cases.</w:t>
      </w:r>
    </w:p>
    <w:p>
      <w:pPr>
        <w:pBdr>
          <w:left w:val="single" w:color="1A3A2A" w:sz="14" w:space="8"/>
        </w:pBdr>
        <w:spacing w:after="140"/>
        <w:ind w:left="360"/>
      </w:pPr>
      <w:r>
        <w:rPr>
          <w:rFonts w:ascii="Arial" w:cs="Arial" w:eastAsia="Arial" w:hAnsi="Arial"/>
          <w:b/>
          <w:bCs/>
          <w:color w:val="1A3A2A"/>
          <w:sz w:val="22"/>
          <w:szCs w:val="22"/>
        </w:rPr>
        <w:t xml:space="preserve">H2 — Mass psychogenic illness with genuine unexplained residual:  </w:t>
      </w:r>
      <w:r>
        <w:rPr>
          <w:rFonts w:ascii="Arial" w:cs="Arial" w:eastAsia="Arial" w:hAnsi="Arial"/>
          <w:color w:val="000000"/>
          <w:sz w:val="22"/>
          <w:szCs w:val="22"/>
        </w:rPr>
        <w:t xml:space="preserve">The CIA 2022 conclusion for the majority of cases, with acknowledgment of 20-25 unexplained cases. Consistent with the functional neurological disorder finding in some cases. Inconsistent with structural MRI differences, the disproportionate targeting of intelligence officers, and the directional spatial symptom pattern.</w:t>
      </w:r>
    </w:p>
    <w:p>
      <w:pPr>
        <w:pBdr>
          <w:left w:val="single" w:color="1A3A2A" w:sz="14" w:space="8"/>
        </w:pBdr>
        <w:spacing w:after="140"/>
        <w:ind w:left="360"/>
      </w:pPr>
      <w:r>
        <w:rPr>
          <w:rFonts w:ascii="Arial" w:cs="Arial" w:eastAsia="Arial" w:hAnsi="Arial"/>
          <w:b/>
          <w:bCs/>
          <w:color w:val="1A3A2A"/>
          <w:sz w:val="22"/>
          <w:szCs w:val="22"/>
        </w:rPr>
        <w:t xml:space="preserve">H3 — Accidental exposure from surveillance technology:  </w:t>
      </w:r>
      <w:r>
        <w:rPr>
          <w:rFonts w:ascii="Arial" w:cs="Arial" w:eastAsia="Arial" w:hAnsi="Arial"/>
          <w:color w:val="000000"/>
          <w:sz w:val="22"/>
          <w:szCs w:val="22"/>
        </w:rPr>
        <w:t xml:space="preserve">US personnel were incidentally exposed to the emissions of Russian or other foreign surveillance equipment operating near their residences — equipment not designed as a weapon but whose output at close range produced the observed effects. This would explain the clustering at residences and the absence of a detected weapon.</w:t>
      </w:r>
    </w:p>
    <w:p>
      <w:pPr>
        <w:pBdr>
          <w:left w:val="single" w:color="1A3A2A" w:sz="14" w:space="8"/>
        </w:pBdr>
        <w:spacing w:after="140"/>
        <w:ind w:left="360"/>
      </w:pPr>
      <w:r>
        <w:rPr>
          <w:rFonts w:ascii="Arial" w:cs="Arial" w:eastAsia="Arial" w:hAnsi="Arial"/>
          <w:b/>
          <w:bCs/>
          <w:color w:val="1A3A2A"/>
          <w:sz w:val="22"/>
          <w:szCs w:val="22"/>
        </w:rPr>
        <w:t xml:space="preserve">H4 — Multiple causes — heterogeneous case set:  </w:t>
      </w:r>
      <w:r>
        <w:rPr>
          <w:rFonts w:ascii="Arial" w:cs="Arial" w:eastAsia="Arial" w:hAnsi="Arial"/>
          <w:color w:val="000000"/>
          <w:sz w:val="22"/>
          <w:szCs w:val="22"/>
        </w:rPr>
        <w:t xml:space="preserve">Some cases represent genuine directed energy exposure. Others represent psychogenic illness amplified by institutional awareness of the phenomenon. The investigation has been treating a heterogeneous case set as a single phenomenon, which is why the evidence appears contradictory. The NASEM panel implicitly acknowledged this with its focus on a 'core cases' subset.</w:t>
      </w:r>
    </w:p>
    <w:p>
      <w:pPr>
        <w:spacing w:after="160"/>
      </w:pPr>
      <w:r>
        <w:t xml:space="preserve"/>
      </w:r>
    </w:p>
    <w:p>
      <w:pPr>
        <w:pStyle w:val="Heading1"/>
        <w:spacing w:after="160" w:before="0"/>
      </w:pPr>
      <w:r>
        <w:rPr>
          <w:rFonts w:ascii="Arial" w:cs="Arial" w:eastAsia="Arial" w:hAnsi="Arial"/>
          <w:b/>
          <w:bCs/>
          <w:color w:val="1A3A2A"/>
          <w:sz w:val="34"/>
          <w:szCs w:val="34"/>
        </w:rPr>
        <w:t xml:space="preserve">Open Questions</w:t>
      </w:r>
    </w:p>
    <w:p>
      <w:pPr>
        <w:pBdr>
          <w:bottom w:val="single" w:color="1A3A2A"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What specifically does the classified JASON report say, and why has it not been used to resolve the interagency dispute between the NASEM 2021 and CIA 2022 conclusions?</w:t>
      </w:r>
    </w:p>
    <w:p>
      <w:pPr>
        <w:pStyle w:val="ListParagraph"/>
        <w:numPr>
          <w:ilvl w:val="0"/>
          <w:numId w:val="3"/>
        </w:numPr>
        <w:spacing w:after="120"/>
      </w:pPr>
      <w:r>
        <w:rPr>
          <w:rFonts w:ascii="Arial" w:cs="Arial" w:eastAsia="Arial" w:hAnsi="Arial"/>
          <w:color w:val="000000"/>
          <w:sz w:val="22"/>
          <w:szCs w:val="22"/>
        </w:rPr>
        <w:t xml:space="preserve">What explains the disproportionate representation of CIA officers and intelligence personnel across multiple independent geographic clusters?</w:t>
      </w:r>
    </w:p>
    <w:p>
      <w:pPr>
        <w:pStyle w:val="ListParagraph"/>
        <w:numPr>
          <w:ilvl w:val="0"/>
          <w:numId w:val="3"/>
        </w:numPr>
        <w:spacing w:after="120"/>
      </w:pPr>
      <w:r>
        <w:rPr>
          <w:rFonts w:ascii="Arial" w:cs="Arial" w:eastAsia="Arial" w:hAnsi="Arial"/>
          <w:color w:val="000000"/>
          <w:sz w:val="22"/>
          <w:szCs w:val="22"/>
        </w:rPr>
        <w:t xml:space="preserve">The CIA 2022 panel's 20-25 unexplained cases: what distinguishes these cases from the majority — and do they share characteristics with the Moscow Signal or other directed energy precedents?</w:t>
      </w:r>
    </w:p>
    <w:p>
      <w:pPr>
        <w:pStyle w:val="ListParagraph"/>
        <w:numPr>
          <w:ilvl w:val="0"/>
          <w:numId w:val="3"/>
        </w:numPr>
        <w:spacing w:after="120"/>
      </w:pPr>
      <w:r>
        <w:rPr>
          <w:rFonts w:ascii="Arial" w:cs="Arial" w:eastAsia="Arial" w:hAnsi="Arial"/>
          <w:color w:val="000000"/>
          <w:sz w:val="22"/>
          <w:szCs w:val="22"/>
        </w:rPr>
        <w:t xml:space="preserve">What does the full intelligence community assessment (as opposed to the CIA-specific panel) actually say about foreign adversary probability?</w:t>
      </w:r>
    </w:p>
    <w:p>
      <w:pPr>
        <w:pStyle w:val="ListParagraph"/>
        <w:numPr>
          <w:ilvl w:val="0"/>
          <w:numId w:val="3"/>
        </w:numPr>
        <w:spacing w:after="120"/>
      </w:pPr>
      <w:r>
        <w:rPr>
          <w:rFonts w:ascii="Arial" w:cs="Arial" w:eastAsia="Arial" w:hAnsi="Arial"/>
          <w:color w:val="000000"/>
          <w:sz w:val="22"/>
          <w:szCs w:val="22"/>
        </w:rPr>
        <w:t xml:space="preserve">Is the structural white matter finding in the Verma 2019 study reproducible in a larger, properly controlled sample?</w:t>
      </w:r>
    </w:p>
    <w:p>
      <w:pPr>
        <w:pStyle w:val="ListParagraph"/>
        <w:numPr>
          <w:ilvl w:val="0"/>
          <w:numId w:val="3"/>
        </w:numPr>
        <w:spacing w:after="120"/>
      </w:pPr>
      <w:r>
        <w:rPr>
          <w:rFonts w:ascii="Arial" w:cs="Arial" w:eastAsia="Arial" w:hAnsi="Arial"/>
          <w:color w:val="000000"/>
          <w:sz w:val="22"/>
          <w:szCs w:val="22"/>
        </w:rPr>
        <w:t xml:space="preserve">What was the specific content of the classified briefing that caused Senate Intelligence Committee members to describe it as alarming?</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physicists with expertise in pulsed radiofrequency bioeffects who can assess the power levels required against the physical constraints of covert operation at residential distances; neurologists with MRI expertise who can assess whether the Verma 2019 white matter findings have been replicated; anyone with access to the classified JASON report or the intelligence community's full assessment as distinct from the CIA panel conclusion.</w:t>
      </w:r>
    </w:p>
    <w:p>
      <w:pPr>
        <w:pBdr>
          <w:left w:val="single" w:color="1A3A2A" w:sz="14" w:space="8"/>
        </w:pBdr>
        <w:spacing w:after="240"/>
        <w:ind w:left="360"/>
      </w:pPr>
      <w:r>
        <w:rPr>
          <w:rFonts w:ascii="Arial" w:cs="Arial" w:eastAsia="Arial" w:hAnsi="Arial"/>
          <w:b/>
          <w:bCs/>
          <w:color w:val="1A3A2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1A3A2A"/>
          <w:sz w:val="34"/>
          <w:szCs w:val="34"/>
        </w:rPr>
        <w:t xml:space="preserve">Signal Record</w:t>
      </w:r>
    </w:p>
    <w:p>
      <w:pPr>
        <w:pBdr>
          <w:bottom w:val="single" w:color="1A3A2A"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submitted.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000"/>
        <w:gridCol w:w="2000"/>
        <w:gridCol w:w="2280"/>
      </w:tblGrid>
      <w:tr>
        <w:tc>
          <w:tcPr>
            <w:tcW w:type="dxa" w:w="68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280"/>
            <w:tcBorders>
              <w:top w:val="single" w:color="999999" w:sz="1"/>
              <w:left w:val="single" w:color="999999" w:sz="1"/>
              <w:bottom w:val="single" w:color="999999" w:sz="1"/>
              <w:right w:val="single" w:color="999999" w:sz="1"/>
            </w:tcBorders>
            <w:shd w:fill="1A3A2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MED12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PHY11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INT11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LOC11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HIST09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3A2A"/>
                <w:sz w:val="20"/>
                <w:szCs w:val="20"/>
              </w:rPr>
              <w:t xml:space="preserve">INV08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2A"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2A" w:sz="4" w:space="4"/>
      </w:pBdr>
    </w:pPr>
    <w:r>
      <w:rPr>
        <w:rFonts w:ascii="Arial" w:cs="Arial" w:eastAsia="Arial" w:hAnsi="Arial"/>
        <w:i/>
        <w:iCs/>
        <w:color w:val="595959"/>
        <w:sz w:val="18"/>
        <w:szCs w:val="18"/>
      </w:rPr>
      <w:t xml:space="preserve">CIS Cold Case  |  Havana Syndrome — Full Signal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2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2026-06-08T06:20:43.654Z</dcterms:created>
  <dcterms:modified xsi:type="dcterms:W3CDTF">2026-06-08T06:20:43.668Z</dcterms:modified>
</cp:coreProperties>
</file>

<file path=docProps/custom.xml><?xml version="1.0" encoding="utf-8"?>
<Properties xmlns="http://schemas.openxmlformats.org/officeDocument/2006/custom-properties" xmlns:vt="http://schemas.openxmlformats.org/officeDocument/2006/docPropsVTypes"/>
</file>