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4A1A00"/>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4A1A00" w:sz="6" w:space="1"/>
        </w:pBdr>
        <w:spacing w:after="400"/>
      </w:pPr>
      <w:r>
        <w:t xml:space="preserve"/>
      </w:r>
    </w:p>
    <w:p>
      <w:pPr>
        <w:spacing w:after="200"/>
        <w:jc w:val="center"/>
      </w:pPr>
      <w:r>
        <w:rPr>
          <w:rFonts w:ascii="Arial" w:cs="Arial" w:eastAsia="Arial" w:hAnsi="Arial"/>
          <w:b/>
          <w:bCs/>
          <w:color w:val="4A1A00"/>
          <w:sz w:val="34"/>
          <w:szCs w:val="34"/>
        </w:rPr>
        <w:t xml:space="preserve">OPEN INVESTIGATION — REGULATORY FAILURE STRAND</w:t>
      </w:r>
    </w:p>
    <w:p>
      <w:pPr>
        <w:spacing w:after="200"/>
        <w:jc w:val="center"/>
      </w:pPr>
      <w:r>
        <w:rPr>
          <w:rFonts w:ascii="Arial" w:cs="Arial" w:eastAsia="Arial" w:hAnsi="Arial"/>
          <w:b/>
          <w:bCs/>
          <w:color w:val="4A1A00"/>
          <w:sz w:val="56"/>
          <w:szCs w:val="56"/>
        </w:rPr>
        <w:t xml:space="preserve">LAC-MÉGANTIC</w:t>
      </w:r>
    </w:p>
    <w:p>
      <w:pPr>
        <w:spacing w:after="120"/>
        <w:jc w:val="center"/>
      </w:pPr>
      <w:r>
        <w:rPr>
          <w:rFonts w:ascii="Arial" w:cs="Arial" w:eastAsia="Arial" w:hAnsi="Arial"/>
          <w:color w:val="595959"/>
          <w:sz w:val="26"/>
          <w:szCs w:val="26"/>
        </w:rPr>
        <w:t xml:space="preserve">Lac-Mégantic, Quebec, Canada  ·  6 July 2013</w:t>
      </w:r>
    </w:p>
    <w:p>
      <w:pPr>
        <w:spacing w:after="480"/>
        <w:jc w:val="center"/>
      </w:pPr>
      <w:r>
        <w:rPr>
          <w:rFonts w:ascii="Arial" w:cs="Arial" w:eastAsia="Arial" w:hAnsi="Arial"/>
          <w:color w:val="595959"/>
          <w:sz w:val="24"/>
          <w:szCs w:val="24"/>
        </w:rPr>
        <w:t xml:space="preserve">47 People Killed  ·  Criminal acquittals  ·  Regulatory questions unresolved</w:t>
      </w:r>
    </w:p>
    <w:p>
      <w:pPr>
        <w:spacing w:after="200"/>
        <w:jc w:val="center"/>
      </w:pPr>
      <w:r>
        <w:rPr>
          <w:rFonts w:ascii="Arial" w:cs="Arial" w:eastAsia="Arial" w:hAnsi="Arial"/>
          <w:b/>
          <w:bCs/>
          <w:color w:val="4A1A00"/>
          <w:sz w:val="26"/>
          <w:szCs w:val="26"/>
        </w:rPr>
        <w:t xml:space="preserve">64 signals  ·  6 independent domains  ·  no triage</w:t>
      </w:r>
    </w:p>
    <w:p>
      <w:pPr>
        <w:spacing w:after="600"/>
        <w:jc w:val="center"/>
      </w:pPr>
      <w:r>
        <w:rPr>
          <w:rFonts w:ascii="Arial" w:cs="Arial" w:eastAsia="Arial" w:hAnsi="Arial"/>
          <w:i/>
          <w:iCs/>
          <w:color w:val="595959"/>
          <w:sz w:val="22"/>
          <w:szCs w:val="22"/>
        </w:rPr>
        <w:t xml:space="preserve">The physical cause is established. The regulatory failure strand — what Transport Canada held, what it acted on, and what it did not — is the open investigation.</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0"/>
      </w:pPr>
      <w:r>
        <w:rPr>
          <w:rFonts w:ascii="Arial" w:cs="Arial" w:eastAsia="Arial" w:hAnsi="Arial"/>
          <w:b/>
          <w:bCs/>
          <w:color w:val="4A1A00"/>
          <w:sz w:val="34"/>
          <w:szCs w:val="34"/>
        </w:rPr>
        <w:t xml:space="preserve">The Case</w:t>
      </w:r>
    </w:p>
    <w:p>
      <w:pPr>
        <w:pBdr>
          <w:bottom w:val="single" w:color="4A1A00" w:sz="4" w:space="1"/>
        </w:pBdr>
        <w:spacing w:after="200"/>
      </w:pPr>
      <w:r>
        <w:t xml:space="preserve"/>
      </w:r>
    </w:p>
    <w:p>
      <w:pPr>
        <w:spacing w:after="160" w:line="276"/>
      </w:pPr>
      <w:r>
        <w:rPr>
          <w:rFonts w:ascii="Arial" w:cs="Arial" w:eastAsia="Arial" w:hAnsi="Arial"/>
          <w:color w:val="000000"/>
          <w:sz w:val="22"/>
          <w:szCs w:val="22"/>
        </w:rPr>
        <w:t xml:space="preserve">At approximately 01:14 on 6 July 2013, a runaway train consisting of 72 tank cars of Bakken crude oil descended into the centre of Lac-Mégantic, Quebec at speeds above 100 kilometres per hour. The train derailed. The tank cars punctured and ignited. The fire destroyed 40 buildings in the town's centre and killed 47 people. It was the worst railway disaster in Canadian history since 1864.</w:t>
      </w:r>
    </w:p>
    <w:p>
      <w:pPr>
        <w:spacing w:after="160" w:line="276"/>
      </w:pPr>
      <w:r>
        <w:rPr>
          <w:rFonts w:ascii="Arial" w:cs="Arial" w:eastAsia="Arial" w:hAnsi="Arial"/>
          <w:color w:val="000000"/>
          <w:sz w:val="22"/>
          <w:szCs w:val="22"/>
        </w:rPr>
        <w:t xml:space="preserve">The physical chain of events is established. A locomotive fire in the parked train at Nantes led to the fire department shutting down the engines. When the engines shut down, air brake pressure was lost. The handbrakes applied by the lone engineer Tom Harding were not sufficient to hold the train on the grade. The train rolled uncontrolled for approximately 11.5 kilometres before entering Lac-Mégantic.</w:t>
      </w:r>
    </w:p>
    <w:p>
      <w:pPr>
        <w:spacing w:after="160" w:line="276"/>
      </w:pPr>
      <w:r>
        <w:rPr>
          <w:rFonts w:ascii="Arial" w:cs="Arial" w:eastAsia="Arial" w:hAnsi="Arial"/>
          <w:color w:val="000000"/>
          <w:sz w:val="22"/>
          <w:szCs w:val="22"/>
        </w:rPr>
        <w:t xml:space="preserve">Three MMA employees were criminally charged with criminal negligence causing death. All three were acquitted in January 2018. The Transportation Safety Board of Canada's investigation identified 18 contributing factors. The regulatory failure strand — the specific question of what Transport Canada knew, what signals it had received before the disaster, and what it acted on — is the open investigation that this workbook addresses.</w:t>
      </w:r>
    </w:p>
    <w:p>
      <w:pPr>
        <w:spacing w:after="16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80"/>
        <w:gridCol w:w="1400"/>
        <w:gridCol w:w="1400"/>
      </w:tblGrid>
      <w:tr>
        <w:tc>
          <w:tcPr>
            <w:tcW w:type="dxa" w:w="48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28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28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HOLDS</w:t>
            </w:r>
          </w:p>
        </w:tc>
        <w:tc>
          <w:tcPr>
            <w:tcW w:type="dxa" w:w="14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SIGNALS</w:t>
            </w:r>
          </w:p>
        </w:tc>
        <w:tc>
          <w:tcPr>
            <w:tcW w:type="dxa" w:w="14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Railway Operations (MMA)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MMA's practices, single-crew approval, train composition, the night of the disaster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Transport Canada Oversight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Inspection records, exemptions granted, SMS model, prior audit findings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Oil Classification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Bakken crude PG classification, DOT-111 specification, mis-classification finding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Brake System Engineering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Handbrake requirements, air brake loss on shutdown, grade calculations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Prior Incidents and Safety Recommendations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TSB recommendations before the disaster, MMA's prior incidents, TC's responses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Post-Disaster Investigation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TSB report, criminal proceedings, regulatory reforms, what changed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2-3</w:t>
            </w:r>
          </w:p>
        </w:tc>
      </w:tr>
    </w:tbl>
    <w:p>
      <w:pPr>
        <w:spacing w:after="160"/>
      </w:pPr>
      <w:r>
        <w:t xml:space="preserve"/>
      </w:r>
    </w:p>
    <w:p>
      <w:pPr>
        <w:spacing w:after="160" w:line="276"/>
      </w:pPr>
      <w:r>
        <w:rPr>
          <w:rFonts w:ascii="Arial" w:cs="Arial" w:eastAsia="Arial" w:hAnsi="Arial"/>
          <w:color w:val="000000"/>
          <w:sz w:val="22"/>
          <w:szCs w:val="22"/>
        </w:rPr>
        <w:t xml:space="preserve">Periods: Period 0 = before 6 July 2013 (regulatory background and operating history). Period 1 = the night of 5-6 July 2013 (the disaster events). Period 2 = the immediate aftermath and investigation (2013-2014). Period 3 = criminal proceedings and regulatory reform (2014-2018 and beyond).</w:t>
      </w:r>
    </w:p>
    <w:p>
      <w:r>
        <w:br w:type="page"/>
      </w:r>
    </w:p>
    <w:p>
      <w:pPr>
        <w:pStyle w:val="Heading1"/>
        <w:spacing w:after="160" w:before="0"/>
      </w:pPr>
      <w:r>
        <w:rPr>
          <w:rFonts w:ascii="Arial" w:cs="Arial" w:eastAsia="Arial" w:hAnsi="Arial"/>
          <w:b/>
          <w:bCs/>
          <w:color w:val="4A1A00"/>
          <w:sz w:val="34"/>
          <w:szCs w:val="34"/>
        </w:rPr>
        <w:t xml:space="preserve">Step 1 — Create the Case</w:t>
      </w:r>
    </w:p>
    <w:p>
      <w:pPr>
        <w:pBdr>
          <w:bottom w:val="single" w:color="4A1A00" w:sz="4" w:space="1"/>
        </w:pBdr>
        <w:spacing w:after="200"/>
      </w:pPr>
      <w:r>
        <w:t xml:space="preserve"/>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Lac-Mégantic — Regulatory Failure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4A1A00" w:sz="14" w:space="8"/>
        </w:pBdr>
        <w:spacing w:after="240"/>
        <w:ind w:left="360"/>
      </w:pPr>
      <w:r>
        <w:rPr>
          <w:rFonts w:ascii="Arial" w:cs="Arial" w:eastAsia="Arial" w:hAnsi="Arial"/>
          <w:b/>
          <w:bCs/>
          <w:color w:val="4A1A00"/>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0"/>
      </w:pPr>
      <w:r>
        <w:rPr>
          <w:rFonts w:ascii="Arial" w:cs="Arial" w:eastAsia="Arial" w:hAnsi="Arial"/>
          <w:b/>
          <w:bCs/>
          <w:color w:val="4A1A00"/>
          <w:sz w:val="34"/>
          <w:szCs w:val="34"/>
        </w:rPr>
        <w:t xml:space="preserve">Step 2 — Create Domains and Declare Independence</w:t>
      </w:r>
    </w:p>
    <w:p>
      <w:pPr>
        <w:pBdr>
          <w:bottom w:val="single" w:color="4A1A00"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Railway Operations (MMA)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Montreal, Maine and Atlantic Railway's operational practices: its approval to run single-person crews, the composition of train MMA 002, the engineer's actions in Nantes, and the Nantes fire department's response and its effect on the train's brake systems.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Transport Canada Oversight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federal railway regulator's records: the inspections conducted on MMA, the single-crew exemption approval, the audit findings, and what actions Transport Canada took or did not take on information it held before the disaster.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 Classification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classification of Bakken crude oil as shipped on MMA 002: the Packing Group designation, the tank car specification that classification required, the actual chemical properties of the oil, and the gap between classification and reality.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Brake System Engineering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technical record of how the train's brakes worked: the relationship between running locomotive engines and air brake pressure, the handbrake requirement for the specific train on the specific grade, and the sequence of events as air pressure dissipated after engine shutdown.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 Incidents and Safety Recommendations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safety record before the disaster: Transportation Safety Board of Canada safety recommendations on related topics, MMA's incident history, Transport Canada's responses to prior recommendations, and the industry-wide pattern of runaway incidents.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Post-Disaster Investigation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formal findings: the TSB investigation report, the criminal proceedings and their outcomes, the specific regulatory reforms implemented after the disaster, and the remaining unresolved questions.</w:t>
            </w:r>
          </w:p>
        </w:tc>
      </w:tr>
    </w:tbl>
    <w:p>
      <w:pPr>
        <w:spacing w:after="160" w:line="276"/>
      </w:pPr>
      <w:r>
        <w:rPr>
          <w:rFonts w:ascii="Arial" w:cs="Arial" w:eastAsia="Arial" w:hAnsi="Arial"/>
          <w:color w:val="000000"/>
          <w:sz w:val="22"/>
          <w:szCs w:val="22"/>
        </w:rPr>
        <w:t xml:space="preserve">Declare every domain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Transport Canada's inspection records, the oil shipper's classification records, the brake engineering standards, the TSB's prior safety recommendations, and MMA's operational documentation were each held by separate organisations with separate reporting structures. The disaster happened at the intersection of all six. CIS is the first structure where all six are held together.</w:t>
      </w:r>
    </w:p>
    <w:p>
      <w:r>
        <w:br w:type="page"/>
      </w:r>
    </w:p>
    <w:p>
      <w:pPr>
        <w:pStyle w:val="Heading1"/>
        <w:spacing w:after="160" w:before="0"/>
      </w:pPr>
      <w:r>
        <w:rPr>
          <w:rFonts w:ascii="Arial" w:cs="Arial" w:eastAsia="Arial" w:hAnsi="Arial"/>
          <w:b/>
          <w:bCs/>
          <w:color w:val="4A1A00"/>
          <w:sz w:val="34"/>
          <w:szCs w:val="34"/>
        </w:rPr>
        <w:t xml:space="preserve">Step 3 — Enter All 64 Signals</w:t>
      </w:r>
    </w:p>
    <w:p>
      <w:pPr>
        <w:pBdr>
          <w:bottom w:val="single" w:color="4A1A00" w:sz="4" w:space="1"/>
        </w:pBdr>
        <w:spacing w:after="20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p>
      <w:pPr>
        <w:spacing w:after="160" w:line="276"/>
      </w:pPr>
      <w:r>
        <w:rPr>
          <w:rFonts w:ascii="Arial" w:cs="Arial" w:eastAsia="Arial" w:hAnsi="Arial"/>
          <w:color w:val="000000"/>
          <w:sz w:val="22"/>
          <w:szCs w:val="22"/>
        </w:rPr>
        <w:t xml:space="preserve">Go to Signal Intake. For each signal, select the domain, set the period, enter the observation. Note the SI score before submitting. Record all scores in the Signal Record table at the end.</w:t>
      </w:r>
    </w:p>
    <w:p>
      <w:r>
        <w:br w:type="page"/>
      </w:r>
    </w:p>
    <w:p>
      <w:pPr>
        <w:spacing w:after="120" w:before="360"/>
      </w:pPr>
      <w:r>
        <w:rPr>
          <w:rFonts w:ascii="Arial" w:cs="Arial" w:eastAsia="Arial" w:hAnsi="Arial"/>
          <w:b/>
          <w:bCs/>
          <w:color w:val="4A1A00"/>
          <w:sz w:val="26"/>
          <w:szCs w:val="26"/>
        </w:rPr>
        <w:t xml:space="preserve">Domain 1: Railway Operations (MMA)  </w:t>
      </w:r>
      <w:r>
        <w:rPr>
          <w:rFonts w:ascii="Arial" w:cs="Arial" w:eastAsia="Arial" w:hAnsi="Arial"/>
          <w:i/>
          <w:iCs/>
          <w:color w:val="595959"/>
          <w:sz w:val="22"/>
          <w:szCs w:val="22"/>
        </w:rPr>
        <w:t xml:space="preserve">11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Montreal, Maine and Atlantic (MMA) Railway was a short-line railway operating in Quebec, Maine, and Vermont. It had approximately 800 kilometres of track and operated freight services including crude oil transport on the Lac-Mégantic subdivision. MMA was acquired by Rail World Inc., a company specialising in acquiring and operating short-line railways.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MMA had received regulatory approval from Transport Canada to operate certain train services with a single locomotive engineer — a one-person crew. This approval was granted on the basis of MMA's Safety Management System (SMS) documentation. The approval applied to services on the Lac-Mégantic subdivision, which included grades and curves that were relevant to the brake calculation question.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Train MMA 002, on the night of 5-6 July 2013, consisted of five locomotives and 72 DOT-111 tank cars loaded with Bakken crude oil. The train was approximately 1.7 kilometres long and weighed approximately 10,287 tonnes. It was operated by a single engineer: Tom Harding.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Tom Harding parked train MMA 002 on the main line at Nantes, Quebec — approximately 11.5 kilometres from the centre of Lac-Mégantic — for his mandatory rest period. He applied handbrakes to the train before leaving. He recorded the number of handbrakes applied in his documentation.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While the train was parked unattended, a fire broke out on the lead locomotive (locomotive 5017). The Nantes fire department was called. They arrived and extinguished the fire. During the fire-fighting operation, the fire department shut down the running engines on the locomotive to reduce the fuel supply to the fire.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MMA night operations manager was contacted about the locomotive fire and attended the scene. He inspected the train after the fire was extinguished and determined it was safe to leave unattended overnight. He did not contact locomotive 5017's manufacturer or MMA's mechanical department about the implications of the engine shutdown for the train's brake system. He left the train at the Nantes site.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lead locomotive (5017) was a self-contained unit with its own diesel engine that powered a compressor feeding the main reservoir air pressure for the train's automatic brake system. When the engines on locomotive 5017 were shut down, the compressor stopped. Air pressure in the main reservoir began to dissipate.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 approximately 00:56 on 6 July 2013, approximately one hour after the fire was extinguished, train MMA 002 began to roll from the Nantes site. No person was present. No alarm was triggered at a dispatch centre. The train accelerated on the grade toward Lac-Mégantic.</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Train MMA 002 entered Lac-Mégantic at an estimated speed of 101 kilometres per hour. The permissible speed limit for that section was 16 kilometres per hour. The train derailed at a curve in the town centre. Sixty-three tank cars derailed. The punctured tank cars ignited almost immediately.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MMA's operational culture included a practice of leaving locomotives running unattended for extended periods. The TSB investigation found that this was an accepted practice within MMA — operating locomotives unattended overnight was routine, not exceptional. The fire on locomotive 5017 occurred in the context of this routine unattended operation.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MMA filed for bankruptcy protection in the United States and Canada shortly after the disaster. Its railway operating certificate was suspended by Transport Canada. The company ultimately ceased operations. The liability it faced from the disaster exceeded its assets.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14507E"/>
          <w:sz w:val="26"/>
          <w:szCs w:val="26"/>
        </w:rPr>
        <w:t xml:space="preserve">Domain 2: Transport Canada Oversight  </w:t>
      </w:r>
      <w:r>
        <w:rPr>
          <w:rFonts w:ascii="Arial" w:cs="Arial" w:eastAsia="Arial" w:hAnsi="Arial"/>
          <w:i/>
          <w:iCs/>
          <w:color w:val="595959"/>
          <w:sz w:val="22"/>
          <w:szCs w:val="22"/>
        </w:rPr>
        <w:t xml:space="preserve">12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Transport Canada is the federal department responsible for railway safety regulation in Canada under the Railway Safety Act. Its mandate includes inspecting railways, enforcing regulations, approving safety management systems, and responding to safety recommendations from the Transportation Safety Board.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Transport Canada approved MMA's Safety Management System (SMS). The SMS model — a self-regulation approach in which railways identify and manage their own safety risks — was the regulatory framework in place at the time. Under SMS, Transport Canada's oversight role shifted from prescriptive rule enforcement to auditing whether railways were following their own safety management plans.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single-person crew exemption: MMA applied for and received approval to operate train services on certain routes with one locomotive engineer rather than two. This exemption was granted by Transport Canada on the basis of MMA's SMS documentation, which included a risk assessment for single-person operations. The approval was documented and specific to certain routes.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Transport Canada had conducted inspections of MMA operations prior to the disaster. The TSB's investigation established that these inspections had identified issues with MMA's compliance in certain areas. The specific findings of these inspections and what follow-up actions Transport Canada took on those findings are documented in Transport Canada's records.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TSB had issued multiple safety recommendations to Transport Canada related to topics directly relevant to the Lac-Mégantic disaster: including recommendations on single-person train operations, on unattended train safety, and on the handling of dangerous goods by train. These recommendations were issued before July 2013. Transport Canada's responses to each recommendation are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As of July 2013, Transport Canada had not fully responded to all outstanding TSB safety recommendations related to single-person train operations and dangerous goods handling. The specific recommendations that had not been fully actioned, and the timeline of Transport Canada's responses, are documented in the TSB recommendation tracking system.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audit culture at Transport Canada: in the years before the disaster, Transport Canada had reduced the number of enforcement actions it took against railways and had placed greater emphasis on industry self-regulation through the SMS framework. This shift in regulatory approach is documented in Transport Canada's own audit reports and in parliamentary committee testimony.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Canadian Pacific Railway had raised concerns with Transport Canada about MMA's braking practices prior to the disaster. CP, which shares track with MMA in certain locations, had observed MMA operational practices and communicated concerns through industry channels. The specific nature of CP's communication to TC and TC's response is relevant to the question of whether TC had received warning signals about MMA's brake practices.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railway safety inspector staffing at Transport Canada: the number of railway safety inspectors employed by Transport Canada, relative to the kilometres of track and volume of dangerous goods traffic they were responsible for overseeing, was a subject of parliamentary scrutiny before and after the disaster. Whether the inspection capacity was adequate to the oversight mandate is documented in parliamentary record.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Transport Canada's response to MMA after the disaster: Transport Canada suspended MMA's railway operating certificate, launched an audit of MMA's safety management system, and commissioned an internal review of its own oversight of MMA prior to the disaster. The internal review's findings have been partially but not fully made public.</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Transport Canada's regulatory framework did not require a second person to be present when a train carrying dangerous goods was left unattended on a grade. The absence of this specific requirement — given the known risk of air brake pressure loss over time — is a documented regulatory gap that the disaster exposed.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Post-disaster, Transport Canada commissioned an audit of its railway safety oversight function. The audit found that the SMS regulatory model as applied had left gaps in oversight and that TC's inspection activities had not been sufficiently risk-based. The audit recommended changes to the inspection prioritisation model. This is a documented finding about TC's own regulatory performance before the disaster.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7B3F00"/>
          <w:sz w:val="26"/>
          <w:szCs w:val="26"/>
        </w:rPr>
        <w:t xml:space="preserve">Domain 3: Oil Classification Records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oil carried on train MMA 002 was Bakken crude oil, sourced from North Dakota. The oil was shipped by World Fuel Services on behalf of Irving Oil. At the time of shipment, the oil was classified by the shipper as a Class 3 Flammable Liquid, Packing Group III — the least hazardous sub-category of flammable liquids under the Transportation of Dangerous Goods Regulations.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Packing Group III designation for flammable liquids applies to materials with a flash point above 23 degrees Celsius and an initial boiling point above 35 degrees Celsius. This classification determines the tank car specification required: Packing Group III permitted the use of DOT-111 (or TC-111A in Canada) tank cars — a specification with thinner steel than higher-hazard categories.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DOT-111 tank cars: the standard specification in use for Packing Group III flammable liquids at the time of the Lac-Mégantic disaster. DOT-111 cars had been criticised in previous accident investigations for their tendency to puncture in derailments. The NTSB in the United States had recommended improvements to DOT-111 specifications as early as 1991 following previous accidents involving hazardous materials.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TSB's investigation found that the Bakken crude oil on MMA 002 was more volatile than its Packing Group III classification indicated. Post-disaster testing of samples of the same oil from the same source showed flash point and vapour pressure characteristics more consistent with Packing Group II classification — a higher hazard category.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specific flash point measurements: samples of Bakken crude from the same batch as carried on MMA 002 were tested post-disaster. The flash point was found to be below 23 degrees Celsius in multiple samples — below the threshold for Packing Group III and within the PG II range. A correctly classified PG II material would have required more robust tank cars than DOT-111.</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classification process at the time of shipment: under the Transportation of Dangerous Goods Regulations, shippers were responsible for classifying their own dangerous goods. Independent verification of classification was not required before shipment. The shipper's classification determination was taken at face value for the purpose of specifying the required tank car type.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volatile nature of Bakken crude had been identified as a concern before the Lac-Mégantic disaster by regulators in the United States. The Pipeline and Hazardous Materials Safety Administration (PHMSA) in the US had been examining Bakken crude transport safety in the period before July 2013. However, regulatory action to reclassify the material had not been taken before the disaster.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tank car puncture rate: DOT-111 tank cars had a known rate of puncturing in derailments. The NTSB had documented this in multiple accident investigations. The puncture of DOT-111 cars in a derailment is what causes the release of the hazardous material — without puncture, even a derailment may not produce a fire. The use of DOT-111 cars for the most volatile Bakken crude, given the known puncture rate, was a compounded risk.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Post-disaster regulatory action on oil classification: Transport Canada and US regulators issued emergency orders requiring enhanced testing of crude oil to ensure correct classification before shipment. The systematic under-classification of Bakken crude was identified as an industry-wide problem, not unique to the MMA shipment. Multiple shippers had been using PG III classification for oil with PG II characteristics.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tank car replacement programme: following Lac-Mégantic and subsequent US crude-by-rail accidents, both Canada and the United States initiated programmes to phase out DOT-111 tank cars for flammable liquids and require the more robust DOT-117 (or TC-117 in Canada) specification. The replacement timeline was phased over several years. The programme is documented and ongoing.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2E7D32"/>
          <w:sz w:val="26"/>
          <w:szCs w:val="26"/>
        </w:rPr>
        <w:t xml:space="preserve">Domain 4: Brake System Engineering  </w:t>
      </w:r>
      <w:r>
        <w:rPr>
          <w:rFonts w:ascii="Arial" w:cs="Arial" w:eastAsia="Arial" w:hAnsi="Arial"/>
          <w:i/>
          <w:iCs/>
          <w:color w:val="595959"/>
          <w:sz w:val="22"/>
          <w:szCs w:val="22"/>
        </w:rPr>
        <w:t xml:space="preserve">11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Railway braking systems on freight trains use two independent mechanisms: automatic air brakes (which apply when air pressure is present and release when it drops — a fail-safe design for in-motion emergencies) and hand-applied handbrakes (mechanical, independent of air pressure, used to secure a stationary train). These are separate, independent systems.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When a locomotive's engines are running, an engine-driven compressor maintains air pressure in the train's main reservoir and brake pipe. This air pressure, when released in a controlled way, applies the automatic brakes. When the engines are shut down, the compressor stops and main reservoir pressure begins to dissipate over time.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When main reservoir pressure drops below a threshold, the automatic brakes apply automatically — this is the fail-safe design. However, a standing train secured only by automatic brakes and not by handbrakes is not truly secured: as the air pressure continues to bleed from the system over hours, the automatic brakes eventually release, leaving only whatever handbrakes have been applied.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number of handbrakes required to secure a specific train on a specific grade is a calculation based on the train's weight and the grade percentage. MMA's operating rules required that a minimum number of handbrakes be applied when leaving a train unattended. For train MMA 002 on the Nantes grade, this minimum was established as part of MMA's operating procedures.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Tom Harding recorded applying handbrakes to train MMA 002 before leaving it at Nantes. The number he recorded applying and the number the TSB investigation determined were actually applied and effective were a subject of the investigation. The TSB's analysis of the handbrake application is documented in the investigation report.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TSB's investigation finding on handbrakes: the investigation found that the number of handbrakes actually applied to MMA 002 was insufficient to hold the train on the grade at Nantes once the automatic air brakes had released. The specific findings about the number applied and the number required are in the TSB report.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sequence after the engine shutdown: locomotive 5017's engines were shut down at approximately 23:50 on 5 July. The compressor stopped. Air pressure in the main reservoir began to drop. The automatic brakes applied. Over the approximately 65 minutes that followed, air pressure continued to bleed from the system. By approximately 00:50, the automatic brakes had released sufficiently for the handbrakes alone to hold the train — and the handbrakes were insufficient.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Nantes fire department was not aware of the relationship between locomotive engine shutdown, air brake pressure, and the potential for an unattended train to roll. The firefighters' action of shutting down the locomotive engines — logical from a fire suppression perspective — had consequences for the train's brake system that were not known to them and were not communicated to them by MMA.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MMA's operating rules for leaving trains unattended: the rules specified a minimum number of handbrakes but did not include explicit procedures for the scenario of a locomotive being shut down by third parties — specifically, the fire department — after the handbrakes had been applied. This gap in the operating rules is documented in the investigation.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grade at Nantes: the track on which MMA 002 was parked was on a grade sloping toward Lac-Mégantic. The specific grade percentage and its relevance to the handbrake calculation is documented in the TSB investigation. The choice to park the train on this specific location on the grade was within MMA's operational practices at the time.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Canadian Pacific Railway had previously raised concerns with Transport Canada about MMA's handbrake practices. CP, which operates on adjacent trackage, had observed MMA's practices for securing unattended trains and communicated concerns through industry channels prior to July 2013. The specific nature of CP's communication and TC's documented response are relevant to whether TC had prior warning about this specific risk.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6C3483"/>
          <w:sz w:val="26"/>
          <w:szCs w:val="26"/>
        </w:rPr>
        <w:t xml:space="preserve">Domain 5: Prior Incidents and Safety Recommendations  </w:t>
      </w:r>
      <w:r>
        <w:rPr>
          <w:rFonts w:ascii="Arial" w:cs="Arial" w:eastAsia="Arial" w:hAnsi="Arial"/>
          <w:i/>
          <w:iCs/>
          <w:color w:val="595959"/>
          <w:sz w:val="22"/>
          <w:szCs w:val="22"/>
        </w:rPr>
        <w:t xml:space="preserve">11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Transportation Safety Board of Canada is an independent body that investigates transportation accidents and issues safety recommendations. It does not have enforcement authority — it investigates and recommends; Transport Canada and other entities decide whether and how to act on recommendations. This separation of investigation and enforcement is structurally significant.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TSB Safety Recommendation R09-05 (2009): the TSB recommended that Transport Canada require railways to have defence in depth for preventing runaways — specifically that unattended trains be secured by means that do not rely solely on air brake pressure that can dissipate over time. This recommendation directly addresses the mechanism of the Lac-Mégantic disaster and predates it by four years.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Transport Canada's response to TSB R09-05: TC responded to this recommendation. Its response acknowledged the safety concern. Its assessment of what action to take and when is documented in the TSB's recommendation tracking system. The TSB's assessment of TC's response — whether it was satisfactory — is also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TSB Safety Recommendation R12-01 (2012): the TSB recommended that Transport Canada take steps to ensure that safety risk assessments for new and amended operating rules involving single-person or two-person train operations are completed before the changes are implemented. This recommendation directly relates to the single-person crew approval granted to MMA.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Transport Canada's response to TSB R12-01: TC's response to this recommendation about single-person crew safety assessments and its timing relative to MMA's single-crew approval are documented. Whether TC had completed a satisfactory risk assessment for MMA's specific route and operation before granting the single-crew approval is addressed in the TSB investigation.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Prior runaway incidents in Canadian railway history: there were documented incidents of uncontrolled train movements in Canada in the years before Lac-Mégantic, some involving dangerous goods. These incidents produced TSB investigation reports and safety recommendations. The pattern of recommendations on runaway prevention predating Lac-Mégantic is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MMA's prior incident history: MMA had prior incidents in its operating history that were investigated by the TSB and/or by Transport Canada. These incidents, their causes, and the regulatory responses to them form part of the picture of MMA's safety record before the disaster. The TSB's investigation considered MMA's incident history as part of its safety management system assessment.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industry-wide picture of runaway incidents: Transport Canada had access to data on runaway incidents across the Canadian railway industry. Whether this aggregate data was used to inform risk-based inspection priorities — and whether MMA's operations would have been flagged as higher risk based on this data — is a question about TC's use of its own information.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NTSB's prior recommendations on DOT-111 tank cars: the US National Transportation Safety Board had recommended improvements to DOT-111 specifications following accidents in the United States dating back to the 1990s. These recommendations were directed at US regulators but were available to Transport Canada. TC's awareness of the DOT-111 vulnerability and its regulatory response before Lac-Mégantic is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2012 rail safety review: in 2012, Transport Canada conducted a review of railway safety regulation in Canada following industry concerns. The review produced findings about the effectiveness of the SMS model and the adequacy of TC's oversight capacity. These findings were available internally to TC before the Lac-Mégantic disaster.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number of outstanding TSB recommendations to Transport Canada as of July 2013: the TSB's database of outstanding recommendations — including those on single-person train operations, dangerous goods safety, and runaway prevention — included multiple recommendations that had not been fully acted upon as of the date of the Lac-Mégantic disaster. The full list and the status of each is publicly available in the TSB recommendation tracking system.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3E2723"/>
          <w:sz w:val="26"/>
          <w:szCs w:val="26"/>
        </w:rPr>
        <w:t xml:space="preserve">Domain 6: Post-Disaster Investigation  </w:t>
      </w:r>
      <w:r>
        <w:rPr>
          <w:rFonts w:ascii="Arial" w:cs="Arial" w:eastAsia="Arial" w:hAnsi="Arial"/>
          <w:i/>
          <w:iCs/>
          <w:color w:val="595959"/>
          <w:sz w:val="22"/>
          <w:szCs w:val="22"/>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Transportation Safety Board of Canada investigation into the Lac-Mégantic disaster was completed and the report published in August 2014. The report identified 18 contributing factors across multiple domains: MMA's operating practices, Transport Canada's oversight, the oil classification, the tank car specifications, and the regulatory framework. No single factor was identified as solely responsible.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TSB report's regulatory findings: the report specifically found that Transport Canada's oversight of MMA had been insufficient. The report identified gaps in TC's audit programme, in its response to prior TSB recommendations, and in the regulatory framework that permitted single-person operations on trains carrying dangerous goods without additional safeguards.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criminal proceedings: three MMA employees were charged with criminal negligence causing death — Tom Harding (the engineer who parked the train), Richard Labrie (the MMA night operations manager who inspected the train after the fire), and Jean Demaître (MMA's train dispatcher). The trial took place in 2017 in Sherbrooke, Quebec.</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criminal acquittals: all three defendants were acquitted on 19 January 2018. The jury found that the Crown had not proven beyond a reasonable doubt that any of the three had shown wanton or reckless disregard for others' safety. The acquittals were controversial — 47 people had died and no individual had been convicted. The prosecution of employees rather than the organisation was criticised.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Post-disaster regulatory reforms implemented by Transport Canada: TC implemented a series of regulatory changes following the disaster, including: requirements for unattended train securement with multiple independent barriers; restrictions on parking dangerous goods trains on certain grades; enhanced crude oil classification requirements; and accelerated replacement of DOT-111 tank cars. Each reform is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ongoing question of what TC knew before the disaster: TC's internal records — inspection reports, correspondence about MMA's compliance, records of its responses to prior TSB recommendations — were the subject of Access to Information requests by journalists and researchers after the disaster. The picture of TC's pre-disaster knowledge that emerged from disclosed records has been reported and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remaining regulatory questions: the TSB's 18 contributing factors framework means that addressing one or two factors does not resolve the systemic question. Whether the post-disaster reforms addressed the complete set of systemic conditions that produced the disaster — or whether they addressed the proximate factors while leaving deeper systemic issues — is a question that has been raised by railway safety researchers.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class action settlement: the victims of the Lac-Mégantic disaster and their families reached a global settlement in 2014-2015 with multiple parties including World Fuel Services, Irving Oil, and other defendants. The settlement amounts and their allocation are documented. The settlements resolved civil liability but did not address the regulatory accountability question.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Lac-Mégantic Railway Association's ongoing advocacy: the town of Lac-Mégantic and advocacy groups representing survivors and victims' families have continued to push for accountability beyond the civil settlements and the failed criminal prosecution. Their specific concerns about what TC knew and failed to act on have been raised in parliamentary hearings and are documented in Hansard.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pStyle w:val="Heading1"/>
        <w:spacing w:after="160" w:before="0"/>
      </w:pPr>
      <w:r>
        <w:rPr>
          <w:rFonts w:ascii="Arial" w:cs="Arial" w:eastAsia="Arial" w:hAnsi="Arial"/>
          <w:b/>
          <w:bCs/>
          <w:color w:val="4A1A00"/>
          <w:sz w:val="34"/>
          <w:szCs w:val="34"/>
        </w:rPr>
        <w:t xml:space="preserve">Step 4 — Register These Contradictions</w:t>
      </w:r>
    </w:p>
    <w:p>
      <w:pPr>
        <w:pBdr>
          <w:bottom w:val="single" w:color="4A1A00" w:sz="4" w:space="1"/>
        </w:pBdr>
        <w:spacing w:after="200"/>
      </w:pPr>
      <w:r>
        <w:t xml:space="preserve"/>
      </w:r>
    </w:p>
    <w:p>
      <w:pPr>
        <w:pBdr>
          <w:left w:val="single" w:color="4A1A00" w:sz="14" w:space="8"/>
        </w:pBdr>
        <w:spacing w:after="160"/>
        <w:ind w:left="360"/>
      </w:pPr>
      <w:r>
        <w:rPr>
          <w:rFonts w:ascii="Arial" w:cs="Arial" w:eastAsia="Arial" w:hAnsi="Arial"/>
          <w:b/>
          <w:bCs/>
          <w:color w:val="4A1A00"/>
          <w:sz w:val="22"/>
          <w:szCs w:val="22"/>
        </w:rPr>
        <w:t xml:space="preserve">Contradiction 1:  </w:t>
      </w:r>
      <w:r>
        <w:rPr>
          <w:rFonts w:ascii="Arial" w:cs="Arial" w:eastAsia="Arial" w:hAnsi="Arial"/>
          <w:color w:val="000000"/>
          <w:sz w:val="22"/>
          <w:szCs w:val="22"/>
        </w:rPr>
        <w:t xml:space="preserve">Signal TC03 (Transport Canada approved MMA's single-crew exemption based on MMA's SMS risk assessment) vs Signal PRIOR04 (TSB R12-01 recommended that TC ensure safety risk assessments for single-person operations are completed before implementation). If TC had completed a satisfactory risk assessment for MMA's specific route before granting the exemption, R12-01 should not have applied. If R12-01 was outstanding and un-actioned at the time of the approval, TC approved the exemption without the safeguard the TSB had recommended. Register TC03 against PRIOR04.</w:t>
      </w:r>
    </w:p>
    <w:p>
      <w:pPr>
        <w:spacing w:after="160"/>
      </w:pPr>
      <w:r>
        <w:t xml:space="preserve"/>
      </w:r>
    </w:p>
    <w:p>
      <w:pPr>
        <w:pBdr>
          <w:left w:val="single" w:color="4A1A00" w:sz="14" w:space="8"/>
        </w:pBdr>
        <w:spacing w:after="160"/>
        <w:ind w:left="360"/>
      </w:pPr>
      <w:r>
        <w:rPr>
          <w:rFonts w:ascii="Arial" w:cs="Arial" w:eastAsia="Arial" w:hAnsi="Arial"/>
          <w:b/>
          <w:bCs/>
          <w:color w:val="4A1A00"/>
          <w:sz w:val="22"/>
          <w:szCs w:val="22"/>
        </w:rPr>
        <w:t xml:space="preserve">Contradiction 2:  </w:t>
      </w:r>
      <w:r>
        <w:rPr>
          <w:rFonts w:ascii="Arial" w:cs="Arial" w:eastAsia="Arial" w:hAnsi="Arial"/>
          <w:color w:val="000000"/>
          <w:sz w:val="22"/>
          <w:szCs w:val="22"/>
        </w:rPr>
        <w:t xml:space="preserve">Signal OIL04 (the Bakken crude on MMA 002 was more volatile than its PG III classification — post-disaster testing showed PG II characteristics) vs Signal OIL06 (the classification process required no independent verification). The shipper classified the material. The classification determined the tank car specification. If the classification was wrong — which the post-disaster testing suggests — the wrong tank cars were used. But no mechanism existed to catch this before shipment. Register OIL04 against OIL06.</w:t>
      </w:r>
    </w:p>
    <w:p>
      <w:pPr>
        <w:spacing w:after="160"/>
      </w:pPr>
      <w:r>
        <w:t xml:space="preserve"/>
      </w:r>
    </w:p>
    <w:p>
      <w:pPr>
        <w:pBdr>
          <w:left w:val="single" w:color="4A1A00" w:sz="14" w:space="8"/>
        </w:pBdr>
        <w:spacing w:after="160"/>
        <w:ind w:left="360"/>
      </w:pPr>
      <w:r>
        <w:rPr>
          <w:rFonts w:ascii="Arial" w:cs="Arial" w:eastAsia="Arial" w:hAnsi="Arial"/>
          <w:b/>
          <w:bCs/>
          <w:color w:val="4A1A00"/>
          <w:sz w:val="22"/>
          <w:szCs w:val="22"/>
        </w:rPr>
        <w:t xml:space="preserve">Contradiction 3:  </w:t>
      </w:r>
      <w:r>
        <w:rPr>
          <w:rFonts w:ascii="Arial" w:cs="Arial" w:eastAsia="Arial" w:hAnsi="Arial"/>
          <w:color w:val="000000"/>
          <w:sz w:val="22"/>
          <w:szCs w:val="22"/>
        </w:rPr>
        <w:t xml:space="preserve">Signal PRIOR02 (TSB R09-05 recommended railway defences against runaways not relying solely on air brake pressure — issued 2009) vs Signal TC06 (as of July 2013, TC had not fully responded to all outstanding TSB recommendations on single-person train operations and dangerous goods). The mechanism of the Lac-Mégantic disaster — air pressure dissipation from handbrakes following engine shutdown — is precisely the mechanism R09-05 addressed four years earlier. Register PRIOR02 against TC06.</w:t>
      </w:r>
    </w:p>
    <w:p>
      <w:pPr>
        <w:spacing w:after="160"/>
      </w:pPr>
      <w:r>
        <w:t xml:space="preserve"/>
      </w:r>
    </w:p>
    <w:p>
      <w:pPr>
        <w:pBdr>
          <w:left w:val="single" w:color="4A1A00" w:sz="14" w:space="8"/>
        </w:pBdr>
        <w:spacing w:after="160"/>
        <w:ind w:left="360"/>
      </w:pPr>
      <w:r>
        <w:rPr>
          <w:rFonts w:ascii="Arial" w:cs="Arial" w:eastAsia="Arial" w:hAnsi="Arial"/>
          <w:b/>
          <w:bCs/>
          <w:color w:val="4A1A00"/>
          <w:sz w:val="22"/>
          <w:szCs w:val="22"/>
        </w:rPr>
        <w:t xml:space="preserve">Contradiction 4:  </w:t>
      </w:r>
      <w:r>
        <w:rPr>
          <w:rFonts w:ascii="Arial" w:cs="Arial" w:eastAsia="Arial" w:hAnsi="Arial"/>
          <w:color w:val="000000"/>
          <w:sz w:val="22"/>
          <w:szCs w:val="22"/>
        </w:rPr>
        <w:t xml:space="preserve">Signal BRK08 (the Nantes fire department was not aware that shutting down the locomotive engines would affect the train's braking system) vs Signal MMA06 (the MMA night operations manager inspected the train after the fire and determined it was safe to leave unattended). Either the night operations manager knew about the air pressure implications and assessed them as acceptable, or he did not know about them. Neither option is consistent with a satisfactory safety management system assessment. Register MMA06 against BRK08.</w:t>
      </w:r>
    </w:p>
    <w:p>
      <w:pPr>
        <w:spacing w:after="160"/>
      </w:pPr>
      <w:r>
        <w:t xml:space="preserve"/>
      </w:r>
    </w:p>
    <w:p>
      <w:pPr>
        <w:pStyle w:val="Heading1"/>
        <w:spacing w:after="160" w:before="0"/>
      </w:pPr>
      <w:r>
        <w:rPr>
          <w:rFonts w:ascii="Arial" w:cs="Arial" w:eastAsia="Arial" w:hAnsi="Arial"/>
          <w:b/>
          <w:bCs/>
          <w:color w:val="4A1A00"/>
          <w:sz w:val="34"/>
          <w:szCs w:val="34"/>
        </w:rPr>
        <w:t xml:space="preserve">Step 5 — What CIS Should Have Done Automatically</w:t>
      </w:r>
    </w:p>
    <w:p>
      <w:pPr>
        <w:pBdr>
          <w:bottom w:val="single" w:color="4A1A00"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Transport Canada Oversight, Prior Incidents and Safety Recommendations, and Brake System Engineering around the outstanding TSB recommendations that directly addressed the mechanism of the disaster.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Oil Classification domain (PG III classification, DOT-111 tank cars) not connected to the Brake System Engineering domain (tank car puncture in derailment) without cross-domain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Canadian Pacific Railway's concerns about MMA's braking practices (BRK11) communicated to Transport Canada — sitting in the TC Oversight domain — not connected to the Brake Engineering domain or the Prior Incidents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the SMS self-regulation model (TC02) applied as the oversight framework — the explanation that regulation was adequate because MMA had a documented SMS — displaced investigation of whether TC's inspection actually verified that MMA's SMS was functioning.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LP-6 flag: the outstanding TSB recommendations (PRIOR02, PRIOR04) predating the disaster by 4 and 1 years respectively — their significance as pre-existing warnings was not escalated within the regulatory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LP-5 flag: the 18 contributing factors identified by the TSB — each one individually addressable, collectively describing a systemic condition that no single factor alone explains.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four contradictions shown as unresolved in the Contradiction Ledger.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1"/>
        <w:spacing w:after="160" w:before="0"/>
      </w:pPr>
      <w:r>
        <w:rPr>
          <w:rFonts w:ascii="Arial" w:cs="Arial" w:eastAsia="Arial" w:hAnsi="Arial"/>
          <w:b/>
          <w:bCs/>
          <w:color w:val="4A1A00"/>
          <w:sz w:val="34"/>
          <w:szCs w:val="34"/>
        </w:rPr>
        <w:t xml:space="preserve">Competing Hypotheses — Record After Briefing</w:t>
      </w:r>
    </w:p>
    <w:p>
      <w:pPr>
        <w:pBdr>
          <w:bottom w:val="single" w:color="4A1A00" w:sz="4" w:space="1"/>
        </w:pBdr>
        <w:spacing w:after="200"/>
      </w:pPr>
      <w:r>
        <w:t xml:space="preserve"/>
      </w:r>
    </w:p>
    <w:p>
      <w:pPr>
        <w:pBdr>
          <w:left w:val="single" w:color="4A1A00" w:sz="14" w:space="8"/>
        </w:pBdr>
        <w:spacing w:after="140"/>
        <w:ind w:left="360"/>
      </w:pPr>
      <w:r>
        <w:rPr>
          <w:rFonts w:ascii="Arial" w:cs="Arial" w:eastAsia="Arial" w:hAnsi="Arial"/>
          <w:b/>
          <w:bCs/>
          <w:color w:val="4A1A00"/>
          <w:sz w:val="22"/>
          <w:szCs w:val="22"/>
        </w:rPr>
        <w:t xml:space="preserve">H1 — Implementation failure within a sound regulatory model:  </w:t>
      </w:r>
      <w:r>
        <w:rPr>
          <w:rFonts w:ascii="Arial" w:cs="Arial" w:eastAsia="Arial" w:hAnsi="Arial"/>
          <w:color w:val="000000"/>
          <w:sz w:val="22"/>
          <w:szCs w:val="22"/>
        </w:rPr>
        <w:t xml:space="preserve">The SMS framework is conceptually sound. TC's application of it to MMA was inadequate — insufficient inspection, insufficient follow-up on TSB recommendations. The disaster was a failure of regulatory implementation, not of regulatory design. This is the position closest to the official post-disaster narrative.</w:t>
      </w:r>
    </w:p>
    <w:p>
      <w:pPr>
        <w:pBdr>
          <w:left w:val="single" w:color="4A1A00" w:sz="14" w:space="8"/>
        </w:pBdr>
        <w:spacing w:after="140"/>
        <w:ind w:left="360"/>
      </w:pPr>
      <w:r>
        <w:rPr>
          <w:rFonts w:ascii="Arial" w:cs="Arial" w:eastAsia="Arial" w:hAnsi="Arial"/>
          <w:b/>
          <w:bCs/>
          <w:color w:val="4A1A00"/>
          <w:sz w:val="22"/>
          <w:szCs w:val="22"/>
        </w:rPr>
        <w:t xml:space="preserve">H2 — Systemic regulatory model failure:  </w:t>
      </w:r>
      <w:r>
        <w:rPr>
          <w:rFonts w:ascii="Arial" w:cs="Arial" w:eastAsia="Arial" w:hAnsi="Arial"/>
          <w:color w:val="000000"/>
          <w:sz w:val="22"/>
          <w:szCs w:val="22"/>
        </w:rPr>
        <w:t xml:space="preserve">The SMS self-regulation model as designed is structurally inadequate for high-consequence operations involving dangerous goods. It relies on railways to identify and manage their own most significant risks — which creates an inherent conflict of interest. The Lac-Mégantic disaster was predictable from the model's architecture, not from a specific implementation error.</w:t>
      </w:r>
    </w:p>
    <w:p>
      <w:pPr>
        <w:pBdr>
          <w:left w:val="single" w:color="4A1A00" w:sz="14" w:space="8"/>
        </w:pBdr>
        <w:spacing w:after="140"/>
        <w:ind w:left="360"/>
      </w:pPr>
      <w:r>
        <w:rPr>
          <w:rFonts w:ascii="Arial" w:cs="Arial" w:eastAsia="Arial" w:hAnsi="Arial"/>
          <w:b/>
          <w:bCs/>
          <w:color w:val="4A1A00"/>
          <w:sz w:val="22"/>
          <w:szCs w:val="22"/>
        </w:rPr>
        <w:t xml:space="preserve">H3 — Institutional capture:  </w:t>
      </w:r>
      <w:r>
        <w:rPr>
          <w:rFonts w:ascii="Arial" w:cs="Arial" w:eastAsia="Arial" w:hAnsi="Arial"/>
          <w:color w:val="000000"/>
          <w:sz w:val="22"/>
          <w:szCs w:val="22"/>
        </w:rPr>
        <w:t xml:space="preserve">TC's shift from prescriptive enforcement to SMS-based self-regulation reflected industry lobbying for reduced regulatory burden. The regulatory environment TC created served industry interests in a way that reduced safety oversight below the level that the risk profile of crude-by-rail operations required. This is not an implementation failure or a model failure — it is an institutional alignment failure.</w:t>
      </w:r>
    </w:p>
    <w:p>
      <w:pPr>
        <w:pBdr>
          <w:left w:val="single" w:color="4A1A00" w:sz="14" w:space="8"/>
        </w:pBdr>
        <w:spacing w:after="140"/>
        <w:ind w:left="360"/>
      </w:pPr>
      <w:r>
        <w:rPr>
          <w:rFonts w:ascii="Arial" w:cs="Arial" w:eastAsia="Arial" w:hAnsi="Arial"/>
          <w:b/>
          <w:bCs/>
          <w:color w:val="4A1A00"/>
          <w:sz w:val="22"/>
          <w:szCs w:val="22"/>
        </w:rPr>
        <w:t xml:space="preserve">H4 — Multiple compounding failures with no single point of responsibility:  </w:t>
      </w:r>
      <w:r>
        <w:rPr>
          <w:rFonts w:ascii="Arial" w:cs="Arial" w:eastAsia="Arial" w:hAnsi="Arial"/>
          <w:color w:val="000000"/>
          <w:sz w:val="22"/>
          <w:szCs w:val="22"/>
        </w:rPr>
        <w:t xml:space="preserve">The 18 contributing factors identified by the TSB represent 18 independent failures that each needed to occur for the disaster to happen. No single actor caused the disaster. This is why the criminal prosecution failed — no single defendant's actions alone were sufficient. The disaster required all 18 factors to align, which means no single actor could have prevented it alone but collectively the system failed.</w:t>
      </w:r>
    </w:p>
    <w:p>
      <w:pPr>
        <w:spacing w:after="160"/>
      </w:pPr>
      <w:r>
        <w:t xml:space="preserve"/>
      </w:r>
    </w:p>
    <w:p>
      <w:pPr>
        <w:pStyle w:val="Heading1"/>
        <w:spacing w:after="160" w:before="0"/>
      </w:pPr>
      <w:r>
        <w:rPr>
          <w:rFonts w:ascii="Arial" w:cs="Arial" w:eastAsia="Arial" w:hAnsi="Arial"/>
          <w:b/>
          <w:bCs/>
          <w:color w:val="4A1A00"/>
          <w:sz w:val="34"/>
          <w:szCs w:val="34"/>
        </w:rPr>
        <w:t xml:space="preserve">Open Questions</w:t>
      </w:r>
    </w:p>
    <w:p>
      <w:pPr>
        <w:pBdr>
          <w:bottom w:val="single" w:color="4A1A00" w:sz="4" w:space="1"/>
        </w:pBdr>
        <w:spacing w:after="200"/>
      </w:pPr>
      <w:r>
        <w:t xml:space="preserve"/>
      </w:r>
    </w:p>
    <w:p>
      <w:pPr>
        <w:pStyle w:val="ListParagraph"/>
        <w:numPr>
          <w:ilvl w:val="0"/>
          <w:numId w:val="3"/>
        </w:numPr>
        <w:spacing w:after="120"/>
      </w:pPr>
      <w:r>
        <w:rPr>
          <w:rFonts w:ascii="Arial" w:cs="Arial" w:eastAsia="Arial" w:hAnsi="Arial"/>
          <w:color w:val="000000"/>
          <w:sz w:val="22"/>
          <w:szCs w:val="22"/>
        </w:rPr>
        <w:t xml:space="preserve">What specific actions did Transport Canada take in response to TSB R09-05 (runaway prevention) and R12-01 (single-person crew risk assessments) before July 2013, and were those actions adequate?</w:t>
      </w:r>
    </w:p>
    <w:p>
      <w:pPr>
        <w:pStyle w:val="ListParagraph"/>
        <w:numPr>
          <w:ilvl w:val="0"/>
          <w:numId w:val="3"/>
        </w:numPr>
        <w:spacing w:after="120"/>
      </w:pPr>
      <w:r>
        <w:rPr>
          <w:rFonts w:ascii="Arial" w:cs="Arial" w:eastAsia="Arial" w:hAnsi="Arial"/>
          <w:color w:val="000000"/>
          <w:sz w:val="22"/>
          <w:szCs w:val="22"/>
        </w:rPr>
        <w:t xml:space="preserve">What did Transport Canada's inspection records of MMA's operations show, and what follow-up actions were taken on any deficiencies identified?</w:t>
      </w:r>
    </w:p>
    <w:p>
      <w:pPr>
        <w:pStyle w:val="ListParagraph"/>
        <w:numPr>
          <w:ilvl w:val="0"/>
          <w:numId w:val="3"/>
        </w:numPr>
        <w:spacing w:after="120"/>
      </w:pPr>
      <w:r>
        <w:rPr>
          <w:rFonts w:ascii="Arial" w:cs="Arial" w:eastAsia="Arial" w:hAnsi="Arial"/>
          <w:color w:val="000000"/>
          <w:sz w:val="22"/>
          <w:szCs w:val="22"/>
        </w:rPr>
        <w:t xml:space="preserve">What specifically did Canadian Pacific communicate to Transport Canada about MMA's braking practices, and what was TC's documented response?</w:t>
      </w:r>
    </w:p>
    <w:p>
      <w:pPr>
        <w:pStyle w:val="ListParagraph"/>
        <w:numPr>
          <w:ilvl w:val="0"/>
          <w:numId w:val="3"/>
        </w:numPr>
        <w:spacing w:after="120"/>
      </w:pPr>
      <w:r>
        <w:rPr>
          <w:rFonts w:ascii="Arial" w:cs="Arial" w:eastAsia="Arial" w:hAnsi="Arial"/>
          <w:color w:val="000000"/>
          <w:sz w:val="22"/>
          <w:szCs w:val="22"/>
        </w:rPr>
        <w:t xml:space="preserve">Was the oil classification of the Bakken crude on MMA 002 known to be potentially problematic before the disaster — given that US regulators were examining Bakken crude volatility — and did TC have access to this information?</w:t>
      </w:r>
    </w:p>
    <w:p>
      <w:pPr>
        <w:pStyle w:val="ListParagraph"/>
        <w:numPr>
          <w:ilvl w:val="0"/>
          <w:numId w:val="3"/>
        </w:numPr>
        <w:spacing w:after="120"/>
      </w:pPr>
      <w:r>
        <w:rPr>
          <w:rFonts w:ascii="Arial" w:cs="Arial" w:eastAsia="Arial" w:hAnsi="Arial"/>
          <w:color w:val="000000"/>
          <w:sz w:val="22"/>
          <w:szCs w:val="22"/>
        </w:rPr>
        <w:t xml:space="preserve">The 2012 TC internal safety review: what did it find, and were its findings acted on before the disaster?</w:t>
      </w:r>
    </w:p>
    <w:p>
      <w:pPr>
        <w:pStyle w:val="ListParagraph"/>
        <w:numPr>
          <w:ilvl w:val="0"/>
          <w:numId w:val="3"/>
        </w:numPr>
        <w:spacing w:after="120"/>
      </w:pPr>
      <w:r>
        <w:rPr>
          <w:rFonts w:ascii="Arial" w:cs="Arial" w:eastAsia="Arial" w:hAnsi="Arial"/>
          <w:color w:val="000000"/>
          <w:sz w:val="22"/>
          <w:szCs w:val="22"/>
        </w:rPr>
        <w:t xml:space="preserve">Are the post-disaster regulatory reforms sufficient to prevent a comparable disaster, or do they address the proximate factors while leaving systemic conditions unchanged?</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railway safety engineers who can assess whether the post-disaster reforms fully address the TSB's 18 contributing factors; Access to Information specialists who can identify the full set of TC inspection records and TSB recommendation responses relevant to MMA's pre-disaster oversight; regulatory accountability researchers who can compare the pre- and post-disaster regulatory environments for crude-by-rail operations.</w:t>
      </w:r>
    </w:p>
    <w:p>
      <w:pPr>
        <w:pBdr>
          <w:left w:val="single" w:color="4A1A00" w:sz="14" w:space="8"/>
        </w:pBdr>
        <w:spacing w:after="240"/>
        <w:ind w:left="360"/>
      </w:pPr>
      <w:r>
        <w:rPr>
          <w:rFonts w:ascii="Arial" w:cs="Arial" w:eastAsia="Arial" w:hAnsi="Arial"/>
          <w:b/>
          <w:bCs/>
          <w:color w:val="4A1A00"/>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1"/>
        <w:spacing w:after="160" w:before="0"/>
      </w:pPr>
      <w:r>
        <w:rPr>
          <w:rFonts w:ascii="Arial" w:cs="Arial" w:eastAsia="Arial" w:hAnsi="Arial"/>
          <w:b/>
          <w:bCs/>
          <w:color w:val="4A1A00"/>
          <w:sz w:val="34"/>
          <w:szCs w:val="34"/>
        </w:rPr>
        <w:t xml:space="preserve">Signal Record</w:t>
      </w:r>
    </w:p>
    <w:p>
      <w:pPr>
        <w:pBdr>
          <w:bottom w:val="single" w:color="4A1A00" w:sz="4" w:space="1"/>
        </w:pBdr>
        <w:spacing w:after="200"/>
      </w:pPr>
      <w:r>
        <w:t xml:space="preserve"/>
      </w:r>
    </w:p>
    <w:p>
      <w:pPr>
        <w:spacing w:after="160" w:line="276"/>
      </w:pPr>
      <w:r>
        <w:rPr>
          <w:rFonts w:ascii="Arial" w:cs="Arial" w:eastAsia="Arial" w:hAnsi="Arial"/>
          <w:color w:val="000000"/>
          <w:sz w:val="22"/>
          <w:szCs w:val="22"/>
        </w:rPr>
        <w:t xml:space="preserve">Record the SI score and admission decision for every signal submitted.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000"/>
        <w:gridCol w:w="2000"/>
        <w:gridCol w:w="2280"/>
      </w:tblGrid>
      <w:tr>
        <w:tc>
          <w:tcPr>
            <w:tcW w:type="dxa" w:w="68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4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SUMMARY</w:t>
            </w:r>
          </w:p>
        </w:tc>
        <w:tc>
          <w:tcPr>
            <w:tcW w:type="dxa" w:w="20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 SCORE</w:t>
            </w:r>
          </w:p>
        </w:tc>
        <w:tc>
          <w:tcPr>
            <w:tcW w:type="dxa" w:w="200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c>
          <w:tcPr>
            <w:tcW w:type="dxa" w:w="2280"/>
            <w:tcBorders>
              <w:top w:val="single" w:color="999999" w:sz="1"/>
              <w:left w:val="single" w:color="999999" w:sz="1"/>
              <w:bottom w:val="single" w:color="999999" w:sz="1"/>
              <w:right w:val="single" w:color="999999" w:sz="1"/>
            </w:tcBorders>
            <w:shd w:fill="4A1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MMA11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TC12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OIL10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BRK11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PRIOR11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4A1A00"/>
                <w:sz w:val="20"/>
                <w:szCs w:val="20"/>
              </w:rPr>
              <w:t xml:space="preserve">POST09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1A00"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A00" w:sz="4" w:space="4"/>
      </w:pBdr>
    </w:pPr>
    <w:r>
      <w:rPr>
        <w:rFonts w:ascii="Arial" w:cs="Arial" w:eastAsia="Arial" w:hAnsi="Arial"/>
        <w:i/>
        <w:iCs/>
        <w:color w:val="595959"/>
        <w:sz w:val="18"/>
        <w:szCs w:val="18"/>
      </w:rPr>
      <w:t xml:space="preserve">CIS Cold Case  |  Lac-Mégantic — Regulatory Failure Strand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4A1A00"/>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2026-06-11T07:51:34.851Z</dcterms:created>
  <dcterms:modified xsi:type="dcterms:W3CDTF">2026-06-11T07:51:34.868Z</dcterms:modified>
</cp:coreProperties>
</file>

<file path=docProps/custom.xml><?xml version="1.0" encoding="utf-8"?>
<Properties xmlns="http://schemas.openxmlformats.org/officeDocument/2006/custom-properties" xmlns:vt="http://schemas.openxmlformats.org/officeDocument/2006/docPropsVTypes"/>
</file>