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RTT-M Applied Policy — Competing Mechanism Claims</w:t>
            </w:r>
          </w:p>
          <w:p>
            <w:pPr>
              <w:spacing w:before="120"/>
              <w:jc w:val="center"/>
            </w:pPr>
            <w:r>
              <w:rPr>
                <w:rFonts w:ascii="Arial" w:cs="Arial" w:eastAsia="Arial" w:hAnsi="Arial"/>
                <w:b/>
                <w:bCs/>
                <w:i w:val="false"/>
                <w:iCs w:val="false"/>
                <w:color w:val="FFFFFF"/>
                <w:sz w:val="40"/>
                <w:szCs w:val="40"/>
              </w:rPr>
              <w:t xml:space="preserve">Education Policy</w:t>
            </w:r>
          </w:p>
          <w:p>
            <w:pPr>
              <w:spacing w:before="80"/>
              <w:jc w:val="center"/>
            </w:pPr>
            <w:r>
              <w:rPr>
                <w:rFonts w:ascii="Arial" w:cs="Arial" w:eastAsia="Arial" w:hAnsi="Arial"/>
                <w:b w:val="false"/>
                <w:bCs w:val="false"/>
                <w:i w:val="false"/>
                <w:iCs w:val="false"/>
                <w:color w:val="C0D0E0"/>
                <w:sz w:val="24"/>
                <w:szCs w:val="24"/>
              </w:rPr>
              <w:t xml:space="preserve">Applied Policy · 1990–2024</w:t>
            </w:r>
          </w:p>
          <w:p>
            <w:pPr>
              <w:spacing w:before="60"/>
              <w:jc w:val="center"/>
            </w:pPr>
            <w:r>
              <w:rPr>
                <w:rFonts w:ascii="Arial" w:cs="Arial" w:eastAsia="Arial" w:hAnsi="Arial"/>
                <w:b w:val="false"/>
                <w:bCs w:val="false"/>
                <w:i w:val="false"/>
                <w:iCs w:val="false"/>
                <w:color w:val="90A8BC"/>
                <w:sz w:val="20"/>
                <w:szCs w:val="20"/>
              </w:rPr>
              <w:t xml:space="preserve">RTT Programme · RTT-M Applied Policy Domain · Competing Mechanism Claims</w:t>
            </w:r>
          </w:p>
          <w:p>
            <w:pPr>
              <w:spacing w:before="120"/>
              <w:jc w:val="center"/>
            </w:pPr>
            <w:r>
              <w:rPr>
                <w:rFonts w:ascii="Arial" w:cs="Arial" w:eastAsia="Arial" w:hAnsi="Arial"/>
                <w:b/>
                <w:bCs/>
                <w:i w:val="false"/>
                <w:iCs w:val="false"/>
                <w:color w:val="FFD700"/>
                <w:sz w:val="20"/>
                <w:szCs w:val="20"/>
              </w:rPr>
              <w:t xml:space="preserve">47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education problem in the UK and comparable OECD countries is defined as: persistent attainment gaps between socioeconomic groups, flat PISA rankings relative to East Asian high-performers, skills shortages, and adult literacy and numeracy below OECD average. The solution portfolio has alternated between: curriculum reform (phonics, literacy hours), school choice and governance reform (academies, free schools), resource allocation (Pupil Premium), and accountability frameworks (Ofsted, standardised testing). Four competing mechanisms are each evidenced: the resource mechanism (funding determines outcomes); the teaching quality mechanism (teacher skill is the primary school-level determinant); the social capital mechanism (Coleman 1966 — family and community are the primary determinants); and the selection mechanism (school choice drives improvement). High-performing systems (Singapore, South Korea) combine: teacher selection from high-achieving graduates, high teacher social status, structured curriculum, and strong early childhood provision. The UK has not replicated this combination. The strongest UK policy success case (phonics screening check 2012) was mechanism-specific and produced measured improvement. The mechanism-ambiguous solutions (Pupil Premium, academisation) have produced mixed or null results. Early childhood investment (Heckman: highest return on educational investment) has been reduced in real terms since 2010. RTT-M examines the relationship between mechanism clarity, solution alignment, and educational outcomes.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is an RTT-M case (Applied Policy Domain). RTT-M examines how dominant mechanism claims shape solution design and policy outcomes. Enter the problem definition signals, the mechanism claims, the solution designs, and the outcome record raw. Let CIS determine whether the proposed mechanisms are consistent with the observed solutions and whether the solutions are aligned with the stated mechanisms.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Problem Definition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How the education problem is defined: educational attainment gaps (by socioeconomic status, ethnicity), skills shortage, declining basic literacy/numeracy, university cost burden, employer dissatisfaction with graduates, international rankings (PISA)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Mechanism Claim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Competing mechanism claims: the resource mechanism (schools need more funding and better teachers); the curriculum mechanism (what is taught determines outcomes); the social capital mechanism (family and community are the primary educational determinants); the selection mechanism (school choice and competition improve outcomes)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Proposed Solutions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has been implemented: education funding increases, academisation and free schools (UK), No Child Left Behind / Race to the Top (US), literacy and numeracy hours, phonics screening check, PISA ranking focus, tuition fees introduction, T-levels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Mechanism-Solution Alignment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Whether proposed solutions address the stated mechanism: if the mechanism is social capital, does school reform address it? If the mechanism is teaching quality, does curriculum reform address 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Actual PISA rank trajectories, actual attainment gap trends, actual graduate employment outcomes, actual skills shortage measures, actual literacy/numeracy rates over time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Mechanism Claims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Cognitive science and working memory constraints; social media and attention; teacher status and salary as primary quality determinant; early childhood as the multiplier period; parental reading as the primary literacy mechanism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Education Policy — RTT-M Mechanism-Solution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p>
      <w:pPr>
        <w:spacing w:after="60" w:before="60"/>
        <w:jc w:val="left"/>
      </w:pPr>
      <w:r>
        <w:rPr>
          <w:rFonts w:ascii="Arial" w:cs="Arial" w:eastAsia="Arial" w:hAnsi="Arial"/>
          <w:b w:val="false"/>
          <w:bCs w:val="false"/>
          <w:i w:val="false"/>
          <w:iCs w:val="false"/>
          <w:color w:val="000000"/>
          <w:sz w:val="22"/>
          <w:szCs w:val="22"/>
        </w:rPr>
        <w:t xml:space="preserve">How the education problem is defined: educational attainment gaps (by socioeconomic status, ethnicity), skills shortage, declining basic literacy/numeracy, university cost burden, employer dissatisfaction with graduates, international rankings (PISA)</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p>
      <w:pPr>
        <w:spacing w:after="60" w:before="60"/>
        <w:jc w:val="left"/>
      </w:pPr>
      <w:r>
        <w:rPr>
          <w:rFonts w:ascii="Arial" w:cs="Arial" w:eastAsia="Arial" w:hAnsi="Arial"/>
          <w:b w:val="false"/>
          <w:bCs w:val="false"/>
          <w:i w:val="false"/>
          <w:iCs w:val="false"/>
          <w:color w:val="000000"/>
          <w:sz w:val="22"/>
          <w:szCs w:val="22"/>
        </w:rPr>
        <w:t xml:space="preserve">Competing mechanism claims: the resource mechanism (schools need more funding and better teachers); the curriculum mechanism (what is taught determines outcomes); the social capital mechanism (family and community are the primary educational determinants); the selection mechanism (school choice and competition improve outcomes)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p>
      <w:pPr>
        <w:spacing w:after="60" w:before="60"/>
        <w:jc w:val="left"/>
      </w:pPr>
      <w:r>
        <w:rPr>
          <w:rFonts w:ascii="Arial" w:cs="Arial" w:eastAsia="Arial" w:hAnsi="Arial"/>
          <w:b w:val="false"/>
          <w:bCs w:val="false"/>
          <w:i w:val="false"/>
          <w:iCs w:val="false"/>
          <w:color w:val="000000"/>
          <w:sz w:val="22"/>
          <w:szCs w:val="22"/>
        </w:rPr>
        <w:t xml:space="preserve">What has been implemented: education funding increases, academisation and free schools (UK), No Child Left Behind / Race to the Top (US), literacy and numeracy hours, phonics screening check, PISA ranking focus, tuition fees introduction, T-levels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p>
      <w:pPr>
        <w:spacing w:after="60" w:before="60"/>
        <w:jc w:val="left"/>
      </w:pPr>
      <w:r>
        <w:rPr>
          <w:rFonts w:ascii="Arial" w:cs="Arial" w:eastAsia="Arial" w:hAnsi="Arial"/>
          <w:b w:val="false"/>
          <w:bCs w:val="false"/>
          <w:i w:val="false"/>
          <w:iCs w:val="false"/>
          <w:color w:val="000000"/>
          <w:sz w:val="22"/>
          <w:szCs w:val="22"/>
        </w:rPr>
        <w:t xml:space="preserve">Whether proposed solutions address the stated mechanism: if the mechanism is social capital, does school reform address it? If the mechanism is teaching quality, does curriculum reform address it?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p>
      <w:pPr>
        <w:spacing w:after="60" w:before="60"/>
        <w:jc w:val="left"/>
      </w:pPr>
      <w:r>
        <w:rPr>
          <w:rFonts w:ascii="Arial" w:cs="Arial" w:eastAsia="Arial" w:hAnsi="Arial"/>
          <w:b w:val="false"/>
          <w:bCs w:val="false"/>
          <w:i w:val="false"/>
          <w:iCs w:val="false"/>
          <w:color w:val="000000"/>
          <w:sz w:val="22"/>
          <w:szCs w:val="22"/>
        </w:rPr>
        <w:t xml:space="preserve">Actual PISA rank trajectories, actual attainment gap trends, actual graduate employment outcomes, actual skills shortage measures, actual literacy/numeracy rates over time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p>
      <w:pPr>
        <w:spacing w:after="60" w:before="60"/>
        <w:jc w:val="left"/>
      </w:pPr>
      <w:r>
        <w:rPr>
          <w:rFonts w:ascii="Arial" w:cs="Arial" w:eastAsia="Arial" w:hAnsi="Arial"/>
          <w:b w:val="false"/>
          <w:bCs w:val="false"/>
          <w:i w:val="false"/>
          <w:iCs w:val="false"/>
          <w:color w:val="000000"/>
          <w:sz w:val="22"/>
          <w:szCs w:val="22"/>
        </w:rPr>
        <w:t xml:space="preserve">Cognitive science and working memory constraints; social media and attention; teacher status and salary as primary quality determinant; early childhood as the multiplier period; parental reading as the primary literacy mechanism</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Problem Definition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rankings: the UK's PISA rank in reading, maths, and science has been broadly flat to declining relative to OECD average since the PISA programme began (2000); the UK is consistently outperformed by East Asian education systems (Singapore, South Korea, Japan, Shanghai)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rank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attainment gap: pupils from the most deprived quintile perform, on average, 18 months behind their peers from the least deprived quintile by age 16; the attainment gap has not significantly narrowed despite the Pupil Premium (introduced 2011) and successive gap-closing initiatives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Attainment gap persistence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Basic literacy and numeracy: approximately 1 in 5 adults in England are functionally innumerate; approximately 1 in 7 are functionally illiterate; these rates have not significantly changed since measurement began; they represent the floor of the educational outcome distribution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Adult literacy/numeracy rates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Skills shortage: UK employers consistently report difficulty filling roles requiring technical, analytical, and communication skills; the NHS, construction, IT, and engineering sectors report persistent skills shortages; this is defined as an education-to-employment pipeline 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Skills shortage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University tuition fees and debt: English students graduate with an average of £45,000 in debt; the graduate premium (earnings above non-graduate) is falling for many degree subjects; the return on investment of a humanities or arts degree is contested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Student debt and graduate premium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Dominant Mechanism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resource mechanism: more funding means smaller class sizes, better-paid teachers, better facilities, more support staff; the mechanism is that resource adequacy enables better teaching and support; UK school spending per pupil has varied with political cycles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Resource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teaching quality mechanism: the quality of classroom instruction is the primary school-level determinant of pupil outcomes; teacher subject knowledge, pedagogical skill, and feedback quality are the primary variables; the mechanism implies teacher selection, training, and development as the primary lever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Teaching quality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capital mechanism (Coleman Report 1966): family background, parental education, social network, and community norms are the primary determinants of educational attainment; the school effect is relatively small compared to the home effect; the mechanism implies out-of-school interventions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capital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selection mechanism (school choice theory): competition between schools for pupils drives quality improvement; parental choice allows effective market discipline; the mechanism implies that school diversity and choice drive system-wide improvement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School choice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from high-performing systems: East Asian high-performers (Singapore, South Korea) combine: strong initial teacher selection (top graduates), high social status for teachers, structured curriculum, significant private tutoring (outside school mechanism), and cultural emphasis on academic achievement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East Asian system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early childhood multiplier: James Heckman's research demonstrates that investment in early childhood (ages 0-5) has the highest return of any educational investment; the mechanism is that early cognitive and social development is the foundation for all subsequent learning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childhood mechanism</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Proposed Solutions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schools and free schools (UK, from 2010): schools operating outside local authority control; intended to bring school choice and competition mechanism into the maintained sector; the evidence for academy status as a mechanism for improvement is mixed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phonics screening check (UK, 2012): systematic assessment of phonics reading skills at age 6; associated with improvements in reading standards at KS1; an example of a specific mechanism (systematic phonics instruction) aligned with a specific solution (phonics curriculum)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screening check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literacy hour and numeracy hour (UK, 1998-2003): dedicated daily time for structured literacy and numeracy teaching; associated with improvements in primary school standards; aligned with the curriculum quality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1998–2003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Literacy and numeracy hours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 (UK, from 2011): additional funding for disadvantaged pupils; schools can use it for any purpose; evidence on its effectiveness at closing the attainment gap is mixed; schools spend it on varied interventions with varied evidence bases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Child Left Behind (US, 2001) and Race to the Top (2009): US federal education reform; NCLB introduced standardised testing and accountability; evidence for impact on long-term outcomes is mixed; test score improvement did not translate to PISA improvement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US federal education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T-levels (UK, from 2020): technical qualifications as alternatives to A-levels; intended to address the skills shortage mechanism; uptake has been lower than projected; the mechanism (vocational route to employment) is correct but implementation has been slow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T-levels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Mechanism-Solution Alignment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the primary mechanism is social capital (family and community are the primary educational determinants), school reform of any type — curriculum, choice, funding — addresses approximately 20-30% of the causal mechanism; the majority of the mechanism is outside the school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School reform addresses minor mechanism share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instruction mechanism alignment: the mechanism (children learn to read through phonics decoding, not whole-word recognition) is specific; systematic phonics instruction is directly mechanism-aligned; the evidence base is strong; the phonics screening check measures the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alignment positive case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mechanism misalignment: if the mechanism is teaching quality, academy status (a governance change) does not directly address it; academisation without teacher quality improvement is a structural change without mechanism alignment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Academisation mechanism alignment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 allocation ambiguity: Pupil Premium gives schools money and discretion; if different schools spend it on different things with different evidence bases, the mechanism-solution alignment is inconsistent across schools; the mechanism of closing the attainment gap requires specific interventions, not general funding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 mechanism ambiguity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childhood mechanism and solution gap: Heckman's research implies that the highest-return educational investment is in ages 0-5; UK government spending on early childhood education has been cut in real terms in the 2010s; this is a direct mechanism-solution misalignment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childhood mechanism investment gap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Outcome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trajectory: UK PISA scores have been broadly flat to slightly improving in reading and declining in maths relative to international peers since 2000 despite significant education reform and funding variation; the PISA rank has not substantially improved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outcome trajectory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Attainment gap persistence: the attainment gap between disadvantaged and non-disadvantaged pupils has persisted despite the Pupil Premium, closing the gap initiatives, and accountability frameworks; the gap at age 16 has not significantly narrowed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Attainment gap — no improvement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improvement evidence: KS1 phonics attainment improved measurably after the phonics screening check was introduced; the phonics case is an example of a specific mechanism (systematic phonics) producing a measurable outcome; it is the strongest UK education policy success case of the past decade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 measured improvement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evidence mixed: academic research on academy schools produces mixed results; some studies show improvement, others show no significant difference; the selection effects (which schools become academies) complicate the analysis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evidence mixed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High-performing system comparison: Singapore and South Korea spend less per pupil than the UK but produce substantially better PISA outcomes; the mechanism difference includes teacher selection (top graduates in Singapore, mandatory national service equivalent teacher training), teacher status, curriculum 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Singapore/South Korea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Adult skills: the UK ranks below the OECD average in adult numeracy and literacy; the educational outcomes at the population level have not improved despite significant policy investment over 30 years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Adult skills rank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Alternative Mechanism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Cognitive science of working memory: the cognitive science evidence on working memory constraints identifies how instruction should be structured (low cognitive load, retrieval practice, spaced repetition, explicit instruction); this mechanism is well-evidenced and is not systematically reflected in UK teacher training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Cognitive science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media and attention: screen time and social media use in adolescents are associated with reduced reading for pleasure, reduced sustained attention, and increased mental health problems; the mechanism may impair educational attainment independently of school quality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media attention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Teacher status and salary: in high-performing countries, teaching is a high-status profession that attracts graduates from the top third of the degree distribution; in the UK, teaching salary relative to other graduate professions has fallen; the mechanism (teacher quality drives outcomes) implies teacher compensation as the primary variable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Teacher status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Parental reading as literacy mechanism: the single strongest predictor of a child's reading ability is whether they are read to regularly by a parent in early childhood; this mechanism is outside the school and cannot be addressed by curriculum reform; it implies parental support and early literacy intervention as the mechanism-aligned 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Parental reading mechanism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Summer learning loss: disadvantaged pupils lose proportionally more learning over summer than their peers; the school-year learning gains partially equalise; summer learning loss is a mechanism of attainment gap reproduction that is structurally outside term-time school provision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Summer learning loss mechanism</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education reform has alternated between resource mechanism (fund schools), curriculum mechanism (phonics, literacy hours, GCSE reform), and selection mechanism (academies, free schools) as primary solutions. The social capital mechanism (family and community are the primary determinants) implies that all school-based reforms address a minority of the causal mechanism. The mechanism dispute is unresolved, and the solution portfolio reflects political cycles rather than mechanism evidence.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Proposed Solutions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instruction (mechanism-specific, evidence-based) has produced measured improvements. Academisation (governance change, indirect mechanism) has mixed evidence. Pupil Premium (general funding, mechanism-ambiguous) has not significantly closed the attainment gap. The outcome record suggests that mechanism-specific solutions (phonics) outperform mechanism-ambiguous solutions (academisation, Pupil Premium) in producing measurable outcomes.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Dominant Mechanism Claim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Mechanism Claims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cognitive science of working memory (retrieval practice, explicit instruction, low cognitive load) is well-evidenced and not systematically implemented in UK teacher training or curriculum design. If teacher training does not reflect the cognitive science mechanism, teacher quality may be limited by training that does not reflect the mechanism of learning. The alternative mechanism claims (cognitive science, parental reading, early childhood) are each supported by evidence but are not primary in the solution portfolio.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Mechanism-Solution Alignment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Outcome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childhood is identified (Heckman) as the highest-return educational investment. UK early childhood spending has been cut in real terms in the 2010s. If the mechanism is correct, this is the largest mechanism-misaligned disinvestment in the UK education portfolio. The long-run outcome (adult skills, attainment gap) will reflect this disinvestment with a 15-20 year lag — making the mechanism-outcome evaluation difficult in real time.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phonics case as the mechanism-aligned positive example — specific mechanism, aligned solution, measured outcome — as the RTT-M template for education policy</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social capital mechanism (Coleman: family/community are primary) as the mechanism that, if correct, implies all school-based reforms address a minority of the causal mechanism</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early childhood investment gap (Heckman mechanism + UK disinvestment) as the largest mechanism-misaligned investment decision in the portfolio</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Singapore/South Korea comparison as the cross-national mechanism test: less per-pupil spending, better outcomes, different mechanism emphasis (teacher selection, status, curriculum)</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identify the mechanism dispute (which of the mechanisms is primary) as the first-order problem in education policy?</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does the phonics case teach about the conditions under which mechanism-aligned education solutions produce measured outcomes?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early childhood mechanism (Heckman) interact with the attainment gap domain to produce a signal about where the highest-leverage intervention is?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Singapore comparison produce a mechanism signal that differs from the UK's dominant solution portfolio?</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RTT-M Frames and Analysis</w:t>
      </w:r>
    </w:p>
    <w:p>
      <w:pPr>
        <w:pStyle w:val="Heading2"/>
      </w:pPr>
      <w:r>
        <w:rPr>
          <w:rFonts w:ascii="Arial" w:cs="Arial" w:eastAsia="Arial" w:hAnsi="Arial"/>
          <w:b/>
          <w:bCs/>
          <w:i w:val="false"/>
          <w:iCs w:val="false"/>
          <w:color w:val="000000"/>
          <w:sz w:val="26"/>
          <w:szCs w:val="26"/>
        </w:rPr>
        <w:t xml:space="preserve">RTT-M — Unresolved Mechanism Dispute Produces Inconsistent Solution Portfolio</w:t>
      </w:r>
    </w:p>
    <w:p>
      <w:pPr>
        <w:spacing w:after="60" w:before="60"/>
        <w:jc w:val="left"/>
      </w:pPr>
      <w:r>
        <w:rPr>
          <w:rFonts w:ascii="Arial" w:cs="Arial" w:eastAsia="Arial" w:hAnsi="Arial"/>
          <w:b w:val="false"/>
          <w:bCs w:val="false"/>
          <w:i w:val="false"/>
          <w:iCs w:val="false"/>
          <w:color w:val="000000"/>
          <w:sz w:val="22"/>
          <w:szCs w:val="22"/>
        </w:rPr>
        <w:t xml:space="preserve">UK education reform oscillates between competing mechanisms without resolving which is primary. Each government introduces a new solution reflecting its mechanism preference (curriculum reform, school choice, resource allocation, teacher targets). The evidence from consistent high-performers (Singapore, South Korea) suggests a specific mechanism combination: teacher selection from high-achieving graduates + high teacher social status + structured curriculum + early childhood investment. This mechanism combination is not replicated in the UK solution portfolio. RTT-M predicts that an unresolved mechanism dispute will produce an inconsistent solution portfolio that produces inconsistent outcomes.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Phonics Template — What Mechanism-Aligned Success Looks Like</w:t>
      </w:r>
    </w:p>
    <w:p>
      <w:pPr>
        <w:spacing w:after="60" w:before="60"/>
        <w:jc w:val="left"/>
      </w:pPr>
      <w:r>
        <w:rPr>
          <w:rFonts w:ascii="Arial" w:cs="Arial" w:eastAsia="Arial" w:hAnsi="Arial"/>
          <w:b w:val="false"/>
          <w:bCs w:val="false"/>
          <w:i w:val="false"/>
          <w:iCs w:val="false"/>
          <w:color w:val="000000"/>
          <w:sz w:val="22"/>
          <w:szCs w:val="22"/>
        </w:rPr>
        <w:t xml:space="preserve">The introduction of the phonics screening check (2012) produced measurable improvement in KS1 reading attainment. The mechanism was specific (children learn to decode text through phoneme-grapheme correspondence, not whole-word recognition); the solution was aligned (systematic phonics instruction, measured by the check); the outcome was measured. This is the template for mechanism-aligned education policy success: identify a specific mechanism, design a solution aligned with it, measure the mechanism-target outcome. The contrasting case is academisation: governance change without specific mechanism alignment and mixed outcome evidence.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The Social Capital Problem — The Primary Mechanism Is Outside the School</w:t>
      </w:r>
    </w:p>
    <w:p>
      <w:pPr>
        <w:spacing w:after="60" w:before="60"/>
        <w:jc w:val="left"/>
      </w:pPr>
      <w:r>
        <w:rPr>
          <w:rFonts w:ascii="Arial" w:cs="Arial" w:eastAsia="Arial" w:hAnsi="Arial"/>
          <w:b w:val="false"/>
          <w:bCs w:val="false"/>
          <w:i w:val="false"/>
          <w:iCs w:val="false"/>
          <w:color w:val="000000"/>
          <w:sz w:val="22"/>
          <w:szCs w:val="22"/>
        </w:rPr>
        <w:t xml:space="preserve">If Coleman's social capital mechanism is correct — family, community, and social network are the primary educational determinants — then all school-based reforms address a secondary mechanism. The attainment gap persists despite school reform because the primary mechanism (home environment, parental education, social network) is outside the school's control. RTT-M implies that the solution portfolio should be redesigned to address the primary mechanism: parental support in the early years, community-level social capital investment, early childhood provision. This is politically difficult (it requires multi-departmental coordination) and expensive.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Early Childhood as the High-Leverage Period — Heckman's Evidence</w:t>
      </w:r>
    </w:p>
    <w:p>
      <w:pPr>
        <w:spacing w:after="60" w:before="60"/>
        <w:jc w:val="left"/>
      </w:pPr>
      <w:r>
        <w:rPr>
          <w:rFonts w:ascii="Arial" w:cs="Arial" w:eastAsia="Arial" w:hAnsi="Arial"/>
          <w:b w:val="false"/>
          <w:bCs w:val="false"/>
          <w:i w:val="false"/>
          <w:iCs w:val="false"/>
          <w:color w:val="000000"/>
          <w:sz w:val="22"/>
          <w:szCs w:val="22"/>
        </w:rPr>
        <w:t xml:space="preserve">Heckman's research demonstrates that the economic return on educational investment is highest in ages 0-5. Early cognitive, linguistic, and emotional development is the foundation for all subsequent learning. UK government spending on early childhood (Sure Start, maintained nursery provision) has been reduced in real terms since 2010. If Heckman's mechanism is correct, this disinvestment is the largest mechanism-misaligned policy decision in UK education. The outcome will appear with a 15-20 year lag in PISA scores, adult skills rates, and labour market outcomes — making it invisible in current political cycles.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does the education case demonstrate that an unresolved mechanism dispute is itself the primary barrier to effective solution design?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phonics success generalise: what are the conditions under which mechanism-specific solutions produce measured educational outcomes?</w:t>
      </w:r>
    </w:p>
    <w:p>
      <w:pPr>
        <w:pStyle w:val="ListParagraph"/>
        <w:numPr>
          <w:ilvl w:val="0"/>
          <w:numId w:val="1"/>
        </w:numPr>
      </w:pPr>
      <w:r>
        <w:rPr>
          <w:rFonts w:ascii="Arial" w:cs="Arial" w:eastAsia="Arial" w:hAnsi="Arial"/>
          <w:b w:val="false"/>
          <w:bCs w:val="false"/>
          <w:i w:val="false"/>
          <w:iCs w:val="false"/>
          <w:color w:val="000000"/>
          <w:sz w:val="20"/>
          <w:szCs w:val="20"/>
        </w:rPr>
        <w:t xml:space="preserve">If the social capital mechanism is primary, what would a mechanism-aligned solution portfolio look like — and is it politically achievable within current institutional structures?</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Heckman early childhood mechanism imply that current political cycle evaluation (4-5 years) is structurally incapable of detecting the highest-leverage educational investments?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rankings: the UK's PISA rank in reading, maths, and science has been broadly flat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attainment gap: pupils from the most deprived quintile perform, on average, 18 months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Basic literacy and numeracy: approximately 1 in 5 adults in England are functionally innum...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Skills shortage: UK employers consistently report difficulty filling roles requiring techn...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University tuition fees and debt: English students graduate with an average of £45,000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resource mechanism: more funding means smaller class sizes, better-paid teachers, bett...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teaching quality mechanism: the quality of classroom instruction is the primary school...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social capital mechanism (Coleman Report 1966): family background, parental education,...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selection mechanism (school choice theory): competition between schools for pupils dri...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Evidence from high-performing systems: East Asian high-performers (Singapore, South Korea)...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early childhood multiplier: James Heckman's research demonstrates that investment in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schools and free schools (UK, from 2010): schools operating outside local authorit...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phonics screening check (UK, 2012): systematic assessment of phonics reading skills 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literacy hour and numeracy hour (UK, 1998-2003): dedicated daily time for structured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 (UK, from 2011): additional funding for disadvantaged pupils; schools can 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Child Left Behind (US, 2001) and Race to the Top (2009): US federal education reform;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T-levels (UK, from 2020): technical qualifications as alternatives to A-levels; intended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the primary mechanism is social capital (family and community are the primary education...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instruction mechanism alignment: the mechanism (children learn to read through pho...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mechanism misalignment: if the mechanism is teaching quality, academy status (a 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Pupil Premium allocation ambiguity: Pupil Premium gives schools money and discretion; if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MA-05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childhood mechanism and solution gap: Heckman's research implies that the highest-re...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PISA trajectory: UK PISA scores have been broadly flat to slightly improving in reading 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Attainment gap persistence: the attainment gap between disadvantaged and non-disadvantaged...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Phonics improvement evidence: KS1 phonics attainment improved measurably after the phonics...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Academy evidence mixed: academic research on academy schools produces mixed results; some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High-performing system comparison: Singapore and South Korea spend less per pupil than 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Adult skills: the UK ranks below the OECD average in adult numeracy and literacy; the educ...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Cognitive science of working memory: the cognitive science evidence on working memory cons...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Social media and attention: screen time and social media use in adolescents are associated...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Teacher status and salary: in high-performing countries, teaching is a high-status profess...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Parental reading as literacy mechanism: the single strongest predictor of a child's readin...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Summer learning loss: disadvantaged pupils lose proportionally more learning over summer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2026-06-14T15:30:07.458Z</dcterms:created>
  <dcterms:modified xsi:type="dcterms:W3CDTF">2026-06-14T15:30:07.458Z</dcterms:modified>
</cp:coreProperties>
</file>

<file path=docProps/custom.xml><?xml version="1.0" encoding="utf-8"?>
<Properties xmlns="http://schemas.openxmlformats.org/officeDocument/2006/custom-properties" xmlns:vt="http://schemas.openxmlformats.org/officeDocument/2006/docPropsVTypes"/>
</file>