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1F3864"/>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7B2D8B" w:sz="6" w:space="1"/>
        </w:pBdr>
        <w:spacing w:after="400"/>
      </w:pPr>
      <w:r>
        <w:t xml:space="preserve"/>
      </w:r>
    </w:p>
    <w:p>
      <w:pPr>
        <w:spacing w:after="200"/>
        <w:jc w:val="center"/>
      </w:pPr>
      <w:r>
        <w:rPr>
          <w:rFonts w:ascii="Arial" w:cs="Arial" w:eastAsia="Arial" w:hAnsi="Arial"/>
          <w:b/>
          <w:bCs/>
          <w:color w:val="7B2D8B"/>
          <w:sz w:val="48"/>
          <w:szCs w:val="48"/>
        </w:rPr>
        <w:t xml:space="preserve">CLOSED CASES WORKBOOK</w:t>
      </w:r>
    </w:p>
    <w:p>
      <w:pPr>
        <w:spacing w:after="120"/>
        <w:jc w:val="center"/>
      </w:pPr>
      <w:r>
        <w:rPr>
          <w:rFonts w:ascii="Arial" w:cs="Arial" w:eastAsia="Arial" w:hAnsi="Arial"/>
          <w:color w:val="595959"/>
          <w:sz w:val="26"/>
          <w:szCs w:val="26"/>
        </w:rPr>
        <w:t xml:space="preserve">Historical Investigations with Known Outcomes</w:t>
      </w:r>
    </w:p>
    <w:p>
      <w:pPr>
        <w:spacing w:after="600"/>
        <w:jc w:val="center"/>
      </w:pPr>
      <w:r>
        <w:rPr>
          <w:rFonts w:ascii="Arial" w:cs="Arial" w:eastAsia="Arial" w:hAnsi="Arial"/>
          <w:color w:val="595959"/>
          <w:sz w:val="24"/>
          <w:szCs w:val="24"/>
        </w:rPr>
        <w:t xml:space="preserve">Every signal. Every step. Every feature. Answer at the end.</w:t>
      </w:r>
    </w:p>
    <w:p>
      <w:pPr>
        <w:spacing w:after="200"/>
        <w:jc w:val="center"/>
      </w:pPr>
      <w:r>
        <w:rPr>
          <w:rFonts w:ascii="Arial" w:cs="Arial" w:eastAsia="Arial" w:hAnsi="Arial"/>
          <w:color w:val="3C3C3C"/>
          <w:sz w:val="22"/>
          <w:szCs w:val="22"/>
        </w:rPr>
        <w:t xml:space="preserve">Three cases included:</w:t>
      </w:r>
    </w:p>
    <w:p>
      <w:pPr>
        <w:spacing w:after="160"/>
        <w:jc w:val="center"/>
      </w:pPr>
      <w:r>
        <w:rPr>
          <w:rFonts w:ascii="Arial" w:cs="Arial" w:eastAsia="Arial" w:hAnsi="Arial"/>
          <w:color w:val="3C3C3C"/>
          <w:sz w:val="22"/>
          <w:szCs w:val="22"/>
        </w:rPr>
        <w:t xml:space="preserve">Case 1 — Piper Alpha (1988): an oil platform permit system failure. Two independent operational teams, one piece of equipment, two completely different records about whether it was safe to use.</w:t>
      </w:r>
    </w:p>
    <w:p>
      <w:pPr>
        <w:spacing w:after="160"/>
        <w:jc w:val="center"/>
      </w:pPr>
      <w:r>
        <w:rPr>
          <w:rFonts w:ascii="Arial" w:cs="Arial" w:eastAsia="Arial" w:hAnsi="Arial"/>
          <w:color w:val="3C3C3C"/>
          <w:sz w:val="22"/>
          <w:szCs w:val="22"/>
        </w:rPr>
        <w:t xml:space="preserve">Case 2 — Vioxx Safety Signals (1999-2004): cardiovascular signals suppressed across five independent evidence streams over five years. The signals were present. The cross-domain view was not.</w:t>
      </w:r>
    </w:p>
    <w:p>
      <w:pPr>
        <w:spacing w:after="600"/>
        <w:jc w:val="center"/>
      </w:pPr>
      <w:r>
        <w:rPr>
          <w:rFonts w:ascii="Arial" w:cs="Arial" w:eastAsia="Arial" w:hAnsi="Arial"/>
          <w:color w:val="3C3C3C"/>
          <w:sz w:val="22"/>
          <w:szCs w:val="22"/>
        </w:rPr>
        <w:t xml:space="preserve">Case 3 — Boeing 737 MAX MCAS (2016-2019): certification and operational safety domains not cross-connected across two crashes and 346 deaths.</w:t>
      </w:r>
    </w:p>
    <w:p>
      <w:pPr>
        <w:jc w:val="center"/>
      </w:pPr>
      <w:r>
        <w:rPr>
          <w:rFonts w:ascii="Arial" w:cs="Arial" w:eastAsia="Arial" w:hAnsi="Arial"/>
          <w:color w:val="595959"/>
          <w:sz w:val="22"/>
          <w:szCs w:val="22"/>
        </w:rPr>
        <w:t xml:space="preserve">Version 2.0  ·  2026</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7B2D8B"/>
          <w:sz w:val="34"/>
          <w:szCs w:val="34"/>
        </w:rPr>
        <w:t xml:space="preserve">How to Use This Workbook</w:t>
      </w:r>
    </w:p>
    <w:p>
      <w:pPr>
        <w:pBdr>
          <w:bottom w:val="single" w:color="7B2D8B" w:sz="4" w:space="1"/>
        </w:pBdr>
        <w:spacing w:after="200"/>
      </w:pPr>
      <w:r>
        <w:t xml:space="preserve"/>
      </w:r>
    </w:p>
    <w:p>
      <w:pPr>
        <w:spacing w:after="160" w:line="276"/>
      </w:pPr>
      <w:r>
        <w:rPr>
          <w:rFonts w:ascii="Arial" w:cs="Arial" w:eastAsia="Arial" w:hAnsi="Arial"/>
          <w:color w:val="000000"/>
          <w:sz w:val="22"/>
          <w:szCs w:val="22"/>
        </w:rPr>
        <w:t xml:space="preserve">Each case in this workbook is a real historical investigation where the outcome is known and documented. You will run each case from scratch in CIS — creating the case, setting up domains, entering every signal, registering contradictions, adding evidence, and generating a briefing. The answer section at the end of each case tells you what CIS should have found. Do not read it until you have completed all steps.</w:t>
      </w:r>
    </w:p>
    <w:p>
      <w:pPr>
        <w:spacing w:after="160" w:line="276"/>
      </w:pPr>
      <w:r>
        <w:rPr>
          <w:rFonts w:ascii="Arial" w:cs="Arial" w:eastAsia="Arial" w:hAnsi="Arial"/>
          <w:color w:val="000000"/>
          <w:sz w:val="22"/>
          <w:szCs w:val="22"/>
        </w:rPr>
        <w:t xml:space="preserve">The WHY column next to each signal tells you which CIS feature that signal exercises. Read it as you work. Understanding the WHY is how you learn to use CIS effectively.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1760"/>
      </w:tblGrid>
      <w:tr>
        <w:tc>
          <w:tcPr>
            <w:tcW w:type="dxa" w:w="28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CASE</w:t>
            </w:r>
          </w:p>
        </w:tc>
        <w:tc>
          <w:tcPr>
            <w:tcW w:type="dxa" w:w="2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2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FEATURES</w:t>
            </w:r>
          </w:p>
        </w:tc>
        <w:tc>
          <w:tcPr>
            <w:tcW w:type="dxa" w:w="17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DIFFICULTY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Piper Alpha (1988)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Industrial Safety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LP-7, Permit System Failure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Intermediate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Vioxx Safety Signals (1999-2004)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Pharmaceutical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LP-5, LP-6, WSP, HCL</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Advanced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Boeing 737 MAX MCAS (2016-2019)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Aviation Regulation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LP-4, LP-6, Certification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Advanced</w:t>
            </w:r>
          </w:p>
        </w:tc>
      </w:tr>
    </w:tbl>
    <w:p>
      <w:r>
        <w:br w:type="page"/>
      </w:r>
    </w:p>
    <w:p>
      <w:pPr>
        <w:pStyle w:val="Heading1"/>
        <w:spacing w:after="160" w:before="480"/>
      </w:pPr>
      <w:r>
        <w:rPr>
          <w:rFonts w:ascii="Arial" w:cs="Arial" w:eastAsia="Arial" w:hAnsi="Arial"/>
          <w:b/>
          <w:bCs/>
          <w:color w:val="7B2D8B"/>
          <w:sz w:val="34"/>
          <w:szCs w:val="34"/>
        </w:rPr>
        <w:t xml:space="preserve">Case 1 — Piper Alpha</w:t>
      </w:r>
    </w:p>
    <w:p>
      <w:pPr>
        <w:spacing w:after="200"/>
      </w:pPr>
      <w:r>
        <w:rPr>
          <w:rFonts w:ascii="Arial" w:cs="Arial" w:eastAsia="Arial" w:hAnsi="Arial"/>
          <w:i/>
          <w:iCs/>
          <w:color w:val="595959"/>
          <w:sz w:val="22"/>
          <w:szCs w:val="22"/>
        </w:rPr>
        <w:t xml:space="preserve">Occidental Petroleum  ·  North Sea, UK  ·  6 July 1988</w:t>
      </w:r>
    </w:p>
    <w:p>
      <w:pPr>
        <w:pBdr>
          <w:bottom w:val="single" w:color="7B2D8B"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At 22:00 on 6 July 1988, the Piper Alpha offshore oil platform was destroyed by fire and explosion, killing 167 of the 228 workers on board. It remains the deadliest offshore oil disaster in history.</w:t>
      </w:r>
    </w:p>
    <w:p>
      <w:pPr>
        <w:spacing w:after="160" w:line="276"/>
      </w:pPr>
      <w:r>
        <w:rPr>
          <w:rFonts w:ascii="Arial" w:cs="Arial" w:eastAsia="Arial" w:hAnsi="Arial"/>
          <w:color w:val="000000"/>
          <w:sz w:val="22"/>
          <w:szCs w:val="22"/>
        </w:rPr>
        <w:t xml:space="preserve">The immediate cause: a condensate pump was started whose pressure safety valve had been removed for maintenance. The day shift maintenance team knew the pump was unsafe. The night shift production team did not. A Permit to Work documenting the unsafe status was sitting in the maintenance control room — but the night shift operator could not find it, assumed the pump was available, and started it when another pump failed. Condensate escaped through the open valve flange, ignited, and the explosion followed.</w:t>
      </w:r>
    </w:p>
    <w:p>
      <w:pPr>
        <w:spacing w:after="160" w:line="276"/>
      </w:pPr>
      <w:r>
        <w:rPr>
          <w:rFonts w:ascii="Arial" w:cs="Arial" w:eastAsia="Arial" w:hAnsi="Arial"/>
          <w:color w:val="000000"/>
          <w:sz w:val="22"/>
          <w:szCs w:val="22"/>
        </w:rPr>
        <w:t xml:space="preserve">The permit system operated entirely within the Maintenance domain. Production Operations had no real-time view of maintenance status. Two independent teams, one piece of equipment, two completely different records. The gap between the domains was the mechanism of the disaster.</w:t>
      </w:r>
    </w:p>
    <w:p>
      <w:pPr>
        <w:spacing w:after="160"/>
      </w:pPr>
      <w:r>
        <w:t xml:space="preserve"/>
      </w:r>
    </w:p>
    <w:p>
      <w:pPr>
        <w:pBdr>
          <w:left w:val="single" w:color="7B2D8B" w:sz="14" w:space="8"/>
        </w:pBdr>
        <w:spacing w:after="160"/>
        <w:ind w:left="360"/>
      </w:pPr>
      <w:r>
        <w:rPr>
          <w:rFonts w:ascii="Arial" w:cs="Arial" w:eastAsia="Arial" w:hAnsi="Arial"/>
          <w:b/>
          <w:bCs/>
          <w:color w:val="7B2D8B"/>
          <w:sz w:val="22"/>
          <w:szCs w:val="22"/>
        </w:rPr>
        <w:t xml:space="preserve">Why CIS:  </w:t>
      </w:r>
      <w:r>
        <w:rPr>
          <w:rFonts w:ascii="Arial" w:cs="Arial" w:eastAsia="Arial" w:hAnsi="Arial"/>
          <w:color w:val="000000"/>
          <w:sz w:val="22"/>
          <w:szCs w:val="22"/>
        </w:rPr>
        <w:t xml:space="preserve">This is a cross-domain permit status failure. Two independent operational domains — Maintenance Control and Production Operations — each hold valid records about the same equipment that say opposite things. CIS detects this through LP-3 (domain boundary loss) and LP-7 (shift handover as a closure event that discarded the permit status from the incoming team's awareness).</w:t>
      </w:r>
    </w:p>
    <w:p>
      <w:pPr>
        <w:pBdr>
          <w:left w:val="single" w:color="1F3864" w:sz="14" w:space="8"/>
        </w:pBdr>
        <w:spacing w:after="160"/>
        <w:ind w:left="360"/>
      </w:pPr>
      <w:r>
        <w:rPr>
          <w:rFonts w:ascii="Arial" w:cs="Arial" w:eastAsia="Arial" w:hAnsi="Arial"/>
          <w:b/>
          <w:bCs/>
          <w:color w:val="1F3864"/>
          <w:sz w:val="22"/>
          <w:szCs w:val="22"/>
        </w:rPr>
        <w:t xml:space="preserve">Features this case exercises:  </w:t>
      </w:r>
      <w:r>
        <w:rPr>
          <w:rFonts w:ascii="Arial" w:cs="Arial" w:eastAsia="Arial" w:hAnsi="Arial"/>
          <w:color w:val="000000"/>
          <w:sz w:val="22"/>
          <w:szCs w:val="22"/>
        </w:rPr>
        <w:t xml:space="preserve">LP-3 (cross-domain boundary loss), LP-7 (shift handover as closure), HCL hypothesis across independent operational domains, contradiction registration (RC-3: domain expert with direct knowledge resolves the permit status), Cognitive Briefing validation.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Piper Alpha — Permit System Analysis</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7B2D8B" w:sz="14" w:space="8"/>
        </w:pBdr>
        <w:spacing w:after="240"/>
        <w:ind w:left="360"/>
      </w:pPr>
      <w:r>
        <w:rPr>
          <w:rFonts w:ascii="Arial" w:cs="Arial" w:eastAsia="Arial" w:hAnsi="Arial"/>
          <w:b/>
          <w:bCs/>
          <w:color w:val="7B2D8B"/>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p>
      <w:pPr>
        <w:spacing w:after="160" w:line="276"/>
      </w:pPr>
      <w:r>
        <w:rPr>
          <w:rFonts w:ascii="Arial" w:cs="Arial" w:eastAsia="Arial" w:hAnsi="Arial"/>
          <w:color w:val="000000"/>
          <w:sz w:val="22"/>
          <w:szCs w:val="22"/>
        </w:rPr>
        <w:t xml:space="preserve">Piper Alpha had four distinct operational domains, each with separate record-keeping systems and separate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Maintenance Control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Permits to Work, maintenance logs, equipment status records, and safety valve records held by the day shift maintenance team. This domain holds the official unsafe status of Pump 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Production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Operational status board, pump run logs, shift handover records held by the night shift production team. This domain holds the team's working assumption about which equipment is available.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Safety Systems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Fire and gas detection logs, deluge system activation records, safety valve status board, emergency response records.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Incident Reports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Prior near-miss reports and anomaly reports filed in the six months before the disaster. This domain holds the historical pattern.</w:t>
            </w:r>
          </w:p>
        </w:tc>
      </w:tr>
    </w:tbl>
    <w:p>
      <w:pPr>
        <w:spacing w:after="160" w:line="276"/>
      </w:pPr>
      <w:r>
        <w:rPr>
          <w:rFonts w:ascii="Arial" w:cs="Arial" w:eastAsia="Arial" w:hAnsi="Arial"/>
          <w:color w:val="000000"/>
          <w:sz w:val="22"/>
          <w:szCs w:val="22"/>
        </w:rPr>
        <w:t xml:space="preserve">Go to the Independence Matrix. 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independence declaration is the critical step. In the real Piper Alpha disaster, there was no mechanism to run cross-domain analysis across these four domains. If the Maintenance Control permit status had been visible to Production Operations in real time, the operator would have known Pump A was unsafe before starting it. Declaring the domains independent in CIS is what allows it to detect the gap that killed 167 people.</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Enter every signal below in order. Read the WHY column for each signal — it tells you which CIS feature is being exercised and what you should see happen.</w:t>
      </w:r>
    </w:p>
    <w:p>
      <w:pPr>
        <w:spacing w:after="160" w:line="276"/>
      </w:pPr>
      <w:r>
        <w:rPr>
          <w:rFonts w:ascii="Arial" w:cs="Arial" w:eastAsia="Arial" w:hAnsi="Arial"/>
          <w:color w:val="000000"/>
          <w:sz w:val="22"/>
          <w:szCs w:val="22"/>
        </w:rPr>
        <w:t xml:space="preserve">Observation periods: Period 1 = the shift on the day of the disaster. Period 2 = the night of the disaster (incident response). Period 0 = the six months before (historical record).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Maintenance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Permit to Work MW/076/88 has been raised for Condensate Pump A. The pressure safety valve has been removed for overhaul. Pump A status: UNSAFE — NOT FOR OPERATION. The permit is filed in the maintenance control room.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PTW status held in Maintenance domain — will night shift know?</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Production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Shift handover log for the 22:00 shift: Condensate Pump B is operational. Pump A status is not mentioned in the verbal handover. The incoming night shift operator has assumed Pump A is available if needed.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shift handover as closure event — permit status not transferred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Production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Condensate Pump B fails at 21:45. The operator checks the status board. Pump A is listed as available. The operator initiates the start sequence on Pump A.</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decision made on Production domain data without access to Maintenance data</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Maintenance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pressure safety valve for Pump A has not been reinstalled. The valve flange is left open at the completion of the maintenance day shift. No lock-out tag-out has been applied to the physical pump.</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Maintenance knows unsafe state — Production does not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Safety Systems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Gas detectors in the condensate area activate at 21:58. Level: low-level alarm. The control room acknowledges the alarm. No immediate shutdown is initiated. Standard procedure is to investigate before shutting down.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SI: low-level alarm immediately before catastrophic event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Production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night shift operator could not locate Permit to Work MW/076/88 in the production control room. He decided to proceed on the basis that the pump was operationally available.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 CONTRADICT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Direct contradiction: Signal 1 says UNSAFE, Signal 6 proceeds as available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Incident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Maintenance log from the six months before the disaster: three prior instances where Permit to Work paperwork was not accessible to the production shift at handover. No incidents resulted from any of these. No corrective action was taken after any of them.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prior pattern not escalated. LP-5: three instances forming aggregate pattern.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Safety Systems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High-level gas alarm at 22:00. Fire detection at 22:01. The deluge system activated in one module only. Cross-module deluge was not triggered because the system had been set to manual override during prior maintenance.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safety system state in manual override — not communicated across domains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Incident Reports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Cullen Report (1990) finding: the root cause was a permit system failure across the maintenance-production domain boundary. The physical cause was condensate escaping through the open valve flange on Pump A.</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Ground truth — for briefing validation at the end</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1 states that Pump A has an active Permit to Work marking it UNSAFE — NOT FOR OPERATION. Signal 6 states that the night shift operator proceeded to start Pump A on the basis that it was available. These are not different interpretations. They are directly opposing descriptions of the same equipment's status at the same time.</w:t>
      </w:r>
    </w:p>
    <w:p>
      <w:pPr>
        <w:pStyle w:val="ListParagraph"/>
        <w:numPr>
          <w:ilvl w:val="0"/>
          <w:numId w:val="2"/>
        </w:numPr>
        <w:spacing w:after="160"/>
      </w:pPr>
      <w:r>
        <w:rPr>
          <w:rFonts w:ascii="Arial" w:cs="Arial" w:eastAsia="Arial" w:hAnsi="Arial"/>
          <w:color w:val="000000"/>
          <w:sz w:val="22"/>
          <w:szCs w:val="22"/>
        </w:rPr>
        <w:t xml:space="preserve">Go to Contradictions in the navigation.</w:t>
      </w:r>
    </w:p>
    <w:p>
      <w:pPr>
        <w:pStyle w:val="ListParagraph"/>
        <w:numPr>
          <w:ilvl w:val="0"/>
          <w:numId w:val="2"/>
        </w:numPr>
        <w:spacing w:after="160"/>
      </w:pPr>
      <w:r>
        <w:rPr>
          <w:rFonts w:ascii="Arial" w:cs="Arial" w:eastAsia="Arial" w:hAnsi="Arial"/>
          <w:color w:val="000000"/>
          <w:sz w:val="22"/>
          <w:szCs w:val="22"/>
        </w:rPr>
        <w:t xml:space="preserve">Find the Register Contradiction button. If it is not on the Contradictions page, open Signal 6 in the Signal Pool using View Detail, and look for a Mark as Contradicting option. Note where you find the button.</w:t>
      </w:r>
    </w:p>
    <w:p>
      <w:pPr>
        <w:pStyle w:val="ListParagraph"/>
        <w:numPr>
          <w:ilvl w:val="0"/>
          <w:numId w:val="2"/>
        </w:numPr>
        <w:spacing w:after="160"/>
      </w:pPr>
      <w:r>
        <w:rPr>
          <w:rFonts w:ascii="Arial" w:cs="Arial" w:eastAsia="Arial" w:hAnsi="Arial"/>
          <w:color w:val="000000"/>
          <w:sz w:val="22"/>
          <w:szCs w:val="22"/>
        </w:rPr>
        <w:t xml:space="preserve">Register Signal 1 (PTW MW/076/88: Pump A UNSAFE) against Signal 6 (operator proceeds as if Pump A is available).</w:t>
      </w:r>
    </w:p>
    <w:p>
      <w:pPr>
        <w:pStyle w:val="ListParagraph"/>
        <w:numPr>
          <w:ilvl w:val="0"/>
          <w:numId w:val="2"/>
        </w:numPr>
        <w:spacing w:after="160"/>
      </w:pPr>
      <w:r>
        <w:rPr>
          <w:rFonts w:ascii="Arial" w:cs="Arial" w:eastAsia="Arial" w:hAnsi="Arial"/>
          <w:color w:val="000000"/>
          <w:sz w:val="22"/>
          <w:szCs w:val="22"/>
        </w:rPr>
        <w:t xml:space="preserve">Contradiction description: Permit to Work MW/076/88 (Signal 1) explicitly marks Pump A as UNSAFE — NOT FOR OPERATION. Signal 6 records that the operator started Pump A on the basis that it was available. Both cannot be true simultaneously. Either the permit was communicated or it was not.</w:t>
      </w:r>
    </w:p>
    <w:p>
      <w:pPr>
        <w:pStyle w:val="ListParagraph"/>
        <w:numPr>
          <w:ilvl w:val="0"/>
          <w:numId w:val="2"/>
        </w:numPr>
        <w:spacing w:after="160"/>
      </w:pPr>
      <w:r>
        <w:rPr>
          <w:rFonts w:ascii="Arial" w:cs="Arial" w:eastAsia="Arial" w:hAnsi="Arial"/>
          <w:color w:val="000000"/>
          <w:sz w:val="22"/>
          <w:szCs w:val="22"/>
        </w:rPr>
        <w:t xml:space="preserve">Resolution type: RC-3 (Domain Resolution). The maintenance supervisor who held the permit had direct observational knowledge of Pump A's status. Resolution basis: Cullen Report finding confirms PTW MW/076/88 was valid. Signal 1 (Maintenance Control) is accepted. Signal 6 reflects the operator's incorrect assumption.</w:t>
      </w:r>
    </w:p>
    <w:p>
      <w:pPr>
        <w:pStyle w:val="ListParagraph"/>
        <w:numPr>
          <w:ilvl w:val="0"/>
          <w:numId w:val="2"/>
        </w:numPr>
        <w:spacing w:after="160"/>
      </w:pPr>
      <w:r>
        <w:rPr>
          <w:rFonts w:ascii="Arial" w:cs="Arial" w:eastAsia="Arial" w:hAnsi="Arial"/>
          <w:color w:val="000000"/>
          <w:sz w:val="22"/>
          <w:szCs w:val="22"/>
        </w:rPr>
        <w:t xml:space="preserve">Click Confirm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p>
      <w:pPr>
        <w:spacing w:after="160" w:line="276"/>
      </w:pPr>
      <w:r>
        <w:rPr>
          <w:rFonts w:ascii="Arial" w:cs="Arial" w:eastAsia="Arial" w:hAnsi="Arial"/>
          <w:color w:val="000000"/>
          <w:sz w:val="22"/>
          <w:szCs w:val="22"/>
        </w:rPr>
        <w:t xml:space="preserve">By the time you have entered all nine signals, check each of the following on the Dashboard and Hypothesis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has been generated connecting Maintenance Control and Production Operations around the shared equipment status discrepancy for Pump 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SI_CLUSTER hypothesis has been generated within Production Operations from Signals 2, 3, and 6 — the three signals that form the decision chain leading to the start of Pump 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appears: cross-domain boundary loss between Maintenance Control and Production Operations on equipment 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appears: the 22:00 shift handover is identified as the closure event that discarded the PTW status from the incoming shift's awareness.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7 (prior PTW access failures) is in RETAINED status under WSP — it has not expired.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appears or LP-6 flag: the three prior PTW access failure incidents (Signal 7) were not escalated despite forming a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6 shows QUARANTINED status (contradiction with Signal 1 is active until resolved).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Add Evidence to the HCL Hypothesis</w:t>
      </w:r>
    </w:p>
    <w:p>
      <w:pPr>
        <w:spacing w:after="160" w:line="276"/>
      </w:pPr>
      <w:r>
        <w:rPr>
          <w:rFonts w:ascii="Arial" w:cs="Arial" w:eastAsia="Arial" w:hAnsi="Arial"/>
          <w:color w:val="000000"/>
          <w:sz w:val="22"/>
          <w:szCs w:val="22"/>
        </w:rPr>
        <w:t xml:space="preserve">Go to the Hypothesis Board. Find the HCL hypothesis connecting Maintenance Control and Production Operations. Click Add Evidence and enter each piece below.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5560"/>
        <w:gridCol w:w="14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5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 DESCRIPTION — ENTER THIS</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PLAUSIBILITY 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PTW system is designed specifically to communicate equipment unsafe status across team boundaries. PTW MW/076/88 was valid and current. The fact that it was not communicated to the night shift is a direct failure of the system's purpose — the permit existed in the Maintenance domain but was invisible to Production Operations.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7 (three prior PTW access failures) shows this was not an isolated failure. The permit handover gap had occurred three times before without a near miss. The system vulnerability was known and unaddressed.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night shift operator could not find the PTW because the permit was physically located in the maintenance control room — a different domain — rather than accessible in the production control room. Domain boundary created physical inaccessibility.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CONTRADICTING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0.3</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operator could theoretically have asked the maintenance team directly before starting the pump. The LP-3 failure is a systemic gap but individual action could have bridged it. This reduces certainty that the system gap was the only factor.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color w:val="000000"/>
          <w:sz w:val="22"/>
          <w:szCs w:val="22"/>
        </w:rPr>
        <w:t xml:space="preserve">After all four evidence pieces: the HCL hypothesis plausibility should be above 0.75. Record it here: 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7 — Generate a Cognitive Briefing</w:t>
      </w:r>
    </w:p>
    <w:p>
      <w:pPr>
        <w:spacing w:after="160" w:line="276"/>
      </w:pPr>
      <w:r>
        <w:rPr>
          <w:rFonts w:ascii="Arial" w:cs="Arial" w:eastAsia="Arial" w:hAnsi="Arial"/>
          <w:color w:val="000000"/>
          <w:sz w:val="22"/>
          <w:szCs w:val="22"/>
        </w:rPr>
        <w:t xml:space="preserve">Go to Briefing → Generate New. When the briefing appears, verify it contains the following. Read against this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Pool Status: 9 signals. Signal 6 shows as RESOLVED (contradiction resolved via RC-3). Signal 7 shows as RETAINED.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the cross-domain permit status failure between Maintenance Control and Production Operations. Mentions Pump A as the common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 Hypotheses: HCL hypothesis with plausibility above 0.75 after your evidence additions.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Contradictions: Signal 1 vs Signal 6 shown as RESOLVED via RC-3 with Cullen Report as resolution basis.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 Flags: LP-3 (domain boundary loss) and LP-7 (shift handover as closure) both listed.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empty or limited — the HCL hypothesis explains all connected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Bdr>
          <w:left w:val="single" w:color="C00000" w:sz="14" w:space="8"/>
        </w:pBdr>
        <w:shd w:fill="FDE8E8" w:val="clear"/>
        <w:spacing w:after="200"/>
        <w:ind w:left="360"/>
      </w:pPr>
      <w:r>
        <w:rPr>
          <w:rFonts w:ascii="Arial" w:cs="Arial" w:eastAsia="Arial" w:hAnsi="Arial"/>
          <w:b/>
          <w:bCs/>
          <w:color w:val="C00000"/>
          <w:sz w:val="22"/>
          <w:szCs w:val="22"/>
        </w:rPr>
        <w:t xml:space="preserve">STOP — Read the answer section only after completing all steps.  The answer below documents the real outcome. Read it only after completing all seven steps above.</w:t>
      </w:r>
    </w:p>
    <w:p>
      <w:pPr>
        <w:spacing w:after="160"/>
      </w:pPr>
      <w:r>
        <w:t xml:space="preserve"/>
      </w:r>
    </w:p>
    <w:p>
      <w:pPr>
        <w:pStyle w:val="Heading2"/>
        <w:spacing w:after="140" w:before="360"/>
      </w:pPr>
      <w:r>
        <w:rPr>
          <w:rFonts w:ascii="Arial" w:cs="Arial" w:eastAsia="Arial" w:hAnsi="Arial"/>
          <w:b/>
          <w:bCs/>
          <w:color w:val="1F3864"/>
          <w:sz w:val="26"/>
          <w:szCs w:val="26"/>
        </w:rPr>
        <w:t xml:space="preserve">The Piper Alpha Outcome</w:t>
      </w:r>
    </w:p>
    <w:p>
      <w:pPr>
        <w:pBdr>
          <w:left w:val="single" w:color="1E7A1E" w:sz="14" w:space="8"/>
        </w:pBdr>
        <w:shd w:fill="E8F5E8" w:val="clear"/>
        <w:spacing w:after="160"/>
        <w:ind w:left="360"/>
      </w:pPr>
      <w:r>
        <w:rPr>
          <w:rFonts w:ascii="Arial" w:cs="Arial" w:eastAsia="Arial" w:hAnsi="Arial"/>
          <w:b/>
          <w:bCs/>
          <w:color w:val="1E7A1E"/>
          <w:sz w:val="22"/>
          <w:szCs w:val="22"/>
        </w:rPr>
        <w:t xml:space="preserve">OUTCOME:  </w:t>
      </w:r>
      <w:r>
        <w:rPr>
          <w:rFonts w:ascii="Arial" w:cs="Arial" w:eastAsia="Arial" w:hAnsi="Arial"/>
          <w:color w:val="000000"/>
          <w:sz w:val="22"/>
          <w:szCs w:val="22"/>
        </w:rPr>
        <w:t xml:space="preserve">The Cullen Report (1990) confirmed the permit system failure as the root cause. The night shift operator started Pump A without knowing the PSV had been removed. Condensate escaped, ignited, and triggered the initial explosion. A second explosion followed 20 minutes later when the Tartan pipeline ruptured. 167 people died. The Cullen Report led directly to the Offshore Installations (Safety Case) Regulations 1992, which required systematic cross-domain safety management for all North Sea platforms.</w:t>
      </w:r>
    </w:p>
    <w:p>
      <w:pPr>
        <w:spacing w:after="160" w:line="276"/>
      </w:pPr>
      <w:r>
        <w:rPr>
          <w:rFonts w:ascii="Arial" w:cs="Arial" w:eastAsia="Arial" w:hAnsi="Arial"/>
          <w:color w:val="000000"/>
          <w:sz w:val="22"/>
          <w:szCs w:val="22"/>
        </w:rPr>
        <w:t xml:space="preserve">CIS, applied to the available signal set before the disaster, would have generated an HCL hypothesis connecting the Maintenance Control permit status (Signal 1) and the Production Operations decision chain (Signals 2, 3, 6) before the night shift started. The cross-domain gap was visible in the data. The system to see it was not in place.</w:t>
      </w:r>
    </w:p>
    <w:p>
      <w:r>
        <w:br w:type="page"/>
      </w:r>
    </w:p>
    <w:p>
      <w:pPr>
        <w:pStyle w:val="Heading1"/>
        <w:spacing w:after="160" w:before="480"/>
      </w:pPr>
      <w:r>
        <w:rPr>
          <w:rFonts w:ascii="Arial" w:cs="Arial" w:eastAsia="Arial" w:hAnsi="Arial"/>
          <w:b/>
          <w:bCs/>
          <w:color w:val="7B2D8B"/>
          <w:sz w:val="34"/>
          <w:szCs w:val="34"/>
        </w:rPr>
        <w:t xml:space="preserve">Case 2 — Vioxx Cardiovascular Safety Signals</w:t>
      </w:r>
    </w:p>
    <w:p>
      <w:pPr>
        <w:spacing w:after="200"/>
      </w:pPr>
      <w:r>
        <w:rPr>
          <w:rFonts w:ascii="Arial" w:cs="Arial" w:eastAsia="Arial" w:hAnsi="Arial"/>
          <w:i/>
          <w:iCs/>
          <w:color w:val="595959"/>
          <w:sz w:val="22"/>
          <w:szCs w:val="22"/>
        </w:rPr>
        <w:t xml:space="preserve">Merck &amp; Co.  ·  Global  ·  1999-2004</w:t>
      </w:r>
    </w:p>
    <w:p>
      <w:pPr>
        <w:pBdr>
          <w:bottom w:val="single" w:color="7B2D8B"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Vioxx (rofecoxib) was approved by the FDA in 1999 and withdrawn in September 2004 after a clinical trial showed it doubled the risk of cardiovascular events in long-term users. An estimated 88,000 to 140,000 excess cardiovascular events had occurred during the five years it was on the market.</w:t>
      </w:r>
    </w:p>
    <w:p>
      <w:pPr>
        <w:spacing w:after="160" w:line="276"/>
      </w:pPr>
      <w:r>
        <w:rPr>
          <w:rFonts w:ascii="Arial" w:cs="Arial" w:eastAsia="Arial" w:hAnsi="Arial"/>
          <w:color w:val="000000"/>
          <w:sz w:val="22"/>
          <w:szCs w:val="22"/>
        </w:rPr>
        <w:t xml:space="preserve">The signals were present across five independent evidence streams before the withdrawal. The VIGOR trial (2000) showed a fourfold increase in heart attacks compared to naproxen. The Merck safety committee held it as explained by naproxen's cardioprotective effect. Post-market surveillance reports arrived individually from different clinical settings, each too small to trigger reporting thresholds on their own. A published meta-analysis in 2001 showed elevated hazard ratios across COX-2 inhibitors. The FDA's own internal safety analyst ran an independent analysis in 2004. Each domain held a piece of the picture. No mechanism existed to aggregate them.</w:t>
      </w:r>
    </w:p>
    <w:p>
      <w:pPr>
        <w:spacing w:after="160"/>
      </w:pPr>
      <w:r>
        <w:t xml:space="preserve"/>
      </w:r>
    </w:p>
    <w:p>
      <w:pPr>
        <w:pBdr>
          <w:left w:val="single" w:color="7B2D8B" w:sz="14" w:space="8"/>
        </w:pBdr>
        <w:spacing w:after="160"/>
        <w:ind w:left="360"/>
      </w:pPr>
      <w:r>
        <w:rPr>
          <w:rFonts w:ascii="Arial" w:cs="Arial" w:eastAsia="Arial" w:hAnsi="Arial"/>
          <w:b/>
          <w:bCs/>
          <w:color w:val="7B2D8B"/>
          <w:sz w:val="22"/>
          <w:szCs w:val="22"/>
        </w:rPr>
        <w:t xml:space="preserve">Why CIS:  </w:t>
      </w:r>
      <w:r>
        <w:rPr>
          <w:rFonts w:ascii="Arial" w:cs="Arial" w:eastAsia="Arial" w:hAnsi="Arial"/>
          <w:color w:val="000000"/>
          <w:sz w:val="22"/>
          <w:szCs w:val="22"/>
        </w:rPr>
        <w:t xml:space="preserve">Vioxx is the canonical multi-stream safety signal case. Five independent evidence streams each show elevated cardiovascular risk. Each one is addressed within its own domain. The naproxen explanation (LP-4) displaces the VIGOR signal. Individual MedWatch reports (LP-5) accumulate without aggregate assessment. The meta-analysis significance decays (LP-6) as it is treated as preliminary. CIS would have connected all five streams through an HCL hypothesis long before the APPROVE trial forced the withdrawal.</w:t>
      </w:r>
    </w:p>
    <w:p>
      <w:pPr>
        <w:pBdr>
          <w:left w:val="single" w:color="1F3864" w:sz="14" w:space="8"/>
        </w:pBdr>
        <w:spacing w:after="160"/>
        <w:ind w:left="360"/>
      </w:pPr>
      <w:r>
        <w:rPr>
          <w:rFonts w:ascii="Arial" w:cs="Arial" w:eastAsia="Arial" w:hAnsi="Arial"/>
          <w:b/>
          <w:bCs/>
          <w:color w:val="1F3864"/>
          <w:sz w:val="22"/>
          <w:szCs w:val="22"/>
        </w:rPr>
        <w:t xml:space="preserve">Features this case exercises:  </w:t>
      </w:r>
      <w:r>
        <w:rPr>
          <w:rFonts w:ascii="Arial" w:cs="Arial" w:eastAsia="Arial" w:hAnsi="Arial"/>
          <w:color w:val="000000"/>
          <w:sz w:val="22"/>
          <w:szCs w:val="22"/>
        </w:rPr>
        <w:t xml:space="preserve">LP-4 (VIGOR cardiovascular signal displaced by naproxen explanation), LP-5 (individual MedWatch reports not aggregated), LP-6 (meta-analysis significance treated as preliminary), WSP retention of sub-threshold surveillance reports, HCL hypothesis across five independent evidence streams, contradiction (naproxen explanation vs unresolved risk question), RC-2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Vioxx Safety Signal Analysis 1999-2004</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7B2D8B" w:sz="14" w:space="8"/>
        </w:pBdr>
        <w:spacing w:after="240"/>
        <w:ind w:left="360"/>
      </w:pPr>
      <w:r>
        <w:rPr>
          <w:rFonts w:ascii="Arial" w:cs="Arial" w:eastAsia="Arial" w:hAnsi="Arial"/>
          <w:b/>
          <w:bCs/>
          <w:color w:val="7B2D8B"/>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p>
      <w:pPr>
        <w:spacing w:after="160" w:line="276"/>
      </w:pPr>
      <w:r>
        <w:rPr>
          <w:rFonts w:ascii="Arial" w:cs="Arial" w:eastAsia="Arial" w:hAnsi="Arial"/>
          <w:color w:val="000000"/>
          <w:sz w:val="22"/>
          <w:szCs w:val="22"/>
        </w:rPr>
        <w:t xml:space="preserve">Vioxx's safety information was distributed across five independent evidence sources with no integrated cross-domain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Clinical Trials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Randomised controlled trial data: VIGOR (2000), APPROVE (2004), and interim analyses from each trial.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FDA Safety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FDA adverse event reports, internal safety analyses, label change requests, and regulatory correspondence.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Post-Market Surveillance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Spontaneous adverse event reports submitted by physicians and patients after product approval through MedWatch.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Published Medical Literature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Peer-reviewed journal articles reporting cardiovascular outcomes in patients using Vioxx or COX-2 inhibitors.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Internal Merck</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Merck safety committee memos, cardiovascular risk analyses, label discussions, and internal email correspondence.</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Observation periods: Period 1 = 2000. Period 2 = 2001-2002. Period 3 = 2003. Period 4 = 2004 (withdrawal year).</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Clinical Trials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VIGOR trial result (2000): the Vioxx group showed a rate of heart attacks four times higher than the naproxen group — 0.4 percent versus 0.1 percent. Merck and the publication attributed this to naproxen protecting the heart rather than Vioxx causing harm.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cardiovascular signal present — displaced by naproxen explanation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Merck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Merck safety committee memo (2000): the committee reviewed the VIGOR cardiovascular finding. The naproxen cardioprotective explanation was accepted as the working hypothesis. No label change for cardiovascular risk was initiated.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explanation formalised inside the domain — signal treated as resolved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Post-Market Surveillance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MedWatch report: a patient developed a heart attack six weeks after starting Vioxx. Prior cardiovascular history noted. The report was classified as possibly related but unlikely. Filed as an isolated case.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individual sub-threshold report — must not be discarded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Post-Market Surveillance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Three additional MedWatch reports of myocardial infarction in patients taking Vioxx in a 12-month window. Each was classified individually as isolated cases. No mechanism connected them to each other or to Signal 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LP-5: four sub-threshold reports now — aggregate pattern forming</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Published Medical Literature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Mukherjee et al. (2001, JAMA): meta-analysis of available trial data showed statistically significant excess cardiovascular risk across COX-2 inhibitors. The Vioxx hazard ratio was elevated. The finding was treated as preliminary and requiring further study.</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meta-analysis significance treated as preliminary — decay risk</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FDA Safety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FDA safety analyst David Graham internal analysis (2004): an independent review of the Kaiser Permanente database estimated 88,000 to 140,000 excess cardiovascular events during the period Vioxx was on the market. The analysis was marked for internal review.</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internal FDA signal not acted on immediately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Clinical Trials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APPROVE trial interim analysis (2004): patients on Vioxx for more than 18 months showed a doubled rate of cardiovascular events compared to placebo. This was a placebo-controlled trial — the naproxen cardioprotection explanation was ruled out. The trial was halted.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Ground truth: placebo-controlled confirmation. Naproxen explanation falsified.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Merck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Merck email (2001, revealed in litigation): a Merck scientist wrote that the cardiovascular risk concern required a clear study to assess it properly. The reply noted the concern but no study was immediately initiated.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 CONTRADICT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Contradiction: Signal 2 says risk explained by naproxen. Signal 8 says risk is unresolved.</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2 (internal safety committee memo) records the naproxen cardioprotection hypothesis as the working explanation for the VIGOR finding — suggesting the cardiovascular risk was resolved. Signal 8 (internal email from the same period) records a Merck scientist saying the cardiovascular risk required a dedicated study — suggesting it was not resolved. Both exist within the Internal Merck domain in Period 1.</w:t>
      </w:r>
    </w:p>
    <w:p>
      <w:pPr>
        <w:pStyle w:val="ListParagraph"/>
        <w:numPr>
          <w:ilvl w:val="0"/>
          <w:numId w:val="2"/>
        </w:numPr>
        <w:spacing w:after="160"/>
      </w:pPr>
      <w:r>
        <w:rPr>
          <w:rFonts w:ascii="Arial" w:cs="Arial" w:eastAsia="Arial" w:hAnsi="Arial"/>
          <w:color w:val="000000"/>
          <w:sz w:val="22"/>
          <w:szCs w:val="22"/>
        </w:rPr>
        <w:t xml:space="preserve">Go to Contradictions.</w:t>
      </w:r>
    </w:p>
    <w:p>
      <w:pPr>
        <w:pStyle w:val="ListParagraph"/>
        <w:numPr>
          <w:ilvl w:val="0"/>
          <w:numId w:val="2"/>
        </w:numPr>
        <w:spacing w:after="160"/>
      </w:pPr>
      <w:r>
        <w:rPr>
          <w:rFonts w:ascii="Arial" w:cs="Arial" w:eastAsia="Arial" w:hAnsi="Arial"/>
          <w:color w:val="000000"/>
          <w:sz w:val="22"/>
          <w:szCs w:val="22"/>
        </w:rPr>
        <w:t xml:space="preserve">Register Signal 2 (naproxen explanation accepted, risk resolved) against Signal 8 (cardiovascular risk still unresolved, needs a dedicated study).</w:t>
      </w:r>
    </w:p>
    <w:p>
      <w:pPr>
        <w:pStyle w:val="ListParagraph"/>
        <w:numPr>
          <w:ilvl w:val="0"/>
          <w:numId w:val="2"/>
        </w:numPr>
        <w:spacing w:after="160"/>
      </w:pPr>
      <w:r>
        <w:rPr>
          <w:rFonts w:ascii="Arial" w:cs="Arial" w:eastAsia="Arial" w:hAnsi="Arial"/>
          <w:color w:val="000000"/>
          <w:sz w:val="22"/>
          <w:szCs w:val="22"/>
        </w:rPr>
        <w:t xml:space="preserve">Contradiction description: Signal 2 records the safety committee accepting the naproxen explanation as sufficient. Signal 8, from a scientist in the same organisation in the same period, says the risk requires a dedicated study to assess. These cannot both be true — either the risk was resolved by the naproxen explanation or it was not.</w:t>
      </w:r>
    </w:p>
    <w:p>
      <w:pPr>
        <w:pStyle w:val="ListParagraph"/>
        <w:numPr>
          <w:ilvl w:val="0"/>
          <w:numId w:val="2"/>
        </w:numPr>
        <w:spacing w:after="160"/>
      </w:pPr>
      <w:r>
        <w:rPr>
          <w:rFonts w:ascii="Arial" w:cs="Arial" w:eastAsia="Arial" w:hAnsi="Arial"/>
          <w:color w:val="000000"/>
          <w:sz w:val="22"/>
          <w:szCs w:val="22"/>
        </w:rPr>
        <w:t xml:space="preserve">Resolution type: RC-2 (Falsification). The APPROVE placebo-controlled trial (Signal 7) used a placebo arm — not naproxen — and still showed doubled cardiovascular event rates. The naproxen explanation predicts that cardiovascular elevation would not appear without naproxen in the comparison. Signal 7 falsifies this prediction. Accept Signal 8.</w:t>
      </w:r>
    </w:p>
    <w:p>
      <w:pPr>
        <w:pStyle w:val="ListParagraph"/>
        <w:numPr>
          <w:ilvl w:val="0"/>
          <w:numId w:val="2"/>
        </w:numPr>
        <w:spacing w:after="160"/>
      </w:pPr>
      <w:r>
        <w:rPr>
          <w:rFonts w:ascii="Arial" w:cs="Arial" w:eastAsia="Arial" w:hAnsi="Arial"/>
          <w:color w:val="000000"/>
          <w:sz w:val="22"/>
          <w:szCs w:val="22"/>
        </w:rPr>
        <w:t xml:space="preserve">Click Confirm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has been generated connecting Clinical Trials, FDA Safety, Post-Market Surveillance, and Published Medical Literature around elevated cardiovascular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3 and 4 (individual MedWatch reports) are in RETAINED status under WSP — they have not expired despite being sub-threshold individually.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LP-5 flag appears: four sub-threshold MedWatch reports require aggregate assessment before any expires.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appears: the VIGOR cardiovascular signal was displaced by the naproxen explanation without independent verification.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appears: the Mukherjee et al. meta-analysis (Signal 5) was treated as preliminary — significance decay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SI_CLUSTER hypothesis may have been generated within Post-Market Surveillance from Signals 3 and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8 shows QUARANTINED status (active contradiction with Signal 2 before resolution).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Add Evidence to the HCL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5560"/>
        <w:gridCol w:w="14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5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 DESCRIPTION — ENTER THIS</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PLAUSIBILITY 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VIGOR cardiovascular elevation (Signal 1) is inconsistent with naproxen cardioprotection as the sole explanation. Naproxen's cardioprotective effect would reduce naproxen-group events — it would not produce a fourfold increase in the Vioxx group. The magnitude of the finding requires a Vioxx contribution.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Four independent MedWatch reports (Signals 3 and 4) from unrelated clinical settings across different regions describe the same event type — myocardial infarction in Vioxx users. Four independent sources show the same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Mukherjee et al. meta-analysis (Signal 5) used multiple independent datasets and showed elevated hazard ratios across COX-2 inhibitors including Vioxx. Independent of VIGOR.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APPROVE placebo-controlled trial (Signal 7) shows doubled cardiovascular event rates without naproxen in the comparison arm. The naproxen explanation is definitively falsified.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color w:val="000000"/>
          <w:sz w:val="22"/>
          <w:szCs w:val="22"/>
        </w:rPr>
        <w:t xml:space="preserve">After all four pieces: plausibility should reach CONFIRMED (above 0.85). Record: 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7 — Generate a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the HCL pattern across five independent evidence streams. Mentions the APPROVE trial as the definitively confirming signal.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 Hypotheses: HCL hypothesis shown as CONFIRMED with plausibility above 0.85.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 Flags: LP-4 (VIGOR displacement), LP-5 (MedWatch aggregation), LP-6 (meta-analysis significance) all listed.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Contradictions: Signal 2 vs Signal 8 shown as RESOLVED via RC-2.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ideally empty — all signals are now connected to the confirmed HCL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Bdr>
          <w:left w:val="single" w:color="C00000" w:sz="14" w:space="8"/>
        </w:pBdr>
        <w:shd w:fill="FDE8E8" w:val="clear"/>
        <w:spacing w:after="200"/>
        <w:ind w:left="360"/>
      </w:pPr>
      <w:r>
        <w:rPr>
          <w:rFonts w:ascii="Arial" w:cs="Arial" w:eastAsia="Arial" w:hAnsi="Arial"/>
          <w:b/>
          <w:bCs/>
          <w:color w:val="C00000"/>
          <w:sz w:val="22"/>
          <w:szCs w:val="22"/>
        </w:rPr>
        <w:t xml:space="preserve">STOP — Read the answer section only after completing all steps.  Read the outcome below only after completing all seven steps.</w:t>
      </w:r>
    </w:p>
    <w:p>
      <w:pPr>
        <w:spacing w:after="160"/>
      </w:pPr>
      <w:r>
        <w:t xml:space="preserve"/>
      </w:r>
    </w:p>
    <w:p>
      <w:pPr>
        <w:pStyle w:val="Heading2"/>
        <w:spacing w:after="140" w:before="360"/>
      </w:pPr>
      <w:r>
        <w:rPr>
          <w:rFonts w:ascii="Arial" w:cs="Arial" w:eastAsia="Arial" w:hAnsi="Arial"/>
          <w:b/>
          <w:bCs/>
          <w:color w:val="1F3864"/>
          <w:sz w:val="26"/>
          <w:szCs w:val="26"/>
        </w:rPr>
        <w:t xml:space="preserve">The Vioxx Outcome</w:t>
      </w:r>
    </w:p>
    <w:p>
      <w:pPr>
        <w:pBdr>
          <w:left w:val="single" w:color="1E7A1E" w:sz="14" w:space="8"/>
        </w:pBdr>
        <w:shd w:fill="E8F5E8" w:val="clear"/>
        <w:spacing w:after="160"/>
        <w:ind w:left="360"/>
      </w:pPr>
      <w:r>
        <w:rPr>
          <w:rFonts w:ascii="Arial" w:cs="Arial" w:eastAsia="Arial" w:hAnsi="Arial"/>
          <w:b/>
          <w:bCs/>
          <w:color w:val="1E7A1E"/>
          <w:sz w:val="22"/>
          <w:szCs w:val="22"/>
        </w:rPr>
        <w:t xml:space="preserve">OUTCOME:  </w:t>
      </w:r>
      <w:r>
        <w:rPr>
          <w:rFonts w:ascii="Arial" w:cs="Arial" w:eastAsia="Arial" w:hAnsi="Arial"/>
          <w:color w:val="000000"/>
          <w:sz w:val="22"/>
          <w:szCs w:val="22"/>
        </w:rPr>
        <w:t xml:space="preserve">Vioxx was withdrawn globally on 30 September 2004. Subsequent litigation revealed Merck had access to internal analyses showing cardiovascular risk as early as 2000. The US Senate Finance Committee investigation concluded the cardiovascular signals were present and suppressed. An estimated 88,000 to 140,000 excess cardiovascular events occurred. CIS, applied to the available signal set in 2001, would have generated a confirmed HCL hypothesis across four independent evidence streams — VIGOR, MedWatch reports, and the Mukherjee meta-analysis — two years before the APPROVE trial was needed to force the withdrawal.</w:t>
      </w:r>
    </w:p>
    <w:p>
      <w:r>
        <w:br w:type="page"/>
      </w:r>
    </w:p>
    <w:p>
      <w:pPr>
        <w:pStyle w:val="Heading1"/>
        <w:spacing w:after="160" w:before="480"/>
      </w:pPr>
      <w:r>
        <w:rPr>
          <w:rFonts w:ascii="Arial" w:cs="Arial" w:eastAsia="Arial" w:hAnsi="Arial"/>
          <w:b/>
          <w:bCs/>
          <w:color w:val="7B2D8B"/>
          <w:sz w:val="34"/>
          <w:szCs w:val="34"/>
        </w:rPr>
        <w:t xml:space="preserve">Case 3 — Boeing 737 MAX MCAS</w:t>
      </w:r>
    </w:p>
    <w:p>
      <w:pPr>
        <w:spacing w:after="200"/>
      </w:pPr>
      <w:r>
        <w:rPr>
          <w:rFonts w:ascii="Arial" w:cs="Arial" w:eastAsia="Arial" w:hAnsi="Arial"/>
          <w:i/>
          <w:iCs/>
          <w:color w:val="595959"/>
          <w:sz w:val="22"/>
          <w:szCs w:val="22"/>
        </w:rPr>
        <w:t xml:space="preserve">Boeing / FAA  ·  Global  ·  2016-2019</w:t>
      </w:r>
    </w:p>
    <w:p>
      <w:pPr>
        <w:pBdr>
          <w:bottom w:val="single" w:color="7B2D8B"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The Boeing 737 MAX entered service in 2017. On 29 October 2018, Lion Air Flight 610 crashed into the Java Sea, killing 189 people. On 10 March 2019, Ethiopian Airlines Flight 302 crashed near Addis Ababa, killing 157 people. Both crashes were caused by the Maneuvering Characteristics Augmentation System (MCAS) activating on a faulty angle-of-attack sensor reading and repeatedly forcing the nose down, overwhelming the pilots.</w:t>
      </w:r>
    </w:p>
    <w:p>
      <w:pPr>
        <w:spacing w:after="160" w:line="276"/>
      </w:pPr>
      <w:r>
        <w:rPr>
          <w:rFonts w:ascii="Arial" w:cs="Arial" w:eastAsia="Arial" w:hAnsi="Arial"/>
          <w:color w:val="000000"/>
          <w:sz w:val="22"/>
          <w:szCs w:val="22"/>
        </w:rPr>
        <w:t xml:space="preserve">MCAS had been added to compensate for the aerodynamic effect of larger engines repositioned on the airframe. Its existence and operating parameters were not fully disclosed in certification documentation or pilot training materials. Signals existed across five independent domains — FAA certification records, Boeing engineering data, airline pilot records, flight data recorder outputs, and incident reports — that together described the failure before the second crash. No cross-domain mechanism existed to assemble them.</w:t>
      </w:r>
    </w:p>
    <w:p>
      <w:pPr>
        <w:spacing w:after="160"/>
      </w:pPr>
      <w:r>
        <w:t xml:space="preserve"/>
      </w:r>
    </w:p>
    <w:p>
      <w:pPr>
        <w:pBdr>
          <w:left w:val="single" w:color="7B2D8B" w:sz="14" w:space="8"/>
        </w:pBdr>
        <w:spacing w:after="160"/>
        <w:ind w:left="360"/>
      </w:pPr>
      <w:r>
        <w:rPr>
          <w:rFonts w:ascii="Arial" w:cs="Arial" w:eastAsia="Arial" w:hAnsi="Arial"/>
          <w:b/>
          <w:bCs/>
          <w:color w:val="7B2D8B"/>
          <w:sz w:val="22"/>
          <w:szCs w:val="22"/>
        </w:rPr>
        <w:t xml:space="preserve">Why CIS:  </w:t>
      </w:r>
      <w:r>
        <w:rPr>
          <w:rFonts w:ascii="Arial" w:cs="Arial" w:eastAsia="Arial" w:hAnsi="Arial"/>
          <w:color w:val="000000"/>
          <w:sz w:val="22"/>
          <w:szCs w:val="22"/>
        </w:rPr>
        <w:t xml:space="preserve">This case exercises LP-3 (certification and operational safety domains not connected), LP-4 (MCAS design limitation displaced by pilot training explanation after Lion Air), LP-6 (prior angle-of-attack anomaly reports not escalated because each was individually small), and the critical role of cross-domain HCL analysis in connecting pre-crash signals from five independent sources.</w:t>
      </w:r>
    </w:p>
    <w:p>
      <w:pPr>
        <w:pBdr>
          <w:left w:val="single" w:color="1F3864" w:sz="14" w:space="8"/>
        </w:pBdr>
        <w:spacing w:after="160"/>
        <w:ind w:left="360"/>
      </w:pPr>
      <w:r>
        <w:rPr>
          <w:rFonts w:ascii="Arial" w:cs="Arial" w:eastAsia="Arial" w:hAnsi="Arial"/>
          <w:b/>
          <w:bCs/>
          <w:color w:val="1F3864"/>
          <w:sz w:val="22"/>
          <w:szCs w:val="22"/>
        </w:rPr>
        <w:t xml:space="preserve">Features this case exercises:  </w:t>
      </w:r>
      <w:r>
        <w:rPr>
          <w:rFonts w:ascii="Arial" w:cs="Arial" w:eastAsia="Arial" w:hAnsi="Arial"/>
          <w:color w:val="000000"/>
          <w:sz w:val="22"/>
          <w:szCs w:val="22"/>
        </w:rPr>
        <w:t xml:space="preserve">LP-3 (ASRS incident reports not connected to FDR data), LP-4 (Lion Air explanation displacing MCAS investigation), LP-6 (AOA anomaly reports treated as isolated), PATTERN from two crashes with same FDR signature, contradiction handling (certification basis vs actual MCAS parameters), RC-2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Boeing 737 MAX MCAS Safety Signal Analysis</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7B2D8B" w:sz="14" w:space="8"/>
        </w:pBdr>
        <w:spacing w:after="240"/>
        <w:ind w:left="360"/>
      </w:pPr>
      <w:r>
        <w:rPr>
          <w:rFonts w:ascii="Arial" w:cs="Arial" w:eastAsia="Arial" w:hAnsi="Arial"/>
          <w:b/>
          <w:bCs/>
          <w:color w:val="7B2D8B"/>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FAA Certification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Aircraft certification records, type certificate data, system safety assessments, and MCAS documentation as submitted by Boeing during the certification process.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Boeing Engineering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design documentation, flight test data, MCAS operating parameters, and the sensor dependency analysis completed during development.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Airline Operations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Pilot training records, what the flight manual said about MCAS (or did not say), post-Lion Air pilot bulletins, and airline technical communications.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Flight Data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Angle-of-attack sensor readings, FDR outputs, MCAS activation event logs from flights preceding the Lion Air crash, and Ethiopian Airlines FDR data.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Incident Reporting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Aviation Safety Reporting System (ASRS) reports from pilots, airline incident reports, and any pilot complaints about unexplained nose-down trim inputs before the crashes.</w:t>
            </w:r>
          </w:p>
        </w:tc>
      </w:tr>
    </w:tbl>
    <w:p>
      <w:pPr>
        <w:spacing w:after="160" w:line="276"/>
      </w:pPr>
      <w:r>
        <w:rPr>
          <w:rFonts w:ascii="Arial" w:cs="Arial" w:eastAsia="Arial" w:hAnsi="Arial"/>
          <w:color w:val="000000"/>
          <w:sz w:val="22"/>
          <w:szCs w:val="22"/>
        </w:rPr>
        <w:t xml:space="preserve">Declare all five domains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Five independent teams held five pieces of the picture. The FAA certification team, the Boeing engineering team, the airlines' training departments, the flight data analysts, and the pilots filing ASRS reports each had information that, combined, described a complete failure mode. None of them was looking at all five pictures together. This is the exact architecture that CIS cross-domain analysis is designed to penetrate.</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Periods: Period 1 = 2016-2017 (pre-entry into service). Period 2 = 2018 pre-crash. Period 3 = October 2018 (Lion Air crash). Period 4 = March 2019 (Ethiopian crash and grounding).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FAA Certification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MCAS described in the certification documentation as a system that operates only in limited conditions. Maximum deflection listed as 0.6 degrees per activation. The actual system operated with a maximum deflection of 2.5 degrees and could activate multiple times. The submitted parameters did not match the implemented system.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certification domain holds incomplete MCAS parameters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Boeing Engineering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Internal flight test data: MCAS is effective at preventing aerodynamic stall at high bank angles. The system depends on a single angle-of-attack sensor. No sensor disagreement protection was included in the original design. The risk mitigation assumption was that pilots could override using the electric trim.</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single sensor dependency noted — pilot override assumed as sufficient mitigation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Flight Data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Lion Air flights 043 and 044 on the days before the crash: the flight data recorder shows repeated MCAS activation events driven by the left angle-of-attack sensor, which was later confirmed as reading 21 degrees off true. The crews on both flights observed and counteracted the unusual nose-down trim inputs.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pre-crash flights showed the exact failure — not escalated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Incident Reporting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ASRS report from a 737 MAX pilot: unexpected and unexplained nose-down trim input during the climb phase. The pilot could not identify the system causing it at the time. Report classified as an isolated flight crew observation.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ASRS domain not connected to FDR domain. LP-6: isolated classification.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Airline Operations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Post-Lion Air pilot bulletin issued by Boeing: the bulletin noted uncommanded nose-down trim inputs and referred pilots to the existing runaway stabiliser checklist. The bulletin did not name MCAS or explain what the system was or how it operated.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MCAS design signal displaced by checklist reference — investigation closed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FAA Certification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Post-Lion Air FAA certification review: the MCAS assessment determined that the existing crew response procedure (the runaway stabiliser checklist) constituted adequate mitigation. No grounding was ordered. The certification basis was not re-examined.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 — CONTRADICT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Contradiction: Signal 1 showed incomplete parameters in certification. Signal 6 treats basis as adequate.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Flight Data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Ethiopian Airlines Flight 302 FDR: the same failure signature as Lion Air Flight 610. Left AOA sensor fault. Repeated MCAS activation. The crew followed the Boeing post-Lion Air bulletin procedure exactly. MCAS overcame the manual trim input. The aircraft crashed 6 minutes after takeoff.</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Ground truth: second crash with same FDR signature confirms cross-domain pattern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7B2D8B"/>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Incident Reporting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second ASRS report from a different airline in a different country: a 737 MAX pilot reported the same nose-down trim anomaly. Filed before the Ethiopian crash. No connection was made to the Lion Air incident in the ASRS review process.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47F00"/>
                <w:sz w:val="20"/>
                <w:szCs w:val="20"/>
              </w:rPr>
              <w:t xml:space="preserve">RETAIN (WSP)</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ASRS report not connected to Lion Air FDR data across domain boundary</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1 shows that the MCAS parameters submitted for FAA certification (0.6 degrees maximum, limited conditions) were different from the actual implemented parameters (2.5 degrees, broader activation conditions). Signal 6 shows the post-Lion Air FAA review treated the certification basis as adequate for the safety assessment. If the certification basis was incomplete (Signal 1), the safety assessment built on it (Signal 6) is built on an incomplete foundation.</w:t>
      </w:r>
    </w:p>
    <w:p>
      <w:pPr>
        <w:pStyle w:val="ListParagraph"/>
        <w:numPr>
          <w:ilvl w:val="0"/>
          <w:numId w:val="2"/>
        </w:numPr>
        <w:spacing w:after="160"/>
      </w:pPr>
      <w:r>
        <w:rPr>
          <w:rFonts w:ascii="Arial" w:cs="Arial" w:eastAsia="Arial" w:hAnsi="Arial"/>
          <w:color w:val="000000"/>
          <w:sz w:val="22"/>
          <w:szCs w:val="22"/>
        </w:rPr>
        <w:t xml:space="preserve">Go to Contradictions.</w:t>
      </w:r>
    </w:p>
    <w:p>
      <w:pPr>
        <w:pStyle w:val="ListParagraph"/>
        <w:numPr>
          <w:ilvl w:val="0"/>
          <w:numId w:val="2"/>
        </w:numPr>
        <w:spacing w:after="160"/>
      </w:pPr>
      <w:r>
        <w:rPr>
          <w:rFonts w:ascii="Arial" w:cs="Arial" w:eastAsia="Arial" w:hAnsi="Arial"/>
          <w:color w:val="000000"/>
          <w:sz w:val="22"/>
          <w:szCs w:val="22"/>
        </w:rPr>
        <w:t xml:space="preserve">Register Signal 1 (MCAS certification parameters do not match actual system) against Signal 6 (FAA post-Lion Air review treats certification basis as adequate).</w:t>
      </w:r>
    </w:p>
    <w:p>
      <w:pPr>
        <w:pStyle w:val="ListParagraph"/>
        <w:numPr>
          <w:ilvl w:val="0"/>
          <w:numId w:val="2"/>
        </w:numPr>
        <w:spacing w:after="160"/>
      </w:pPr>
      <w:r>
        <w:rPr>
          <w:rFonts w:ascii="Arial" w:cs="Arial" w:eastAsia="Arial" w:hAnsi="Arial"/>
          <w:color w:val="000000"/>
          <w:sz w:val="22"/>
          <w:szCs w:val="22"/>
        </w:rPr>
        <w:t xml:space="preserve">Description: Signal 1 shows the certified MCAS parameters were 0.6 degrees maximum. The actual system operated at 2.5 degrees. Signal 6 treats the certification basis as adequate for post-Lion Air safety assessment. An assessment built on a 0.6-degree assumption is not adequate for a 2.5-degree system.</w:t>
      </w:r>
    </w:p>
    <w:p>
      <w:pPr>
        <w:pStyle w:val="ListParagraph"/>
        <w:numPr>
          <w:ilvl w:val="0"/>
          <w:numId w:val="2"/>
        </w:numPr>
        <w:spacing w:after="160"/>
      </w:pPr>
      <w:r>
        <w:rPr>
          <w:rFonts w:ascii="Arial" w:cs="Arial" w:eastAsia="Arial" w:hAnsi="Arial"/>
          <w:color w:val="000000"/>
          <w:sz w:val="22"/>
          <w:szCs w:val="22"/>
        </w:rPr>
        <w:t xml:space="preserve">Resolution type: RC-2 (Falsification). Signal 7 (Ethiopian crash FDR) shows that the pilot checklist procedure — the mitigation Signal 6 treated as adequate — failed. Pilots followed the procedure exactly and MCAS overcame their manual trim input. The adequacy determination is falsified. Accept Signal 1.</w:t>
      </w:r>
    </w:p>
    <w:p>
      <w:pPr>
        <w:pStyle w:val="ListParagraph"/>
        <w:numPr>
          <w:ilvl w:val="0"/>
          <w:numId w:val="2"/>
        </w:numPr>
        <w:spacing w:after="160"/>
      </w:pPr>
      <w:r>
        <w:rPr>
          <w:rFonts w:ascii="Arial" w:cs="Arial" w:eastAsia="Arial" w:hAnsi="Arial"/>
          <w:color w:val="000000"/>
          <w:sz w:val="22"/>
          <w:szCs w:val="22"/>
        </w:rPr>
        <w:t xml:space="preserve">Click Confirm Resolution.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FAA Certification, Boeing Engineering, and Flight Data Records around MCAS sensor dependency and response adequacy.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PATTERN hypothesis from two crashes with the same FDR signature within five months.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Signals 4 and 8 (ASRS reports) are in RETAINED status under WSP.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ASRS reports (Incident Reporting) not connected to Flight Data Records across domain boundary.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post-Lion Air MCAS investigation displaced by pilot checklist reference.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pre-crash flight data (Signal 3) showing AOA sensor anomaly not escalated as an individual observation.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Signal 6 shows QUARANTINED status before resolution.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Add Evidence to the HCL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5560"/>
        <w:gridCol w:w="1400"/>
      </w:tblGrid>
      <w:tr>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10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WEIGHT</w:t>
            </w:r>
          </w:p>
        </w:tc>
        <w:tc>
          <w:tcPr>
            <w:tcW w:type="dxa" w:w="556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EVIDENCE DESCRIPTION — ENTER THIS</w:t>
            </w:r>
          </w:p>
        </w:tc>
        <w:tc>
          <w:tcPr>
            <w:tcW w:type="dxa" w:w="1400"/>
            <w:tcBorders>
              <w:top w:val="single" w:color="999999" w:sz="1"/>
              <w:left w:val="single" w:color="999999" w:sz="1"/>
              <w:bottom w:val="single" w:color="999999" w:sz="1"/>
              <w:right w:val="single" w:color="999999"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PLAUSIBILITY AFTER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0.9</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Single AOA sensor dependency (Signal 2) is the structural cause shared across both crashes. Both Lion Air and Ethiopian Airlines FDR data show the same left AOA sensor failure triggering MCAS. The engineering design decision created the shared failure pathway.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0.8</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Pre-crash flight data from Lion Air's preceding flights (Signal 3) shows the faulty sensor was producing incorrect readings before the crash. The same sensor type failed in the same way on Ethiopian Airlines. The failure mode was predictable from the pre-crash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0.7</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Two independent ASRS reports from unrelated pilots in different countries and airlines (Signals 4 and 8) describe the same anomalous trim behaviour. Independent human observations corroborate the FDR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SUPPORTING</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1.0</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Ethiopian Airlines FDR (Signal 7) confirms that pilots followed the post-Lion Air mitigation procedure exactly. MCAS overcame their manual input anyway. The mitigation was insufficient for the actual system parameters.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7 — Generate a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7B2D8B"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mentions the MCAS single-sensor dependency as the structural cause and the cross-domain pattern across certification, engineering, FDR, and incident domains.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Active Hypotheses: HCL hypothesis and PATTERN hypothesis both shown.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 Flags: LP-3 (ASRS-FDR boundary), LP-4 (checklist displacement), LP-6 (pre-crash anomalies not escalated) all listed.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Signal 1 vs Signal 6 shown as RESOLVED via RC-2.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ideally empty — all signals connected to confirmed HCL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Bdr>
          <w:left w:val="single" w:color="C00000" w:sz="14" w:space="8"/>
        </w:pBdr>
        <w:shd w:fill="FDE8E8" w:val="clear"/>
        <w:spacing w:after="200"/>
        <w:ind w:left="360"/>
      </w:pPr>
      <w:r>
        <w:rPr>
          <w:rFonts w:ascii="Arial" w:cs="Arial" w:eastAsia="Arial" w:hAnsi="Arial"/>
          <w:b/>
          <w:bCs/>
          <w:color w:val="C00000"/>
          <w:sz w:val="22"/>
          <w:szCs w:val="22"/>
        </w:rPr>
        <w:t xml:space="preserve">STOP — Read the answer section only after completing all steps.  Read the outcome below only after completing all seven steps.</w:t>
      </w:r>
    </w:p>
    <w:p>
      <w:pPr>
        <w:spacing w:after="160"/>
      </w:pPr>
      <w:r>
        <w:t xml:space="preserve"/>
      </w:r>
    </w:p>
    <w:p>
      <w:pPr>
        <w:pStyle w:val="Heading2"/>
        <w:spacing w:after="140" w:before="360"/>
      </w:pPr>
      <w:r>
        <w:rPr>
          <w:rFonts w:ascii="Arial" w:cs="Arial" w:eastAsia="Arial" w:hAnsi="Arial"/>
          <w:b/>
          <w:bCs/>
          <w:color w:val="1F3864"/>
          <w:sz w:val="26"/>
          <w:szCs w:val="26"/>
        </w:rPr>
        <w:t xml:space="preserve">The Boeing 737 MAX Outcome</w:t>
      </w:r>
    </w:p>
    <w:p>
      <w:pPr>
        <w:pBdr>
          <w:left w:val="single" w:color="1E7A1E" w:sz="14" w:space="8"/>
        </w:pBdr>
        <w:shd w:fill="E8F5E8" w:val="clear"/>
        <w:spacing w:after="160"/>
        <w:ind w:left="360"/>
      </w:pPr>
      <w:r>
        <w:rPr>
          <w:rFonts w:ascii="Arial" w:cs="Arial" w:eastAsia="Arial" w:hAnsi="Arial"/>
          <w:b/>
          <w:bCs/>
          <w:color w:val="1E7A1E"/>
          <w:sz w:val="22"/>
          <w:szCs w:val="22"/>
        </w:rPr>
        <w:t xml:space="preserve">OUTCOME:  </w:t>
      </w:r>
      <w:r>
        <w:rPr>
          <w:rFonts w:ascii="Arial" w:cs="Arial" w:eastAsia="Arial" w:hAnsi="Arial"/>
          <w:color w:val="000000"/>
          <w:sz w:val="22"/>
          <w:szCs w:val="22"/>
        </w:rPr>
        <w:t xml:space="preserve">The 737 MAX was grounded globally on 13 March 2019, three days after the Ethiopian crash. The US House Transportation Committee investigation (2020) concluded Boeing had submitted incomplete MCAS documentation to the FAA and that FAA oversight was inadequate. MCAS was redesigned to use both AOA sensors and limit activation. The aircraft returned to service in November 2020 after 20 months grounded. 346 people died across the two crashes. CIS, applied to the available signals before the Ethiopian crash, would have generated a confirmed HCL hypothesis connecting the AOA sensor dependency to the two ASRS pilot reports and the pre-crash Lion Air FDR data — all of which existed before Flight 302 departed Addis Ababa.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D8B" w:sz="4" w:space="4"/>
      </w:pBdr>
      <w:jc w:val="right"/>
    </w:pPr>
    <w:r>
      <w:rPr>
        <w:rFonts w:ascii="Arial" w:cs="Arial" w:eastAsia="Arial" w:hAnsi="Arial"/>
        <w:color w:val="595959"/>
        <w:sz w:val="18"/>
        <w:szCs w:val="18"/>
      </w:rPr>
      <w:t xml:space="preserve">cisnew.vercel.app  |  Version 2.0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B" w:sz="4" w:space="4"/>
      </w:pBdr>
    </w:pPr>
    <w:r>
      <w:rPr>
        <w:rFonts w:ascii="Arial" w:cs="Arial" w:eastAsia="Arial" w:hAnsi="Arial"/>
        <w:i/>
        <w:iCs/>
        <w:color w:val="595959"/>
        <w:sz w:val="18"/>
        <w:szCs w:val="18"/>
      </w:rPr>
      <w:t xml:space="preserve">CIS: Cognitive Intelligence System  |  Closed Cases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7B2D8B"/>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2026-06-08T00:53:15.766Z</dcterms:created>
  <dcterms:modified xsi:type="dcterms:W3CDTF">2026-06-08T00:53:15.781Z</dcterms:modified>
</cp:coreProperties>
</file>

<file path=docProps/custom.xml><?xml version="1.0" encoding="utf-8"?>
<Properties xmlns="http://schemas.openxmlformats.org/officeDocument/2006/custom-properties" xmlns:vt="http://schemas.openxmlformats.org/officeDocument/2006/docPropsVTypes"/>
</file>