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4A235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4A235A" w:sz="6" w:space="1"/>
        </w:pBdr>
        <w:spacing w:after="400"/>
      </w:pPr>
      <w:r>
        <w:t xml:space="preserve"/>
      </w:r>
    </w:p>
    <w:p>
      <w:pPr>
        <w:spacing w:after="120"/>
        <w:jc w:val="center"/>
      </w:pPr>
      <w:r>
        <w:rPr>
          <w:rFonts w:ascii="Arial" w:cs="Arial" w:eastAsia="Arial" w:hAnsi="Arial"/>
          <w:b/>
          <w:bCs/>
          <w:color w:val="4A235A"/>
          <w:sz w:val="56"/>
          <w:szCs w:val="56"/>
        </w:rPr>
        <w:t xml:space="preserve">COLD CASES</w:t>
      </w:r>
    </w:p>
    <w:p>
      <w:pPr>
        <w:spacing w:after="600"/>
        <w:jc w:val="center"/>
      </w:pPr>
      <w:r>
        <w:rPr>
          <w:rFonts w:ascii="Arial" w:cs="Arial" w:eastAsia="Arial" w:hAnsi="Arial"/>
          <w:color w:val="595959"/>
          <w:sz w:val="30"/>
          <w:szCs w:val="30"/>
        </w:rPr>
        <w:t xml:space="preserve">Volume 2 — Intelligence and State Secrets</w:t>
      </w:r>
    </w:p>
    <w:p>
      <w:pPr>
        <w:spacing w:after="600"/>
        <w:jc w:val="center"/>
      </w:pPr>
      <w:r>
        <w:rPr>
          <w:rFonts w:ascii="Arial" w:cs="Arial" w:eastAsia="Arial" w:hAnsi="Arial"/>
          <w:color w:val="3C3C3C"/>
          <w:sz w:val="24"/>
          <w:szCs w:val="24"/>
        </w:rPr>
        <w:t xml:space="preserve">Havana Syndrome  ·  BALCO  ·  The Somerton Man</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4A235A"/>
          <w:sz w:val="34"/>
          <w:szCs w:val="34"/>
        </w:rPr>
        <w:t xml:space="preserve">Case 1 — Havana Syndrome</w:t>
      </w:r>
    </w:p>
    <w:p>
      <w:pPr>
        <w:shd w:fill="4A235A" w:val="clear"/>
        <w:spacing w:after="240"/>
      </w:pPr>
      <w:r>
        <w:rPr>
          <w:rFonts w:ascii="Arial" w:cs="Arial" w:eastAsia="Arial" w:hAnsi="Arial"/>
          <w:b/>
          <w:bCs/>
          <w:color w:val="FFFFFF"/>
          <w:sz w:val="22"/>
          <w:szCs w:val="22"/>
        </w:rPr>
        <w:t xml:space="preserve">  COLD CASE — NO CONFIRMED ANSWER — INVESTIGATION OPEN  </w:t>
      </w:r>
    </w:p>
    <w:p>
      <w:pPr>
        <w:spacing w:after="200"/>
      </w:pPr>
      <w:r>
        <w:rPr>
          <w:rFonts w:ascii="Arial" w:cs="Arial" w:eastAsia="Arial" w:hAnsi="Arial"/>
          <w:i/>
          <w:iCs/>
          <w:color w:val="595959"/>
          <w:sz w:val="22"/>
          <w:szCs w:val="22"/>
        </w:rPr>
        <w:t xml:space="preserve">Havana, Cuba and globally  ·  2016-ongoing  ·  ~1,000 cases across 70+ countries</w:t>
      </w:r>
    </w:p>
    <w:p>
      <w:pPr>
        <w:pBdr>
          <w:bottom w:val="single" w:color="4A235A"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Beginning in late 2016, US diplomatic and intelligence personnel stationed in Havana, Cuba began reporting a distinctive and alarming cluster of symptoms: a sudden onset of directional sound (often described as a loud buzzing, grinding, or clicking), followed by persistent headache, cognitive impairment, memory loss, vestibular disruption, and vision problems. Many cases required medical evacuation. The US Embassy in Havana was ultimately reduced in staff.</w:t>
      </w:r>
    </w:p>
    <w:p>
      <w:pPr>
        <w:spacing w:after="160" w:line="276"/>
      </w:pPr>
      <w:r>
        <w:rPr>
          <w:rFonts w:ascii="Arial" w:cs="Arial" w:eastAsia="Arial" w:hAnsi="Arial"/>
          <w:color w:val="000000"/>
          <w:sz w:val="22"/>
          <w:szCs w:val="22"/>
        </w:rPr>
        <w:t xml:space="preserve">The phenomenon spread. Similar cases were reported in Guangzhou, China (2018), Vienna, Austria (2021 — the largest single cluster outside Havana), and eventually across 70+ countries involving approximately 1,000 people including CIA officers, State Department officials, NSC staff, and military personnel. The US government has investigated the phenomenon for seven years without establishing a confirmed cause.</w:t>
      </w:r>
    </w:p>
    <w:p>
      <w:pPr>
        <w:spacing w:after="160" w:line="276"/>
      </w:pPr>
      <w:r>
        <w:rPr>
          <w:rFonts w:ascii="Arial" w:cs="Arial" w:eastAsia="Arial" w:hAnsi="Arial"/>
          <w:color w:val="000000"/>
          <w:sz w:val="22"/>
          <w:szCs w:val="22"/>
        </w:rPr>
        <w:t xml:space="preserve">The investigations remain split across medical, physics, intelligence, and epidemiological domains that have reached different conclusions. The CIA concluded in 2022 that most cases were likely explained by environmental factors, pre-existing conditions, or psychogenic illness. A minority of cases remained unexplained. Several prominent US intelligence officers and physicians publicly disputed the CIA's conclusion.</w:t>
      </w:r>
    </w:p>
    <w:p>
      <w:pPr>
        <w:spacing w:after="160"/>
      </w:pPr>
      <w:r>
        <w:t xml:space="preserve"/>
      </w:r>
    </w:p>
    <w:p>
      <w:pPr>
        <w:pBdr>
          <w:left w:val="single" w:color="4A235A" w:sz="14" w:space="8"/>
        </w:pBdr>
        <w:spacing w:after="160"/>
        <w:ind w:left="360"/>
      </w:pPr>
      <w:r>
        <w:rPr>
          <w:rFonts w:ascii="Arial" w:cs="Arial" w:eastAsia="Arial" w:hAnsi="Arial"/>
          <w:b/>
          <w:bCs/>
          <w:color w:val="4A235A"/>
          <w:sz w:val="22"/>
          <w:szCs w:val="22"/>
        </w:rPr>
        <w:t xml:space="preserve">Why CIS:  </w:t>
      </w:r>
      <w:r>
        <w:rPr>
          <w:rFonts w:ascii="Arial" w:cs="Arial" w:eastAsia="Arial" w:hAnsi="Arial"/>
          <w:color w:val="000000"/>
          <w:sz w:val="22"/>
          <w:szCs w:val="22"/>
        </w:rPr>
        <w:t xml:space="preserve">Havana Syndrome is a five-domain investigation where the domains are managed by different US government agencies that do not share operational data. The medical findings, the physics analysis, the intelligence assessment, the embassy security logs, and the historical precedent of Soviet microwave weapons programs each tell part of a story that has never been assembled into a single cross-domain view.</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Havana Syndrome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4A235A" w:sz="14" w:space="8"/>
        </w:pBdr>
        <w:spacing w:after="240"/>
        <w:ind w:left="360"/>
      </w:pPr>
      <w:r>
        <w:rPr>
          <w:rFonts w:ascii="Arial" w:cs="Arial" w:eastAsia="Arial" w:hAnsi="Arial"/>
          <w:b/>
          <w:bCs/>
          <w:color w:val="4A235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Medical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Symptom patterns, onset descriptions, neurological findings including white matter changes, audiological findings, and the clinical profile across the affected population.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Signals Physics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Analysis of the physical mechanisms that could produce the reported symptoms: acoustic devices, microwave/directed energy weapons, infrasound, and the Frey effect.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Intelligence Assessment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CIA's 2022 panel conclusions, the JASON report findings, State Department and NSC assessments, and the accounts of case officers who dispute the official conclusion.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Embassy Security Logs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Timing and location of incident reports, which facilities and residences were affected, whether patterns exist in the placement of incidents.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Historical Precedent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Moscow Signal (1953-1976): Soviet microwave irradiation of the US Embassy Moscow. History of directed energy research programs in the USSR and subsequently Russia.</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Medical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first Havana cohort (2016-2017): 26 US diplomatic personnel reported a consistent pattern. Onset was often sudden and directional. Symptoms included persistent cognitive dysfunction, hearing loss, balance problems, and sleep disruption. Several required medical evacuation to Walter Reed National Military Medical Center.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Baseline clinical pattern — directional onset distinguishes this from standard neurological presentations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Medical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Verma et al., JAMA 2019: a study comparing 40 affected Havana personnel to controls found significant differences in brain white matter integrity on diffusion tensor imaging. The affected group showed differences in the cerebellum and visual cortex consistent with microstructural injury. The study was contested on sample size and control group grounds.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neuroimaging findings treated as contested rather than escalation-worthy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Physics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Frey effect: frequencies between 300 MHz and 3 GHz can cause humans to perceive auditory sensations — a buzzing, clicking, or hissing sound. This effect does not require an ear canal. It is mediated directly through microwave absorption in tissue adjacent to the cochlea. US research on this effect dates to the 1960s at Walter Reed.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Physical mechanism consistent with the directional auditory onset described by Havana personnel</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Intelligence Assessment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CIA's 2022 panel concluded that the majority of Havana Syndrome cases were most likely caused by environmental factors, pre-existing conditions, or stress reactions. The panel identified approximately 20-25 cases as unexplained by this conclusion. Several senior CIA officers who were themselves affected disputed the panel's methodology and conclusion publicly.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mass psychogenic illness explanation displaces unresolved cases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Embassy Security Logs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Cases were not isolated to a single location. Guangzhou, China (2018): at least one evacuated US officer. Vienna, Austria (2021): over 40 cases at the US Embassy and among intelligence officers stationed in Vienna — the largest single cluster. Moscow: documented cases among US personnel. The pattern suggests targeted intelligence operatives as a common factor.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security logs across multiple countries not cross-connected in single domain view</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Historical Precedent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Moscow Signal: from 1953 to 1976, the Soviet Union directed microwave radiation at the US Embassy Moscow. Ambassador Walter Stoessel was exposed and later died of a rare blood disease. The US government concealed the irradiation from embassy staff. The incident was classified for decades. Soviet microwave weapons research continued after the Cold War through successor state programs.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Direct historical precedent: a foreign state has previously irradiated US diplomatic personnel with directed energy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Physics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JASON report (2018): a panel of independent physicists concluded that pulsed radiofrequency energy was a plausible mechanism for the Havana Syndrome symptoms. The report was classified and not made fully public. Its existence and general conclusions were reported by the New York Times.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JASON report classified — its findings not accessible to the medical investigation domain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Intelligence Assessment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group of US intelligence officers — some themselves affected by Havana Syndrome — gave testimony to a Senate committee in 2023 indicating they believed their cases were not explainable by the CIA's psychogenic conclusion and that foreign adversary action remained a plausible cause. Several had been placed on administrative leave after reporting their symptoms.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CONTRADICT Signal 4: CIA conclusion vs first-person officer testimony</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4 (CIA 2022 panel: most cases explained by psychogenic or environmental factors) and Signal 8 (affected intelligence officers: cases not explainable by psychogenic conclusion, foreign adversary action plausible) are in direct institutional contradiction.</w:t>
      </w:r>
    </w:p>
    <w:p>
      <w:pPr>
        <w:pStyle w:val="ListParagraph"/>
        <w:numPr>
          <w:ilvl w:val="0"/>
          <w:numId w:val="2"/>
        </w:numPr>
        <w:spacing w:after="160"/>
      </w:pPr>
      <w:r>
        <w:rPr>
          <w:rFonts w:ascii="Arial" w:cs="Arial" w:eastAsia="Arial" w:hAnsi="Arial"/>
          <w:color w:val="000000"/>
          <w:sz w:val="22"/>
          <w:szCs w:val="22"/>
        </w:rPr>
        <w:t xml:space="preserve">Register Signal 4 against Signal 8. Description: The CIA panel concluded that mass psychogenic illness was the most probable explanation for the majority of cases. Affected intelligence officers who reported symptoms formally disputed this conclusion before a Senate committee, stating their cases did not fit the psychogenic profile and that foreign adversary action remained a credible explanation. Both cannot simultaneously be accurate institutional assessments.</w:t>
      </w:r>
    </w:p>
    <w:p>
      <w:pPr>
        <w:pStyle w:val="ListParagraph"/>
        <w:numPr>
          <w:ilvl w:val="0"/>
          <w:numId w:val="2"/>
        </w:numPr>
        <w:spacing w:after="160"/>
      </w:pPr>
      <w:r>
        <w:rPr>
          <w:rFonts w:ascii="Arial" w:cs="Arial" w:eastAsia="Arial" w:hAnsi="Arial"/>
          <w:color w:val="000000"/>
          <w:sz w:val="22"/>
          <w:szCs w:val="22"/>
        </w:rPr>
        <w:t xml:space="preserve">Leave unresolved. This is the central institutional disagreement in the investigation.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HCL hypothesis connecting Medical Records, Signals Physics, and Historical Precedent around directed energy as a plausible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psychogenic illness explanation applied to the majority of cases, displacing unexplained minority.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JASON report classified — physics findings not accessible to medical investigation 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Vienna cluster (40+ cases) treated as the same phenomenon as Havana rather than a significant escalation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Embassy Security Log patterns across Guangzhou, Vienna, and Moscow not cross-connected in a single 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CIA conclusion vs affected officer testimony shown as unresolved.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4A235A" w:sz="14" w:space="8"/>
        </w:pBdr>
        <w:spacing w:after="140"/>
        <w:ind w:left="360"/>
      </w:pPr>
      <w:r>
        <w:rPr>
          <w:rFonts w:ascii="Arial" w:cs="Arial" w:eastAsia="Arial" w:hAnsi="Arial"/>
          <w:b/>
          <w:bCs/>
          <w:color w:val="4A235A"/>
          <w:sz w:val="22"/>
          <w:szCs w:val="22"/>
        </w:rPr>
        <w:t xml:space="preserve">H1 — Foreign adversary directed energy weapon:  </w:t>
      </w:r>
      <w:r>
        <w:rPr>
          <w:rFonts w:ascii="Arial" w:cs="Arial" w:eastAsia="Arial" w:hAnsi="Arial"/>
          <w:color w:val="000000"/>
          <w:sz w:val="22"/>
          <w:szCs w:val="22"/>
        </w:rPr>
        <w:t xml:space="preserve">Pulsed radiofrequency energy targeting US intelligence personnel. Consistent with the Moscow Signal precedent, the JASON panel's physical mechanism assessment, and the targeting of intelligence officers specifically. Remains officially unconfirmed.</w:t>
      </w:r>
    </w:p>
    <w:p>
      <w:pPr>
        <w:pBdr>
          <w:left w:val="single" w:color="4A235A" w:sz="14" w:space="8"/>
        </w:pBdr>
        <w:spacing w:after="140"/>
        <w:ind w:left="360"/>
      </w:pPr>
      <w:r>
        <w:rPr>
          <w:rFonts w:ascii="Arial" w:cs="Arial" w:eastAsia="Arial" w:hAnsi="Arial"/>
          <w:b/>
          <w:bCs/>
          <w:color w:val="4A235A"/>
          <w:sz w:val="22"/>
          <w:szCs w:val="22"/>
        </w:rPr>
        <w:t xml:space="preserve">H2 — Mass psychogenic illness with some genuine cases:  </w:t>
      </w:r>
      <w:r>
        <w:rPr>
          <w:rFonts w:ascii="Arial" w:cs="Arial" w:eastAsia="Arial" w:hAnsi="Arial"/>
          <w:color w:val="000000"/>
          <w:sz w:val="22"/>
          <w:szCs w:val="22"/>
        </w:rPr>
        <w:t xml:space="preserve">The majority of cases are stress-related functional neurological disorder. A small number of cases involve genuine physical injury from an unknown cause. The CIA's 2022 conclusion. Does not explain the neuroimaging findings or the directional onset.</w:t>
      </w:r>
    </w:p>
    <w:p>
      <w:pPr>
        <w:pBdr>
          <w:left w:val="single" w:color="4A235A" w:sz="14" w:space="8"/>
        </w:pBdr>
        <w:spacing w:after="140"/>
        <w:ind w:left="360"/>
      </w:pPr>
      <w:r>
        <w:rPr>
          <w:rFonts w:ascii="Arial" w:cs="Arial" w:eastAsia="Arial" w:hAnsi="Arial"/>
          <w:b/>
          <w:bCs/>
          <w:color w:val="4A235A"/>
          <w:sz w:val="22"/>
          <w:szCs w:val="22"/>
        </w:rPr>
        <w:t xml:space="preserve">H3 — Accidental exposure from surveillance technology:  </w:t>
      </w:r>
      <w:r>
        <w:rPr>
          <w:rFonts w:ascii="Arial" w:cs="Arial" w:eastAsia="Arial" w:hAnsi="Arial"/>
          <w:color w:val="000000"/>
          <w:sz w:val="22"/>
          <w:szCs w:val="22"/>
        </w:rPr>
        <w:t xml:space="preserve">US personnel were accidentally exposed to the electromagnetic emissions of Russian surveillance equipment rather than a weapon deliberately targeted at them. Explains why a weapon has never been definitively identified.</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What explains the neuroimaging white matter differences found in the Havana cohort if psychogenic illness is the explanation?</w:t>
      </w:r>
    </w:p>
    <w:p>
      <w:pPr>
        <w:pStyle w:val="ListParagraph"/>
        <w:numPr>
          <w:ilvl w:val="0"/>
          <w:numId w:val="3"/>
        </w:numPr>
        <w:spacing w:after="120"/>
      </w:pPr>
      <w:r>
        <w:rPr>
          <w:rFonts w:ascii="Arial" w:cs="Arial" w:eastAsia="Arial" w:hAnsi="Arial"/>
          <w:color w:val="000000"/>
          <w:sz w:val="22"/>
          <w:szCs w:val="22"/>
        </w:rPr>
        <w:t xml:space="preserve">Why is the JASON report still classified if its findings support a physical mechanism?</w:t>
      </w:r>
    </w:p>
    <w:p>
      <w:pPr>
        <w:pStyle w:val="ListParagraph"/>
        <w:numPr>
          <w:ilvl w:val="0"/>
          <w:numId w:val="3"/>
        </w:numPr>
        <w:spacing w:after="120"/>
      </w:pPr>
      <w:r>
        <w:rPr>
          <w:rFonts w:ascii="Arial" w:cs="Arial" w:eastAsia="Arial" w:hAnsi="Arial"/>
          <w:color w:val="000000"/>
          <w:sz w:val="22"/>
          <w:szCs w:val="22"/>
        </w:rPr>
        <w:t xml:space="preserve">What is the common factor among the approximately 20-25 cases the CIA acknowledged it could not explain?</w:t>
      </w:r>
    </w:p>
    <w:p>
      <w:pPr>
        <w:pStyle w:val="ListParagraph"/>
        <w:numPr>
          <w:ilvl w:val="0"/>
          <w:numId w:val="3"/>
        </w:numPr>
        <w:spacing w:after="120"/>
      </w:pPr>
      <w:r>
        <w:rPr>
          <w:rFonts w:ascii="Arial" w:cs="Arial" w:eastAsia="Arial" w:hAnsi="Arial"/>
          <w:color w:val="000000"/>
          <w:sz w:val="22"/>
          <w:szCs w:val="22"/>
        </w:rPr>
        <w:t xml:space="preserve">Is there a pattern in the targeting — rank, role, location of service — that would indicate deliberate selection?</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neurologists familiar with the Verma 2019 study and subsequent work; physicists with expertise in pulsed radiofrequency bioeffects; anyone with knowledge of the classified JASON report or the intelligence community's counter-assessment.</w:t>
      </w:r>
    </w:p>
    <w:p>
      <w:pPr>
        <w:pBdr>
          <w:left w:val="single" w:color="4A235A" w:sz="14" w:space="8"/>
        </w:pBdr>
        <w:spacing w:after="240"/>
        <w:ind w:left="360"/>
      </w:pPr>
      <w:r>
        <w:rPr>
          <w:rFonts w:ascii="Arial" w:cs="Arial" w:eastAsia="Arial" w:hAnsi="Arial"/>
          <w:b/>
          <w:bCs/>
          <w:color w:val="4A235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480"/>
      </w:pPr>
      <w:r>
        <w:rPr>
          <w:rFonts w:ascii="Arial" w:cs="Arial" w:eastAsia="Arial" w:hAnsi="Arial"/>
          <w:b/>
          <w:bCs/>
          <w:color w:val="4A235A"/>
          <w:sz w:val="34"/>
          <w:szCs w:val="34"/>
        </w:rPr>
        <w:t xml:space="preserve">Case 2 — BALCO: The Unfinished Investigation</w:t>
      </w:r>
    </w:p>
    <w:p>
      <w:pPr>
        <w:shd w:fill="4A235A" w:val="clear"/>
        <w:spacing w:after="240"/>
      </w:pPr>
      <w:r>
        <w:rPr>
          <w:rFonts w:ascii="Arial" w:cs="Arial" w:eastAsia="Arial" w:hAnsi="Arial"/>
          <w:b/>
          <w:bCs/>
          <w:color w:val="FFFFFF"/>
          <w:sz w:val="22"/>
          <w:szCs w:val="22"/>
        </w:rPr>
        <w:t xml:space="preserve">  COLD CASE — NO CONFIRMED ANSWER — INVESTIGATION OPEN  </w:t>
      </w:r>
    </w:p>
    <w:p>
      <w:pPr>
        <w:spacing w:after="200"/>
      </w:pPr>
      <w:r>
        <w:rPr>
          <w:rFonts w:ascii="Arial" w:cs="Arial" w:eastAsia="Arial" w:hAnsi="Arial"/>
          <w:i/>
          <w:iCs/>
          <w:color w:val="595959"/>
          <w:sz w:val="22"/>
          <w:szCs w:val="22"/>
        </w:rPr>
        <w:t xml:space="preserve">Bay Area Laboratory Co-operative  ·  2002-2004  ·  Federal Investigation Closed, Questions Open</w:t>
      </w:r>
    </w:p>
    <w:p>
      <w:pPr>
        <w:pBdr>
          <w:bottom w:val="single" w:color="4A235A"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BALCO (Bay Area Laboratory Co-operative) was a sports nutrition company operated by Victor Conte in Burlingame, California. In September 2003, federal agents raided BALCO following a tip from coach Trevor Graham, who sent USADA a syringe containing an unknown steroid. The substance was identified as THG (tetrahydrogestrinone), a designer steroid specifically engineered to evade standard drug testing. The federal investigation that followed exposed the most significant systematic doping scandal in American sports history.</w:t>
      </w:r>
    </w:p>
    <w:p>
      <w:pPr>
        <w:spacing w:after="160" w:line="276"/>
      </w:pPr>
      <w:r>
        <w:rPr>
          <w:rFonts w:ascii="Arial" w:cs="Arial" w:eastAsia="Arial" w:hAnsi="Arial"/>
          <w:color w:val="000000"/>
          <w:sz w:val="22"/>
          <w:szCs w:val="22"/>
        </w:rPr>
        <w:t xml:space="preserve">Victor Conte pleaded guilty. Several athletes were prosecuted. Marion Jones served time in federal prison for perjury. Barry Bonds was convicted of obstruction of justice (later overturned). Multiple Olympic medals were stripped. But the investigation left significant threads unresolved: which athletes received BALCO substances but were never publicly named; what the sports governing bodies knew and when; and whether the USOC medical structure had any knowledge of the distribution network.</w:t>
      </w:r>
    </w:p>
    <w:p>
      <w:pPr>
        <w:spacing w:after="160"/>
      </w:pPr>
      <w:r>
        <w:t xml:space="preserve"/>
      </w:r>
    </w:p>
    <w:p>
      <w:pPr>
        <w:pBdr>
          <w:left w:val="single" w:color="4A235A" w:sz="14" w:space="8"/>
        </w:pBdr>
        <w:spacing w:after="160"/>
        <w:ind w:left="360"/>
      </w:pPr>
      <w:r>
        <w:rPr>
          <w:rFonts w:ascii="Arial" w:cs="Arial" w:eastAsia="Arial" w:hAnsi="Arial"/>
          <w:b/>
          <w:bCs/>
          <w:color w:val="4A235A"/>
          <w:sz w:val="22"/>
          <w:szCs w:val="22"/>
        </w:rPr>
        <w:t xml:space="preserve">Why CIS:  </w:t>
      </w:r>
      <w:r>
        <w:rPr>
          <w:rFonts w:ascii="Arial" w:cs="Arial" w:eastAsia="Arial" w:hAnsi="Arial"/>
          <w:color w:val="000000"/>
          <w:sz w:val="22"/>
          <w:szCs w:val="22"/>
        </w:rPr>
        <w:t xml:space="preserve">The BALCO investigation was conducted by separate agencies — DOJ, USADA, WADA, and individual sports federations — that shared evidence imperfectly and reached different conclusions. The criminal network domain, the sports governance domain, the athlete testing domain, and the USOC medical domain have never been assembled into a single cross-domain view of what was known, when, and by whom.</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BALCO — Unfinished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4A235A" w:sz="14" w:space="8"/>
        </w:pBdr>
        <w:spacing w:after="240"/>
        <w:ind w:left="360"/>
      </w:pPr>
      <w:r>
        <w:rPr>
          <w:rFonts w:ascii="Arial" w:cs="Arial" w:eastAsia="Arial" w:hAnsi="Arial"/>
          <w:b/>
          <w:bCs/>
          <w:color w:val="4A235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Federal Investigation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Grand jury testimony, USADA tip records, the search warrant and what was found, the plea agreements, and the evidence that formed the basis for the prosecutions.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Sports Governing Bodies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individual federations (IAAF, USOC, IOC, MLB, NFL) knew about doping in their sport before the BALCO raid, and what actions they took or did not take on signals they held.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Athlete Testing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Drug test results for affected athletes across the relevant period, positive tests that were managed within federation systems before external pressure, and the test protocols that failed to detect THG.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Criminal Network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Victor Conte's client and distribution records, the network of coaches, intermediaries, and athletes who received BALCO substances, and the geographic spread of the operation.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USOC Medical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structure of USOC team physician access, supplement recommendations made to national team members, and what USOC medical staff observed or knew during the 1999-2003 period.</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Federal Investigation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BALCO investigation was triggered in June 2003 when Trevor Graham, a track coach, sent USADA a syringe containing an unidentified dark substance. The substance was identified by Professor Don Catlin at UCLA as tetrahydrogestrinone — a previously unknown designer steroid. The molecule had been specifically engineered to pass standard IOC and WADA drug screens.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Designer steroid engineered to evade testing — deliberate institutional evasion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Criminal Network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Victor Conte's client records, established through the federal search warrant, included elite athletes from track and field, baseball, professional football, and boxing across multiple countries and national programs. The operation was international in scope. Conte has stated in subsequent interviews that he worked with athletes from many programs not named in the federal indictment.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distribution network spans multiple sports governance domains — no single federation saw the full picture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Sports Governing Bodies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IAAF records from 1999-2003 included multiple positive tests for performance-enhancing substances from athletes later connected to BALCO or similar networks. Several of these tests were managed within the federation's internal system and not pursued to full sanction. Marion Jones tested positive for EPO in 2006 — outside the BALCO window — but the IAAF's handling of her case during the BALCO period has been separately questioned.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positive tests handled within federation domain — not escalated to cross-sport view</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Athlete Testing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THG was undetectable by standard drug tests before Catlin's identification of the molecule in 2003. This means that any tests taken by BALCO-affiliated athletes before the September 2003 identification would have returned negative results for THG regardless of whether the athlete was using the substance. The testing record therefore has a systematic blind spot for the 2001-2003 window.</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Key structural signal: testing records are incomplete for the critical period by design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Federal Investigation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Several athletes who testified before the federal grand jury were granted immunity in exchange for their testimony. The terms of the immunity agreements meant that their full testimony — including who they named and what they admitted to — was not fully disclosed publicly. The immunised athletes' accounts represent a significant evidential gap in the public record.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immunised testimony closed at the point of legal resolution — evidence not made public</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Sports Governing Bodies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World Anti-Doping Agency (WADA) did not have the current standard of cross-sport, cross-nation data sharing during the 2001-2003 period. Each federation managed its own testing and enforcement. WADA's role was advisory rather than supervisory. This structural gap was identified in the post-BALCO reforms but the pre-reform records reflect it.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no cross-sport domain existed to see the full network — this was the structural gap BALCO exploited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USOC Medical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USOC team physician program provided medical support to US national team athletes across all sports. Team physicians had access to athlete health records and supplement protocols. The question of whether any USOC medical staff had observations about athlete physiology or supplement use during the 2001-2003 period that were not connected to the BALCO investigation has not been publicly addressed.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USOC medical domain not formally connected to the federal investigation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Criminal Network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Conte has given multiple public interviews since his release from prison in which he has indicated that the athletes named in the federal proceedings represented a fraction of his client base. He has implied that athletes from programs not included in the investigation received BALCO substances. This account remains unverified but has not been retracted.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Open signal: the scale of the network may be larger than the prosecution established</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4 (THG was undetectable before September 2003 — testing records have a systematic blind spot) and Signal 3 (IAAF positive tests from the 1999-2003 window that were managed within the federation system) are in structural tension. If tests could not detect THG, the positive tests that were managed internally were not detecting THG either — they may have been detecting other substances, or may reflect a broader pattern of internal management of positive tests not limited to THG.</w:t>
      </w:r>
    </w:p>
    <w:p>
      <w:pPr>
        <w:pStyle w:val="ListParagraph"/>
        <w:numPr>
          <w:ilvl w:val="0"/>
          <w:numId w:val="2"/>
        </w:numPr>
        <w:spacing w:after="160"/>
      </w:pPr>
      <w:r>
        <w:rPr>
          <w:rFonts w:ascii="Arial" w:cs="Arial" w:eastAsia="Arial" w:hAnsi="Arial"/>
          <w:color w:val="000000"/>
          <w:sz w:val="22"/>
          <w:szCs w:val="22"/>
        </w:rPr>
        <w:t xml:space="preserve">Register Signal 4 (THG blind spot) against Signal 3 (managed positive tests in federation system).</w:t>
      </w:r>
    </w:p>
    <w:p>
      <w:pPr>
        <w:pStyle w:val="ListParagraph"/>
        <w:numPr>
          <w:ilvl w:val="0"/>
          <w:numId w:val="2"/>
        </w:numPr>
        <w:spacing w:after="160"/>
      </w:pPr>
      <w:r>
        <w:rPr>
          <w:rFonts w:ascii="Arial" w:cs="Arial" w:eastAsia="Arial" w:hAnsi="Arial"/>
          <w:color w:val="000000"/>
          <w:sz w:val="22"/>
          <w:szCs w:val="22"/>
        </w:rPr>
        <w:t xml:space="preserve">Description: If the systematic blind spot for THG means that BALCO network athletes tested clean during 2001-2003, then the positive tests being managed within federation systems during the same period must relate to different substances. This raises the question of whether there were parallel doping networks being managed within federation systems alongside BALCO — rather than the same network.</w:t>
      </w:r>
    </w:p>
    <w:p>
      <w:pPr>
        <w:pStyle w:val="ListParagraph"/>
        <w:numPr>
          <w:ilvl w:val="0"/>
          <w:numId w:val="2"/>
        </w:numPr>
        <w:spacing w:after="160"/>
      </w:pPr>
      <w:r>
        <w:rPr>
          <w:rFonts w:ascii="Arial" w:cs="Arial" w:eastAsia="Arial" w:hAnsi="Arial"/>
          <w:color w:val="000000"/>
          <w:sz w:val="22"/>
          <w:szCs w:val="22"/>
        </w:rPr>
        <w:t xml:space="preserve">Leave as unresolved. This is the central unresolved structural question.</w:t>
      </w:r>
    </w:p>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4A235A" w:sz="14" w:space="8"/>
        </w:pBdr>
        <w:spacing w:after="140"/>
        <w:ind w:left="360"/>
      </w:pPr>
      <w:r>
        <w:rPr>
          <w:rFonts w:ascii="Arial" w:cs="Arial" w:eastAsia="Arial" w:hAnsi="Arial"/>
          <w:b/>
          <w:bCs/>
          <w:color w:val="4A235A"/>
          <w:sz w:val="22"/>
          <w:szCs w:val="22"/>
        </w:rPr>
        <w:t xml:space="preserve">H1 — BALCO was a contained network, fully captured by the federal investigation:  </w:t>
      </w:r>
      <w:r>
        <w:rPr>
          <w:rFonts w:ascii="Arial" w:cs="Arial" w:eastAsia="Arial" w:hAnsi="Arial"/>
          <w:color w:val="000000"/>
          <w:sz w:val="22"/>
          <w:szCs w:val="22"/>
        </w:rPr>
        <w:t xml:space="preserve">The prosecution named the key actors. The distribution network, while larger than publicly named, operated within the bounds of what the immunised testimony established. The remaining questions are about enforcement gaps, not about a different network.</w:t>
      </w:r>
    </w:p>
    <w:p>
      <w:pPr>
        <w:pBdr>
          <w:left w:val="single" w:color="4A235A" w:sz="14" w:space="8"/>
        </w:pBdr>
        <w:spacing w:after="140"/>
        <w:ind w:left="360"/>
      </w:pPr>
      <w:r>
        <w:rPr>
          <w:rFonts w:ascii="Arial" w:cs="Arial" w:eastAsia="Arial" w:hAnsi="Arial"/>
          <w:b/>
          <w:bCs/>
          <w:color w:val="4A235A"/>
          <w:sz w:val="22"/>
          <w:szCs w:val="22"/>
        </w:rPr>
        <w:t xml:space="preserve">H2 — BALCO was one part of a larger systematic doping infrastructure:  </w:t>
      </w:r>
      <w:r>
        <w:rPr>
          <w:rFonts w:ascii="Arial" w:cs="Arial" w:eastAsia="Arial" w:hAnsi="Arial"/>
          <w:color w:val="000000"/>
          <w:sz w:val="22"/>
          <w:szCs w:val="22"/>
        </w:rPr>
        <w:t xml:space="preserve">Conte's post-prison statements suggest a larger client base. The federation-managed positive tests suggest parallel systems. The unresolved thread is whether BALCO intersected with or was separate from doping infrastructure within the governing bodies themselves.</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Which athletes received BALCO substances but were not named in the federal proceedings or any subsequent investigation?</w:t>
      </w:r>
    </w:p>
    <w:p>
      <w:pPr>
        <w:pStyle w:val="ListParagraph"/>
        <w:numPr>
          <w:ilvl w:val="0"/>
          <w:numId w:val="3"/>
        </w:numPr>
        <w:spacing w:after="120"/>
      </w:pPr>
      <w:r>
        <w:rPr>
          <w:rFonts w:ascii="Arial" w:cs="Arial" w:eastAsia="Arial" w:hAnsi="Arial"/>
          <w:color w:val="000000"/>
          <w:sz w:val="22"/>
          <w:szCs w:val="22"/>
        </w:rPr>
        <w:t xml:space="preserve">What did the immunised grand jury witnesses actually testify to, and do those accounts name athletes not publicly identified?</w:t>
      </w:r>
    </w:p>
    <w:p>
      <w:pPr>
        <w:pStyle w:val="ListParagraph"/>
        <w:numPr>
          <w:ilvl w:val="0"/>
          <w:numId w:val="3"/>
        </w:numPr>
        <w:spacing w:after="120"/>
      </w:pPr>
      <w:r>
        <w:rPr>
          <w:rFonts w:ascii="Arial" w:cs="Arial" w:eastAsia="Arial" w:hAnsi="Arial"/>
          <w:color w:val="000000"/>
          <w:sz w:val="22"/>
          <w:szCs w:val="22"/>
        </w:rPr>
        <w:t xml:space="preserve">Were the federation-managed positive tests in the 1999-2003 window for THG, other BALCO substances, or completely separate doping agents?</w:t>
      </w:r>
    </w:p>
    <w:p>
      <w:pPr>
        <w:pStyle w:val="ListParagraph"/>
        <w:numPr>
          <w:ilvl w:val="0"/>
          <w:numId w:val="3"/>
        </w:numPr>
        <w:spacing w:after="120"/>
      </w:pPr>
      <w:r>
        <w:rPr>
          <w:rFonts w:ascii="Arial" w:cs="Arial" w:eastAsia="Arial" w:hAnsi="Arial"/>
          <w:color w:val="000000"/>
          <w:sz w:val="22"/>
          <w:szCs w:val="22"/>
        </w:rPr>
        <w:t xml:space="preserve">What did USOC medical staff observe about athlete physiology in the 2001-2003 period?</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sports investigative journalists with knowledge of the BALCO case files; anti-doping specialists familiar with the testing protocols in effect 2001-2003; anyone with knowledge of the immunised testimony content or the IAAF's internal records from the relevant period.</w:t>
      </w:r>
    </w:p>
    <w:p>
      <w:pPr>
        <w:pBdr>
          <w:left w:val="single" w:color="4A235A" w:sz="14" w:space="8"/>
        </w:pBdr>
        <w:spacing w:after="240"/>
        <w:ind w:left="360"/>
      </w:pPr>
      <w:r>
        <w:rPr>
          <w:rFonts w:ascii="Arial" w:cs="Arial" w:eastAsia="Arial" w:hAnsi="Arial"/>
          <w:b/>
          <w:bCs/>
          <w:color w:val="4A235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480"/>
      </w:pPr>
      <w:r>
        <w:rPr>
          <w:rFonts w:ascii="Arial" w:cs="Arial" w:eastAsia="Arial" w:hAnsi="Arial"/>
          <w:b/>
          <w:bCs/>
          <w:color w:val="4A235A"/>
          <w:sz w:val="34"/>
          <w:szCs w:val="34"/>
        </w:rPr>
        <w:t xml:space="preserve">Case 3 — The Somerton Man</w:t>
      </w:r>
    </w:p>
    <w:p>
      <w:pPr>
        <w:shd w:fill="4A235A" w:val="clear"/>
        <w:spacing w:after="240"/>
      </w:pPr>
      <w:r>
        <w:rPr>
          <w:rFonts w:ascii="Arial" w:cs="Arial" w:eastAsia="Arial" w:hAnsi="Arial"/>
          <w:b/>
          <w:bCs/>
          <w:color w:val="FFFFFF"/>
          <w:sz w:val="22"/>
          <w:szCs w:val="22"/>
        </w:rPr>
        <w:t xml:space="preserve">  COLD CASE — NO CONFIRMED ANSWER — INVESTIGATION OPEN  </w:t>
      </w:r>
    </w:p>
    <w:p>
      <w:pPr>
        <w:spacing w:after="200"/>
      </w:pPr>
      <w:r>
        <w:rPr>
          <w:rFonts w:ascii="Arial" w:cs="Arial" w:eastAsia="Arial" w:hAnsi="Arial"/>
          <w:i/>
          <w:iCs/>
          <w:color w:val="595959"/>
          <w:sz w:val="22"/>
          <w:szCs w:val="22"/>
        </w:rPr>
        <w:t xml:space="preserve">Somerton Beach, Adelaide, Australia  ·  1 December 1948  ·  Identity Disputed, Cause Unknown</w:t>
      </w:r>
    </w:p>
    <w:p>
      <w:pPr>
        <w:pBdr>
          <w:bottom w:val="single" w:color="4A235A"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On the morning of 1 December 1948, the body of a well-dressed man was found sitting against a wall on Somerton Beach in Adelaide, South Australia. He appeared to have died peacefully during the night. He carried no identification. Every label had been removed from his clothes. His cause of death was never established.</w:t>
      </w:r>
    </w:p>
    <w:p>
      <w:pPr>
        <w:spacing w:after="160" w:line="276"/>
      </w:pPr>
      <w:r>
        <w:rPr>
          <w:rFonts w:ascii="Arial" w:cs="Arial" w:eastAsia="Arial" w:hAnsi="Arial"/>
          <w:color w:val="000000"/>
          <w:sz w:val="22"/>
          <w:szCs w:val="22"/>
        </w:rPr>
        <w:t xml:space="preserve">The investigation that followed became one of the most enduring unresolved mysteries in Australian history. Hidden in a fob pocket sewn into his trousers was a tiny piece of paper with the words 'Tamam Shud' — Persian for 'it is ended' — torn from the last page of a rare edition of the Rubaiyat of Omar Khayyam. The book it was torn from was found abandoned in a nearby car. On the back cover was a handwritten code that has never been officially solved, and a phone number belonging to a woman who denied knowing the man.</w:t>
      </w:r>
    </w:p>
    <w:p>
      <w:pPr>
        <w:spacing w:after="160" w:line="276"/>
      </w:pPr>
      <w:r>
        <w:rPr>
          <w:rFonts w:ascii="Arial" w:cs="Arial" w:eastAsia="Arial" w:hAnsi="Arial"/>
          <w:color w:val="000000"/>
          <w:sz w:val="22"/>
          <w:szCs w:val="22"/>
        </w:rPr>
        <w:t xml:space="preserve">In 2022, DNA analysis from hair preserved in a dental cast identified the man's genetic heritage and produced results consistent with a biological relationship to the son of the woman who had his phone number — a woman who had denied knowing him.</w:t>
      </w:r>
    </w:p>
    <w:p>
      <w:pPr>
        <w:spacing w:after="160"/>
      </w:pPr>
      <w:r>
        <w:t xml:space="preserve"/>
      </w:r>
    </w:p>
    <w:p>
      <w:pPr>
        <w:pBdr>
          <w:left w:val="single" w:color="4A235A" w:sz="14" w:space="8"/>
        </w:pBdr>
        <w:spacing w:after="160"/>
        <w:ind w:left="360"/>
      </w:pPr>
      <w:r>
        <w:rPr>
          <w:rFonts w:ascii="Arial" w:cs="Arial" w:eastAsia="Arial" w:hAnsi="Arial"/>
          <w:b/>
          <w:bCs/>
          <w:color w:val="4A235A"/>
          <w:sz w:val="22"/>
          <w:szCs w:val="22"/>
        </w:rPr>
        <w:t xml:space="preserve">Why CIS:  </w:t>
      </w:r>
      <w:r>
        <w:rPr>
          <w:rFonts w:ascii="Arial" w:cs="Arial" w:eastAsia="Arial" w:hAnsi="Arial"/>
          <w:color w:val="000000"/>
          <w:sz w:val="22"/>
          <w:szCs w:val="22"/>
        </w:rPr>
        <w:t xml:space="preserve">The Somerton Man case has been investigated by forensic scientists, cryptographers, historians, intelligence specialists, and genealogists — but never through a cross-domain CIS analysis that assembles all five evidence streams simultaneously. The identity question, the code, the woman, the Cold War context, and the forensic evidence each point in the same direction without any single domain providing confirmation.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Somerton Man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4A235A" w:sz="14" w:space="8"/>
        </w:pBdr>
        <w:spacing w:after="240"/>
        <w:ind w:left="360"/>
      </w:pPr>
      <w:r>
        <w:rPr>
          <w:rFonts w:ascii="Arial" w:cs="Arial" w:eastAsia="Arial" w:hAnsi="Arial"/>
          <w:b/>
          <w:bCs/>
          <w:color w:val="4A235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Autopsy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original autopsy findings, cause of death investigation, the physical characteristics of the man, and the subsequent forensic findings.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Cipher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Tamam Shud note, the book it was torn from, the handwritten code on the back cover of the book, and all attempts to decode or interpret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Witness and Connection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woman known as Jestyn (later identified as Jo Thomson), her son Robin Thomson, her response to police inquiries, and the phone number connection.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Military and Intelligence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Cold War context for the case, the use of Rubaiyat editions as one-time pad cipher carriers, proximity to the Woomera Weapons Research Establishment, and intelligence speculation about the man's identity.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Forensic History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Dental records and cast, DNA extracted in 2022, isotope analysis, genealogical investigation, and the modern scientific findings about the man's identity.</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p>
      <w:pPr>
        <w:spacing w:after="160" w:line="276"/>
      </w:pPr>
      <w:r>
        <w:rPr>
          <w:rFonts w:ascii="Arial" w:cs="Arial" w:eastAsia="Arial" w:hAnsi="Arial"/>
          <w:color w:val="000000"/>
          <w:sz w:val="22"/>
          <w:szCs w:val="22"/>
        </w:rPr>
        <w:t xml:space="preserve">Periods: Period 1 = December 1948 (discovery). Period 2 = 1949-1950 (initial investigation). Period 3 = modern re-investigation (2009-2022).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man was found sitting against a sea wall on Somerton Beach at approximately 6:30am on 1 December 1948. He was estimated to be between 40 and 45 years old, physically fit, and well-dressed. Every label had been removed from his suit, shirt, tie, and singlet. His cause of death was not established. Toxicology did not reveal a standard poison.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Labels removed from all clothing — deliberate concealment of identity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autopsy pathologist noted the man was in excellent physical condition for his apparent age — he described him as having the physique of a younger man. He also noted that the man had an unusual anatomical feature: the last two toes on each foot were of equal length — an unusual trait called hypodontia-associated toe configuration, sometimes found in certain ethnic populations.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Physical characteristic will become structurally important when cross-referenced with Witness domain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Cipher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tiny scrap of paper was found in a specially sewn fob pocket inside his trouser waistband. The paper bore the words 'Tamam Shud' printed in the typeface of the Fitzgerald translation of the Rubaiyat of Omar Khayyam. The printing matched a rare first edition of the 1941 Whitcombe and Tombs translation. The words mean 'it is ended.'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Key structural signal: deliberate concealment of message inside clothing</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Cipher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book from which the page was torn was found weeks later, abandoned in an unlocked car near the beach. On the back cover, written lightly in pencil, were five lines of apparently random uppercase letters — possibly a code or cipher — and a phone number. The code has resisted all official decryption attempts. Cryptographers including the US NSA have examined it without producing a confirmed solution.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cipher analysis domain and witness domain connected only by the phone number</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Witness and Connection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phone number in the book led police to a woman, subsequently identified as Jo Thomson (referred to publicly as 'Jestyn'). She denied knowing the man. When shown a plaster cast of his face, she showed visible signs of distress but maintained her denial. She denied ever owning a copy of the Rubaiyat, but police later found she had given a copy of the same edition to a man she knew.</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CONTRADICT: Thomson denies knowing the man — physical reaction contradicts verbal denial</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Military and Intelligence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Woomera Weapons Research Establishment — a joint British-Australian defence facility — is approximately 450 kilometres from Adelaide. During the late 1940s, Woomera was operational and classified. Intelligence historians have noted that the Rubaiyat of Omar Khayyam was used during World War II and the early Cold War period as a one-time pad cipher carrier — a specific edition given to both parties enables secure communication without radio transmissions.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military/intelligence domain not connected to cipher analysis domain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Forensic History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2009, Professor Derek Abbott at the University of Adelaide obtained the dental cast made in 1948 and initiated a new investigation. He contacted the family of Jo Thomson and identified her son Robin Thomson. Robin Thomson had a distinctive dental anomaly: hypodontia — the absence of certain teeth. He also had the same unusual toe configuration identified in the autopsy.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Cross-domain connection: autopsy physical trait matches Thomson's son — potential biological relationship</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235A"/>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Forensic History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2022, Professor Colleen Fitzpatrick's team extracted DNA from hairs preserved in the dental cast. The DNA profile was consistent with a male of Irish or Scandinavian ancestry. A comparison with a confirmed descendant of Robin Thomson through the maternal line produced results consistent with the Somerton Man and Robin Thomson being first-degree relatives.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DNA finding: first-degree biological relationship between Somerton Man and Thomson's son — consistent with father</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5 (Jo Thomson denied knowing the man while showing visible distress at his plaster cast) is in contradiction with Signal 8 (DNA analysis consistent with a first-degree biological relationship between the Somerton Man and Thomson's son Robin). If the man was Robin Thomson's biological father, Jo Thomson knew him well enough to have a child with him.</w:t>
      </w:r>
    </w:p>
    <w:p>
      <w:pPr>
        <w:pStyle w:val="ListParagraph"/>
        <w:numPr>
          <w:ilvl w:val="0"/>
          <w:numId w:val="2"/>
        </w:numPr>
        <w:spacing w:after="160"/>
      </w:pPr>
      <w:r>
        <w:rPr>
          <w:rFonts w:ascii="Arial" w:cs="Arial" w:eastAsia="Arial" w:hAnsi="Arial"/>
          <w:color w:val="000000"/>
          <w:sz w:val="22"/>
          <w:szCs w:val="22"/>
        </w:rPr>
        <w:t xml:space="preserve">Register Signal 5 (Thomson denies knowing the man) against Signal 8 (DNA indicates first-degree biological relationship to Thomson's son).</w:t>
      </w:r>
    </w:p>
    <w:p>
      <w:pPr>
        <w:pStyle w:val="ListParagraph"/>
        <w:numPr>
          <w:ilvl w:val="0"/>
          <w:numId w:val="2"/>
        </w:numPr>
        <w:spacing w:after="160"/>
      </w:pPr>
      <w:r>
        <w:rPr>
          <w:rFonts w:ascii="Arial" w:cs="Arial" w:eastAsia="Arial" w:hAnsi="Arial"/>
          <w:color w:val="000000"/>
          <w:sz w:val="22"/>
          <w:szCs w:val="22"/>
        </w:rPr>
        <w:t xml:space="preserve">Description: Jo Thomson's denial of knowing the man is directly contradicted by the 2022 DNA analysis, which is consistent with the Somerton Man being Robin Thomson's biological father. If this relationship is correct, Thomson knew the man intimately. The denial, maintained until her death in 2007, has never been explained.</w:t>
      </w:r>
    </w:p>
    <w:p>
      <w:pPr>
        <w:pStyle w:val="ListParagraph"/>
        <w:numPr>
          <w:ilvl w:val="0"/>
          <w:numId w:val="2"/>
        </w:numPr>
        <w:spacing w:after="160"/>
      </w:pPr>
      <w:r>
        <w:rPr>
          <w:rFonts w:ascii="Arial" w:cs="Arial" w:eastAsia="Arial" w:hAnsi="Arial"/>
          <w:color w:val="000000"/>
          <w:sz w:val="22"/>
          <w:szCs w:val="22"/>
        </w:rPr>
        <w:t xml:space="preserve">Resolution type: RC-3 — direct evidence or testimony from Thomson's living descendants who have been in contact with researchers would be the only available resolution path. Thomson herself died in 2007 without withdrawing her denial.</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4A23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HCL hypothesis connecting Autopsy Records, Witness and Connection Records, and Forensic History around the identity of the man and his connection to Jo Thomson.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cipher analysis and military/intelligence domain not connected — the Rubaiyat as a one-time pad cipher carrier.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Thomson denial vs DNA evidence — central unresolved contradiction.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physical trait in Signal 2 (toe configuration) connecting to the same trait in Robin Thomson (Signal 7) — cross-domain biological connection.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panel: the man's identity, his relationship to Thomson, and the meaning of the cipher.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4A235A" w:sz="14" w:space="8"/>
        </w:pBdr>
        <w:spacing w:after="140"/>
        <w:ind w:left="360"/>
      </w:pPr>
      <w:r>
        <w:rPr>
          <w:rFonts w:ascii="Arial" w:cs="Arial" w:eastAsia="Arial" w:hAnsi="Arial"/>
          <w:b/>
          <w:bCs/>
          <w:color w:val="4A235A"/>
          <w:sz w:val="22"/>
          <w:szCs w:val="22"/>
        </w:rPr>
        <w:t xml:space="preserve">H1 — The man was a foreign intelligence operative:  </w:t>
      </w:r>
      <w:r>
        <w:rPr>
          <w:rFonts w:ascii="Arial" w:cs="Arial" w:eastAsia="Arial" w:hAnsi="Arial"/>
          <w:color w:val="000000"/>
          <w:sz w:val="22"/>
          <w:szCs w:val="22"/>
        </w:rPr>
        <w:t xml:space="preserve">He was a spy or courier using the Rubaiyat as a one-time pad cipher carrier, connected to Woomera through Jo Thomson who may have also been connected to intelligence work. The code on the book is an enciphered message. He was killed or died by suicide with an undetectable poison rather than be captured or interrogated.</w:t>
      </w:r>
    </w:p>
    <w:p>
      <w:pPr>
        <w:pBdr>
          <w:left w:val="single" w:color="4A235A" w:sz="14" w:space="8"/>
        </w:pBdr>
        <w:spacing w:after="140"/>
        <w:ind w:left="360"/>
      </w:pPr>
      <w:r>
        <w:rPr>
          <w:rFonts w:ascii="Arial" w:cs="Arial" w:eastAsia="Arial" w:hAnsi="Arial"/>
          <w:b/>
          <w:bCs/>
          <w:color w:val="4A235A"/>
          <w:sz w:val="22"/>
          <w:szCs w:val="22"/>
        </w:rPr>
        <w:t xml:space="preserve">H2 — He was a private individual with a personal connection to Thomson:  </w:t>
      </w:r>
      <w:r>
        <w:rPr>
          <w:rFonts w:ascii="Arial" w:cs="Arial" w:eastAsia="Arial" w:hAnsi="Arial"/>
          <w:color w:val="000000"/>
          <w:sz w:val="22"/>
          <w:szCs w:val="22"/>
        </w:rPr>
        <w:t xml:space="preserve">The DNA evidence indicates he was Robin Thomson's father. The cipher is a personal message or list. The Rubaiyat connection was personal rather than professional. His true identity remains unknown because his papers were deliberately concealed before his death.</w:t>
      </w:r>
    </w:p>
    <w:p>
      <w:pPr>
        <w:pBdr>
          <w:left w:val="single" w:color="4A235A" w:sz="14" w:space="8"/>
        </w:pBdr>
        <w:spacing w:after="140"/>
        <w:ind w:left="360"/>
      </w:pPr>
      <w:r>
        <w:rPr>
          <w:rFonts w:ascii="Arial" w:cs="Arial" w:eastAsia="Arial" w:hAnsi="Arial"/>
          <w:b/>
          <w:bCs/>
          <w:color w:val="4A235A"/>
          <w:sz w:val="22"/>
          <w:szCs w:val="22"/>
        </w:rPr>
        <w:t xml:space="preserve">H3 — He was a sailor or merchant:  </w:t>
      </w:r>
      <w:r>
        <w:rPr>
          <w:rFonts w:ascii="Arial" w:cs="Arial" w:eastAsia="Arial" w:hAnsi="Arial"/>
          <w:color w:val="000000"/>
          <w:sz w:val="22"/>
          <w:szCs w:val="22"/>
        </w:rPr>
        <w:t xml:space="preserve">Several analysts have proposed that he was a foreign national working as a sailor, possibly connected to Scandinavian or Eastern European maritime networks. His physical fitness, the removal of labels, and his apparent familiarity with Adelaide dockland areas are consistent with maritime work.</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If the DNA indicates a first-degree biological relationship with Robin Thomson, who was the Somerton Man in relation to Jo Thomson and why did she deny knowing him until her death?</w:t>
      </w:r>
    </w:p>
    <w:p>
      <w:pPr>
        <w:pStyle w:val="ListParagraph"/>
        <w:numPr>
          <w:ilvl w:val="0"/>
          <w:numId w:val="3"/>
        </w:numPr>
        <w:spacing w:after="120"/>
      </w:pPr>
      <w:r>
        <w:rPr>
          <w:rFonts w:ascii="Arial" w:cs="Arial" w:eastAsia="Arial" w:hAnsi="Arial"/>
          <w:color w:val="000000"/>
          <w:sz w:val="22"/>
          <w:szCs w:val="22"/>
        </w:rPr>
        <w:t xml:space="preserve">What does the five-line cipher on the back of the Rubaiyat say?</w:t>
      </w:r>
    </w:p>
    <w:p>
      <w:pPr>
        <w:pStyle w:val="ListParagraph"/>
        <w:numPr>
          <w:ilvl w:val="0"/>
          <w:numId w:val="3"/>
        </w:numPr>
        <w:spacing w:after="120"/>
      </w:pPr>
      <w:r>
        <w:rPr>
          <w:rFonts w:ascii="Arial" w:cs="Arial" w:eastAsia="Arial" w:hAnsi="Arial"/>
          <w:color w:val="000000"/>
          <w:sz w:val="22"/>
          <w:szCs w:val="22"/>
        </w:rPr>
        <w:t xml:space="preserve">Was the use of a Rubaiyat edition connected to its use as a one-time pad cipher carrier, or coincidental?</w:t>
      </w:r>
    </w:p>
    <w:p>
      <w:pPr>
        <w:pStyle w:val="ListParagraph"/>
        <w:numPr>
          <w:ilvl w:val="0"/>
          <w:numId w:val="3"/>
        </w:numPr>
        <w:spacing w:after="120"/>
      </w:pPr>
      <w:r>
        <w:rPr>
          <w:rFonts w:ascii="Arial" w:cs="Arial" w:eastAsia="Arial" w:hAnsi="Arial"/>
          <w:color w:val="000000"/>
          <w:sz w:val="22"/>
          <w:szCs w:val="22"/>
        </w:rPr>
        <w:t xml:space="preserve">What was the cause of death? What substance, if any, could produce death without trace in a 1948 toxicology analysis?</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cryptographers who can attempt a fresh analysis of the five-line cipher with modern methods; genealogists with access to the Thomson family records; anyone with knowledge of British or Australian intelligence networks in Adelaide in 1948; forensic chemists familiar with what substances would be undetectable in 1948 toxicology.</w:t>
      </w:r>
    </w:p>
    <w:p>
      <w:pPr>
        <w:pBdr>
          <w:left w:val="single" w:color="4A235A" w:sz="14" w:space="8"/>
        </w:pBdr>
        <w:spacing w:after="240"/>
        <w:ind w:left="360"/>
      </w:pPr>
      <w:r>
        <w:rPr>
          <w:rFonts w:ascii="Arial" w:cs="Arial" w:eastAsia="Arial" w:hAnsi="Arial"/>
          <w:b/>
          <w:bCs/>
          <w:color w:val="4A235A"/>
          <w:sz w:val="22"/>
          <w:szCs w:val="22"/>
        </w:rPr>
        <w:t xml:space="preserve">Case Code:  </w:t>
      </w:r>
      <w:r>
        <w:rPr>
          <w:rFonts w:ascii="Arial" w:cs="Arial" w:eastAsia="Arial" w:hAnsi="Arial"/>
          <w:color w:val="595959"/>
          <w:sz w:val="22"/>
          <w:szCs w:val="22"/>
        </w:rPr>
        <w:t xml:space="preserve">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235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235A" w:sz="4" w:space="4"/>
      </w:pBdr>
    </w:pPr>
    <w:r>
      <w:rPr>
        <w:rFonts w:ascii="Arial" w:cs="Arial" w:eastAsia="Arial" w:hAnsi="Arial"/>
        <w:i/>
        <w:iCs/>
        <w:color w:val="595959"/>
        <w:sz w:val="18"/>
        <w:szCs w:val="18"/>
      </w:rPr>
      <w:t xml:space="preserve">CIS Cold Cases  |  Volume 2: Intelligence and State Secrets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4A235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2026-06-08T05:23:20.820Z</dcterms:created>
  <dcterms:modified xsi:type="dcterms:W3CDTF">2026-06-08T05:23:20.820Z</dcterms:modified>
</cp:coreProperties>
</file>

<file path=docProps/custom.xml><?xml version="1.0" encoding="utf-8"?>
<Properties xmlns="http://schemas.openxmlformats.org/officeDocument/2006/custom-properties" xmlns:vt="http://schemas.openxmlformats.org/officeDocument/2006/docPropsVTypes"/>
</file>