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1A3A1A"/>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1A3A1A" w:sz="6" w:space="1"/>
        </w:pBdr>
        <w:spacing w:after="400"/>
      </w:pPr>
      <w:r>
        <w:t xml:space="preserve"/>
      </w:r>
    </w:p>
    <w:p>
      <w:pPr>
        <w:spacing w:after="120"/>
        <w:jc w:val="center"/>
      </w:pPr>
      <w:r>
        <w:rPr>
          <w:rFonts w:ascii="Arial" w:cs="Arial" w:eastAsia="Arial" w:hAnsi="Arial"/>
          <w:b/>
          <w:bCs/>
          <w:color w:val="1A3A1A"/>
          <w:sz w:val="56"/>
          <w:szCs w:val="56"/>
        </w:rPr>
        <w:t xml:space="preserve">COLD CASES</w:t>
      </w:r>
    </w:p>
    <w:p>
      <w:pPr>
        <w:spacing w:after="600"/>
        <w:jc w:val="center"/>
      </w:pPr>
      <w:r>
        <w:rPr>
          <w:rFonts w:ascii="Arial" w:cs="Arial" w:eastAsia="Arial" w:hAnsi="Arial"/>
          <w:color w:val="595959"/>
          <w:sz w:val="30"/>
          <w:szCs w:val="30"/>
        </w:rPr>
        <w:t xml:space="preserve">Volume 4 — Heists and Criminal Networks</w:t>
      </w:r>
    </w:p>
    <w:p>
      <w:pPr>
        <w:spacing w:after="600"/>
        <w:jc w:val="center"/>
      </w:pPr>
      <w:r>
        <w:rPr>
          <w:rFonts w:ascii="Arial" w:cs="Arial" w:eastAsia="Arial" w:hAnsi="Arial"/>
          <w:color w:val="3C3C3C"/>
          <w:sz w:val="24"/>
          <w:szCs w:val="24"/>
        </w:rPr>
        <w:t xml:space="preserve">Gardner Museum  ·  D.B. Cooper  ·  The Antwerp Diamond Heist</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Arial" w:cs="Arial" w:eastAsia="Arial" w:hAnsi="Arial"/>
          <w:b/>
          <w:bCs/>
          <w:color w:val="1A3A1A"/>
          <w:sz w:val="34"/>
          <w:szCs w:val="34"/>
        </w:rPr>
        <w:t xml:space="preserve">Case 1 — The Isabella Stewart Gardner Museum Theft</w:t>
      </w:r>
    </w:p>
    <w:p>
      <w:pPr>
        <w:shd w:fill="1A3A1A" w:val="clear"/>
        <w:spacing w:after="240"/>
      </w:pPr>
      <w:r>
        <w:rPr>
          <w:rFonts w:ascii="Arial" w:cs="Arial" w:eastAsia="Arial" w:hAnsi="Arial"/>
          <w:b/>
          <w:bCs/>
          <w:color w:val="FFFFFF"/>
          <w:sz w:val="22"/>
          <w:szCs w:val="22"/>
        </w:rPr>
        <w:t xml:space="preserve">  COLD CASE — UNSOLVED OR UNRECOVERED — INVESTIGATION OPEN  </w:t>
      </w:r>
    </w:p>
    <w:p>
      <w:pPr>
        <w:spacing w:after="200"/>
      </w:pPr>
      <w:r>
        <w:rPr>
          <w:rFonts w:ascii="Arial" w:cs="Arial" w:eastAsia="Arial" w:hAnsi="Arial"/>
          <w:i/>
          <w:iCs/>
          <w:color w:val="595959"/>
          <w:sz w:val="22"/>
          <w:szCs w:val="22"/>
        </w:rPr>
        <w:t xml:space="preserve">Boston, Massachusetts  ·  18 March 1990  ·  $500M in Art  ·  Nothing Recovered</w:t>
      </w:r>
    </w:p>
    <w:p>
      <w:pPr>
        <w:pBdr>
          <w:bottom w:val="single" w:color="1A3A1A"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At 1:24am on 18 March 1990, two men dressed as Boston police officers knocked on the side door of the Isabella Stewart Gardner Museum in Boston. Guard Rick Abath let them in. They handcuffed both guards, taped their eyes and mouths, and left them secured to pipes in the basement. They then spent 81 minutes in the museum, cutting 13 works from their frames and leaving with what remains the largest property theft in US history — art valued at approximately $500 million.</w:t>
      </w:r>
    </w:p>
    <w:p>
      <w:pPr>
        <w:spacing w:after="160" w:line="276"/>
      </w:pPr>
      <w:r>
        <w:rPr>
          <w:rFonts w:ascii="Arial" w:cs="Arial" w:eastAsia="Arial" w:hAnsi="Arial"/>
          <w:color w:val="000000"/>
          <w:sz w:val="22"/>
          <w:szCs w:val="22"/>
        </w:rPr>
        <w:t xml:space="preserve">The stolen works include three Rembrandts — The Storm on the Sea of Galilee, A Lady and Gentleman in Black, and Self-Portrait — as well as Vermeer's The Concert, five Degas sketches, a Manet, a Flinck landscape, and a Napoleonic eagle finial. Thirty-four years later, not one of the stolen pieces has been officially recovered. The Gardner Museum's empty frames remain on the walls, per the founder's instructions that nothing be moved.</w:t>
      </w:r>
    </w:p>
    <w:p>
      <w:pPr>
        <w:spacing w:after="160" w:line="276"/>
      </w:pPr>
      <w:r>
        <w:rPr>
          <w:rFonts w:ascii="Arial" w:cs="Arial" w:eastAsia="Arial" w:hAnsi="Arial"/>
          <w:color w:val="000000"/>
          <w:sz w:val="22"/>
          <w:szCs w:val="22"/>
        </w:rPr>
        <w:t xml:space="preserve">The FBI has named two suspects — believed to be deceased — and has identified a network connected to the theft. The art has not been found.</w:t>
      </w:r>
    </w:p>
    <w:p>
      <w:pPr>
        <w:spacing w:after="160"/>
      </w:pPr>
      <w:r>
        <w:t xml:space="preserve"/>
      </w:r>
    </w:p>
    <w:p>
      <w:pPr>
        <w:pBdr>
          <w:left w:val="single" w:color="1A3A1A" w:sz="14" w:space="8"/>
        </w:pBdr>
        <w:spacing w:after="160"/>
        <w:ind w:left="360"/>
      </w:pPr>
      <w:r>
        <w:rPr>
          <w:rFonts w:ascii="Arial" w:cs="Arial" w:eastAsia="Arial" w:hAnsi="Arial"/>
          <w:b/>
          <w:bCs/>
          <w:color w:val="1A3A1A"/>
          <w:sz w:val="22"/>
          <w:szCs w:val="22"/>
        </w:rPr>
        <w:t xml:space="preserve">Why CIS:  </w:t>
      </w:r>
      <w:r>
        <w:rPr>
          <w:rFonts w:ascii="Arial" w:cs="Arial" w:eastAsia="Arial" w:hAnsi="Arial"/>
          <w:color w:val="000000"/>
          <w:sz w:val="22"/>
          <w:szCs w:val="22"/>
        </w:rPr>
        <w:t xml:space="preserve">The Gardner investigation spans five independent information domains: museum security, FBI active investigation, criminal network intelligence, art market tracking, and recovery contacts. These domains have been investigated by separate organisations — the FBI, the Gardner Museum, the Art Loss Register, insurance investigators, and informants — that have not always shared information. A cross-domain view has never been formally assembled.</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Gardner Museum Theft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3A1A" w:sz="14" w:space="8"/>
        </w:pBdr>
        <w:spacing w:after="240"/>
        <w:ind w:left="360"/>
      </w:pPr>
      <w:r>
        <w:rPr>
          <w:rFonts w:ascii="Arial" w:cs="Arial" w:eastAsia="Arial" w:hAnsi="Arial"/>
          <w:b/>
          <w:bCs/>
          <w:color w:val="1A3A1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Museum Security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CCTV footage from the night, motion sensor logs from the night before the theft, the guard logs, and the physical security configuration of the museum on 18 March 1990.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FBI Investigation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Norjak-equivalent Gardner investigation file, named suspects, informant intelligence, the 2013 Philadelphia search, and the public statements about the thieves' identities.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Criminal Network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Patriarca crime family connections, the Irish mob Boston connections, what is known about how the art was used as collateral in criminal transactions after the theft.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Art Market Intelligence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Sightings reported through the Art Loss Register, tips received by the Gardner Museum, intelligence reports of the works' movements, the reward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Recovery Contacts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Ransom and return attempts over 34 years: who approached whom, on what terms, and why no genuine transaction has been completed.</w:t>
            </w:r>
          </w:p>
        </w:tc>
      </w:tr>
    </w:tbl>
    <w:p>
      <w:pPr>
        <w:spacing w:after="160" w:line="276"/>
      </w:pPr>
      <w:r>
        <w:rPr>
          <w:rFonts w:ascii="Arial" w:cs="Arial" w:eastAsia="Arial" w:hAnsi="Arial"/>
          <w:color w:val="000000"/>
          <w:sz w:val="22"/>
          <w:szCs w:val="22"/>
        </w:rPr>
        <w:t xml:space="preserve">Declare every domain pair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Museum Security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Motion sensor data from 17 March 1990 — the night before the theft — showed movement in areas of the museum where no guard had been scheduled. The FBI concluded from this that at least one of the thieves had been inside the museum before the theft night, likely conducting a reconnaissance visit. How they gained access for this preliminary visit has not been established.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Reconnaissance visit confirmed — thieves had prior inside access to the museum layout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Museum Security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 1:24am on 18 March, the thieves knocked on the side door. Guard Rick Abath buzzed them in after they identified themselves as police responding to a disturbance. Abath had reportedly propped open a side door earlier in his shift — a violation of protocol. Whether this was related to the theft or coincidental has never been established. Abath was investigated and cleared.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Abath propped door explanation — cleared but the connection to the thieves' ability to enter remains structurally open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Museum Security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thieves took specific works. They left behind a Raphael altarpiece, a Michelangelo drawing, and a Rembrandt self-portrait in another room — all potentially as valuable as some works they took. The selectivity of what they took and left suggests they either had a specific commission or had been briefed on specific targets. The Vermeer (The Concert) and the Rembrandt (Storm on the Sea of Galilee) are arguably their highest-value targets.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Selective theft: they knew what they wanted — consistent with a commissioned theft or specific buyer arrangement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FBI Investigation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FBI has publicly stated that it has identified the two men who committed the theft — both believed to be deceased — and that they had connections to the New England criminal underworld. One is described as having connections to the Patriarca crime family. The FBI has not publicly named either suspect. The investigation is active.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FBI has named suspects but the names have not been connected to the art market tracking domain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Criminal Network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Art stolen in high-profile thefts is rarely sold directly — it is typically used as collateral in criminal transactions, stored for decades, or occasionally ransomed. The Patriarca crime family and associated networks operated in the same criminal ecology as high-value stolen goods trafficking. The Gardner art is widely believed to have been used as collateral and has changed criminal hands multiple times since 1990.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Structural: art as criminal currency — explains 34-year non-recovery without requiring direct sale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Art Market Intelligence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2013, the FBI conducted a major search of a building in Philadelphia based on informant intelligence suggesting the Gardner art had been stored there. No art was found. The FBI stated afterwards that it believed the art had been in Philadelphia in the years after the theft but had since been moved. A subsequent tip pointed toward Connecticut.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Art was reportedly in Philadelphia — tracking thread continues without recovery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Recovery Contacts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Gardner Museum has offered a $10 million reward for information leading to recovery. Multiple individuals over 34 years have approached the museum or law enforcement claiming to be able to broker the return. In each case, the approach has not led to recovery — either the individual did not have genuine access to the art, or the deal collapsed at a critical point.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Recovery channel exists but has not produced a completed transaction in 34 years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FBI Investigation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FBI has stated that it believes the art remains intact and has not been destroyed. It believes the art is currently being held by individuals who do not fully understand its significance or value, and that the criminal network that originally received it has fragmented such that current holders may not be the same as original recipients.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FBI structural assessment: art intact, holders changed, network fragmented</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3 (thieves were selective — took specific high-value targets, left others) and Signal 7 (34 years of recovery contacts, none leading to completion) create a structural question. If the theft was commissioned for specific works, there should be an original recipient who wanted those specific pieces. That recipient, or their estate, should still be a reachable endpoint. Yet 34 years of recovery attempts have not produced a transaction.</w:t>
      </w:r>
    </w:p>
    <w:p>
      <w:pPr>
        <w:pStyle w:val="ListParagraph"/>
        <w:numPr>
          <w:ilvl w:val="0"/>
          <w:numId w:val="2"/>
        </w:numPr>
        <w:spacing w:after="160"/>
      </w:pPr>
      <w:r>
        <w:rPr>
          <w:rFonts w:ascii="Arial" w:cs="Arial" w:eastAsia="Arial" w:hAnsi="Arial"/>
          <w:color w:val="000000"/>
          <w:sz w:val="22"/>
          <w:szCs w:val="22"/>
        </w:rPr>
        <w:t xml:space="preserve">Register Signal 3 (commissioned/selective theft) against Signal 7 (no completed recovery transaction in 34 years).</w:t>
      </w:r>
    </w:p>
    <w:p>
      <w:pPr>
        <w:pStyle w:val="ListParagraph"/>
        <w:numPr>
          <w:ilvl w:val="0"/>
          <w:numId w:val="2"/>
        </w:numPr>
        <w:spacing w:after="160"/>
      </w:pPr>
      <w:r>
        <w:rPr>
          <w:rFonts w:ascii="Arial" w:cs="Arial" w:eastAsia="Arial" w:hAnsi="Arial"/>
          <w:color w:val="000000"/>
          <w:sz w:val="22"/>
          <w:szCs w:val="22"/>
        </w:rPr>
        <w:t xml:space="preserve">Description: A commissioned theft implies a buyer who wanted specific works and arranged the commission. That buyer should theoretically be reachable — or their estate or criminal successors should be. Signal 7 suggests that no genuine transaction has been possible despite 34 years of reward-driven effort. Either the original buyer is dead with no traceable succession, the art has fragmented to multiple current holders, or the original commission story is wrong.</w:t>
      </w:r>
    </w:p>
    <w:p>
      <w:pPr>
        <w:spacing w:after="160"/>
      </w:pPr>
      <w:r>
        <w:t xml:space="preserve"/>
      </w:r>
    </w:p>
    <w:p>
      <w:pPr>
        <w:pStyle w:val="Heading2"/>
        <w:spacing w:after="140" w:before="360"/>
      </w:pPr>
      <w:r>
        <w:rPr>
          <w:rFonts w:ascii="Arial" w:cs="Arial" w:eastAsia="Arial" w:hAnsi="Arial"/>
          <w:b/>
          <w:bCs/>
          <w:color w:val="1F3864"/>
          <w:sz w:val="26"/>
          <w:szCs w:val="26"/>
        </w:rPr>
        <w:t xml:space="preserve">Competing Hypotheses</w:t>
      </w:r>
    </w:p>
    <w:p>
      <w:pPr>
        <w:pBdr>
          <w:left w:val="single" w:color="1A3A1A" w:sz="14" w:space="8"/>
        </w:pBdr>
        <w:spacing w:after="140"/>
        <w:ind w:left="360"/>
      </w:pPr>
      <w:r>
        <w:rPr>
          <w:rFonts w:ascii="Arial" w:cs="Arial" w:eastAsia="Arial" w:hAnsi="Arial"/>
          <w:b/>
          <w:bCs/>
          <w:color w:val="1A3A1A"/>
          <w:sz w:val="22"/>
          <w:szCs w:val="22"/>
        </w:rPr>
        <w:t xml:space="preserve">H1 — Commissioned theft for a private buyer:  </w:t>
      </w:r>
      <w:r>
        <w:rPr>
          <w:rFonts w:ascii="Arial" w:cs="Arial" w:eastAsia="Arial" w:hAnsi="Arial"/>
          <w:color w:val="000000"/>
          <w:sz w:val="22"/>
          <w:szCs w:val="22"/>
        </w:rPr>
        <w:t xml:space="preserve">The theft was arranged on behalf of a specific buyer who wanted the Vermeer and the Rembrandt. The buyer is deceased. The art has passed through criminal hands and the chain of custody is broken. The current holders are unaware of or unable to safely access the recovery channel.</w:t>
      </w:r>
    </w:p>
    <w:p>
      <w:pPr>
        <w:pBdr>
          <w:left w:val="single" w:color="1A3A1A" w:sz="14" w:space="8"/>
        </w:pBdr>
        <w:spacing w:after="140"/>
        <w:ind w:left="360"/>
      </w:pPr>
      <w:r>
        <w:rPr>
          <w:rFonts w:ascii="Arial" w:cs="Arial" w:eastAsia="Arial" w:hAnsi="Arial"/>
          <w:b/>
          <w:bCs/>
          <w:color w:val="1A3A1A"/>
          <w:sz w:val="22"/>
          <w:szCs w:val="22"/>
        </w:rPr>
        <w:t xml:space="preserve">H2 — Criminal collateral, now fragmented:  </w:t>
      </w:r>
      <w:r>
        <w:rPr>
          <w:rFonts w:ascii="Arial" w:cs="Arial" w:eastAsia="Arial" w:hAnsi="Arial"/>
          <w:color w:val="000000"/>
          <w:sz w:val="22"/>
          <w:szCs w:val="22"/>
        </w:rPr>
        <w:t xml:space="preserve">The art was used as backing for criminal transactions and split among multiple criminal networks over 34 years. No single individual currently controls all 13 pieces. The FBI's observation that the network has fragmented supports this.</w:t>
      </w:r>
    </w:p>
    <w:p>
      <w:pPr>
        <w:pBdr>
          <w:left w:val="single" w:color="1A3A1A" w:sz="14" w:space="8"/>
        </w:pBdr>
        <w:spacing w:after="140"/>
        <w:ind w:left="360"/>
      </w:pPr>
      <w:r>
        <w:rPr>
          <w:rFonts w:ascii="Arial" w:cs="Arial" w:eastAsia="Arial" w:hAnsi="Arial"/>
          <w:b/>
          <w:bCs/>
          <w:color w:val="1A3A1A"/>
          <w:sz w:val="22"/>
          <w:szCs w:val="22"/>
        </w:rPr>
        <w:t xml:space="preserve">H3 — Art is outside the US:  </w:t>
      </w:r>
      <w:r>
        <w:rPr>
          <w:rFonts w:ascii="Arial" w:cs="Arial" w:eastAsia="Arial" w:hAnsi="Arial"/>
          <w:color w:val="000000"/>
          <w:sz w:val="22"/>
          <w:szCs w:val="22"/>
        </w:rPr>
        <w:t xml:space="preserve">The art has been in continental Europe — possibly through the Patriarca network's connections to Italian organised crime — for some portion of the 34 years. This would explain why Philadelphia and Connecticut tips pointed to old storage locations and not current ones.</w:t>
      </w:r>
    </w:p>
    <w:p>
      <w:pPr>
        <w:spacing w:after="160"/>
      </w:pPr>
      <w:r>
        <w:t xml:space="preserve"/>
      </w:r>
    </w:p>
    <w:p>
      <w:pPr>
        <w:pStyle w:val="Heading2"/>
        <w:spacing w:after="140" w:before="360"/>
      </w:pPr>
      <w:r>
        <w:rPr>
          <w:rFonts w:ascii="Arial" w:cs="Arial" w:eastAsia="Arial" w:hAnsi="Arial"/>
          <w:b/>
          <w:bCs/>
          <w:color w:val="1F3864"/>
          <w:sz w:val="26"/>
          <w:szCs w:val="26"/>
        </w:rPr>
        <w:t xml:space="preserve">Open Questions</w:t>
      </w:r>
    </w:p>
    <w:p>
      <w:pPr>
        <w:pStyle w:val="ListParagraph"/>
        <w:numPr>
          <w:ilvl w:val="0"/>
          <w:numId w:val="3"/>
        </w:numPr>
        <w:spacing w:after="120"/>
      </w:pPr>
      <w:r>
        <w:rPr>
          <w:rFonts w:ascii="Arial" w:cs="Arial" w:eastAsia="Arial" w:hAnsi="Arial"/>
          <w:color w:val="000000"/>
          <w:sz w:val="22"/>
          <w:szCs w:val="22"/>
        </w:rPr>
        <w:t xml:space="preserve">Who were the two men identified by the FBI, and which criminal networks are confirmed to have handled the art after the theft?</w:t>
      </w:r>
    </w:p>
    <w:p>
      <w:pPr>
        <w:pStyle w:val="ListParagraph"/>
        <w:numPr>
          <w:ilvl w:val="0"/>
          <w:numId w:val="3"/>
        </w:numPr>
        <w:spacing w:after="120"/>
      </w:pPr>
      <w:r>
        <w:rPr>
          <w:rFonts w:ascii="Arial" w:cs="Arial" w:eastAsia="Arial" w:hAnsi="Arial"/>
          <w:color w:val="000000"/>
          <w:sz w:val="22"/>
          <w:szCs w:val="22"/>
        </w:rPr>
        <w:t xml:space="preserve">What happened in Philadelphia — what did the informant know, and where was the art moved to before the 2013 search?</w:t>
      </w:r>
    </w:p>
    <w:p>
      <w:pPr>
        <w:pStyle w:val="ListParagraph"/>
        <w:numPr>
          <w:ilvl w:val="0"/>
          <w:numId w:val="3"/>
        </w:numPr>
        <w:spacing w:after="120"/>
      </w:pPr>
      <w:r>
        <w:rPr>
          <w:rFonts w:ascii="Arial" w:cs="Arial" w:eastAsia="Arial" w:hAnsi="Arial"/>
          <w:color w:val="000000"/>
          <w:sz w:val="22"/>
          <w:szCs w:val="22"/>
        </w:rPr>
        <w:t xml:space="preserve">Why has no completed recovery transaction occurred despite 34 years of a $10 million reward and multiple serious approaches?</w:t>
      </w:r>
    </w:p>
    <w:p>
      <w:pPr>
        <w:pStyle w:val="ListParagraph"/>
        <w:numPr>
          <w:ilvl w:val="0"/>
          <w:numId w:val="3"/>
        </w:numPr>
        <w:spacing w:after="120"/>
      </w:pPr>
      <w:r>
        <w:rPr>
          <w:rFonts w:ascii="Arial" w:cs="Arial" w:eastAsia="Arial" w:hAnsi="Arial"/>
          <w:color w:val="000000"/>
          <w:sz w:val="22"/>
          <w:szCs w:val="22"/>
        </w:rPr>
        <w:t xml:space="preserve">Is the Flinck landscape — the least famous of the stolen works — easier to trace through auction records or art market databases?</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anyone with knowledge of the New England criminal underworld's art handling operations in the 1990s and 2000s; art market specialists who can trace provenance gaps in works by the stolen artists; anyone with knowledge of the Philadelphia connection or the FBI's current active intelligence.</w:t>
      </w:r>
    </w:p>
    <w:p>
      <w:pPr>
        <w:pBdr>
          <w:left w:val="single" w:color="1A3A1A" w:sz="14" w:space="8"/>
        </w:pBdr>
        <w:spacing w:after="240"/>
        <w:ind w:left="360"/>
      </w:pPr>
      <w:r>
        <w:rPr>
          <w:rFonts w:ascii="Arial" w:cs="Arial" w:eastAsia="Arial" w:hAnsi="Arial"/>
          <w:b/>
          <w:bCs/>
          <w:color w:val="1A3A1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480"/>
      </w:pPr>
      <w:r>
        <w:rPr>
          <w:rFonts w:ascii="Arial" w:cs="Arial" w:eastAsia="Arial" w:hAnsi="Arial"/>
          <w:b/>
          <w:bCs/>
          <w:color w:val="1A3A1A"/>
          <w:sz w:val="34"/>
          <w:szCs w:val="34"/>
        </w:rPr>
        <w:t xml:space="preserve">Case 2 — D.B. Cooper</w:t>
      </w:r>
    </w:p>
    <w:p>
      <w:pPr>
        <w:shd w:fill="1A3A1A" w:val="clear"/>
        <w:spacing w:after="240"/>
      </w:pPr>
      <w:r>
        <w:rPr>
          <w:rFonts w:ascii="Arial" w:cs="Arial" w:eastAsia="Arial" w:hAnsi="Arial"/>
          <w:b/>
          <w:bCs/>
          <w:color w:val="FFFFFF"/>
          <w:sz w:val="22"/>
          <w:szCs w:val="22"/>
        </w:rPr>
        <w:t xml:space="preserve">  COLD CASE — UNSOLVED OR UNRECOVERED — INVESTIGATION OPEN  </w:t>
      </w:r>
    </w:p>
    <w:p>
      <w:pPr>
        <w:spacing w:after="200"/>
      </w:pPr>
      <w:r>
        <w:rPr>
          <w:rFonts w:ascii="Arial" w:cs="Arial" w:eastAsia="Arial" w:hAnsi="Arial"/>
          <w:i/>
          <w:iCs/>
          <w:color w:val="595959"/>
          <w:sz w:val="22"/>
          <w:szCs w:val="22"/>
        </w:rPr>
        <w:t xml:space="preserve">Northwest Orient Flight 305  ·  24 November 1971  ·  Hijacker Never Identified</w:t>
      </w:r>
    </w:p>
    <w:p>
      <w:pPr>
        <w:pBdr>
          <w:bottom w:val="single" w:color="1A3A1A"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On 24 November 1971 — the day before Thanksgiving — a man using the name Dan Cooper (misreported as D.B. Cooper by a journalist and the name stuck) boarded Northwest Orient Flight 305 from Portland, Oregon to Seattle, Washington. He handed flight attendant Florence Schaffner a note claiming he had a bomb. He demanded $200,000 in cash and four parachutes. The aircraft landed at Seattle where the money and parachutes were delivered. The remaining passengers were released. Cooper then directed the aircraft south toward Reno and parachuted from the rear staircase somewhere over the densely forested terrain between Seattle and Portland.</w:t>
      </w:r>
    </w:p>
    <w:p>
      <w:pPr>
        <w:spacing w:after="160" w:line="276"/>
      </w:pPr>
      <w:r>
        <w:rPr>
          <w:rFonts w:ascii="Arial" w:cs="Arial" w:eastAsia="Arial" w:hAnsi="Arial"/>
          <w:color w:val="000000"/>
          <w:sz w:val="22"/>
          <w:szCs w:val="22"/>
        </w:rPr>
        <w:t xml:space="preserve">He was never found. In February 1980, a boy found 294 deteriorating $20 bills from the ransom on the bank of the Columbia River — but upstream of where they should have been if Cooper had landed and buried them, raising the question of whether they floated there or were planted. No other confirmed evidence of Cooper after the jump has ever been found. The FBI investigated the case continuously for 45 years before moving it to inactive status in 2016. It remains the only unsolved commercial airline hijacking in US history.</w:t>
      </w:r>
    </w:p>
    <w:p>
      <w:pPr>
        <w:spacing w:after="160"/>
      </w:pPr>
      <w:r>
        <w:t xml:space="preserve"/>
      </w:r>
    </w:p>
    <w:p>
      <w:pPr>
        <w:pBdr>
          <w:left w:val="single" w:color="1A3A1A" w:sz="14" w:space="8"/>
        </w:pBdr>
        <w:spacing w:after="160"/>
        <w:ind w:left="360"/>
      </w:pPr>
      <w:r>
        <w:rPr>
          <w:rFonts w:ascii="Arial" w:cs="Arial" w:eastAsia="Arial" w:hAnsi="Arial"/>
          <w:b/>
          <w:bCs/>
          <w:color w:val="1A3A1A"/>
          <w:sz w:val="22"/>
          <w:szCs w:val="22"/>
        </w:rPr>
        <w:t xml:space="preserve">Why CIS:  </w:t>
      </w:r>
      <w:r>
        <w:rPr>
          <w:rFonts w:ascii="Arial" w:cs="Arial" w:eastAsia="Arial" w:hAnsi="Arial"/>
          <w:color w:val="000000"/>
          <w:sz w:val="22"/>
          <w:szCs w:val="22"/>
        </w:rPr>
        <w:t xml:space="preserve">The Cooper investigation spans five independent evidence domains — FBI investigation records, physical descriptions from the flight crew, the 1980 currency find, parachute analysis, and suspect records — that have been worked by different investigators over 50 years without producing a confirmed identity. A cross-domain structural analysis through CIS may surface connections not previously assembled.</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D.B. Cooper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3A1A" w:sz="14" w:space="8"/>
        </w:pBdr>
        <w:spacing w:after="240"/>
        <w:ind w:left="360"/>
      </w:pPr>
      <w:r>
        <w:rPr>
          <w:rFonts w:ascii="Arial" w:cs="Arial" w:eastAsia="Arial" w:hAnsi="Arial"/>
          <w:b/>
          <w:bCs/>
          <w:color w:val="1A3A1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FBI Investigation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Norjak file — named for the investigation. Over 40 active suspects across the investigation's lifespan. More than 1,000 tips. The FBI's 2016 decision to move the case to inactive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Flight Crew Descriptions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Florence Schaffner's account, Tina Mucklow's detailed description, other flight crew observations, and the composite sketch produced from crew testimony.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Currency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1980 Columbia River find: 294 bills totalling $5,800, the condition of the bills, their location relative to Cooper's presumed landing zone, and the questions about how they got there.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Parachute Analysis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four parachutes provided: one sport chute, one dummy chute, one back chute, one chest reserve. Which Cooper used, what it tells us about his parachute knowledge, and what remains of the unused chutes.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Suspect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major suspects: Richard Floyd McCoy Jr., Robert Rackstraw, Duane Weber, L.D. Cooper, and the characteristics the true suspect must match based on the evidence.</w:t>
            </w:r>
          </w:p>
        </w:tc>
      </w:tr>
    </w:tbl>
    <w:p>
      <w:pPr>
        <w:spacing w:after="160" w:line="276"/>
      </w:pPr>
      <w:r>
        <w:rPr>
          <w:rFonts w:ascii="Arial" w:cs="Arial" w:eastAsia="Arial" w:hAnsi="Arial"/>
          <w:color w:val="000000"/>
          <w:sz w:val="22"/>
          <w:szCs w:val="22"/>
        </w:rPr>
        <w:t xml:space="preserve">Declare every domain pair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Flight Crew Descriptions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Tina Mucklow, the flight attendant who spent the most time with Cooper, described him as approximately 40-45 years old, 5'10" to 6' tall, average to athletic build, dark hair, olive or dark complexion, wearing a black tie with a pearl tie pin. He smoked Raleigh filter cigarettes. He ordered bourbon and soda and paid for his initial drink. He appeared calm throughout — not nervous. He showed knowledge of Northwest Orient's procedures and aircraft type.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Behavioural profile: calm, knowledgeable, brand-specific cigarettes — suggests professional background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FBI Investigation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Cooper ordered all four parachutes — two back chutes and two front reserves. This knowledge (that parachutes come in front and back configurations) indicates at least some parachute familiarity. However: the FBI included a non-functional dummy chute among the four provided, and Cooper accepted it without testing or inspecting the chutes. This has been interpreted both as evidence of expertise (he knew he only needed one) and as evidence of non-expertise (he did not know how to check them).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Parachute selection ambiguity: consistent with either expert or non-expert interpretation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Currency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February 1980, Brian Ingram found 294 deteriorating $20 bills from the Cooper ransom on the sand bar at Tina Bar on the Columbia River. The serial numbers matched. The location is approximately 9 miles from where the aircraft was during the jump sequence. The bills were found upstream of where they should have been if Cooper had landed, buried them, and they had washed downstream. The upstream location suggests either the bills floated up in a flood event or were placed there.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currency location not cross-referenced with Columbia River flood history data — different domain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Parachute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Cooper chose the back parachute — a training chute, not the sport chute. The sport chute was still in its bag on the aircraft. This choice is highly unusual for an experienced parachutist, who would recognise the sport chute as the superior option. It suggests either that Cooper jumped in dark conditions without examining his chutes, or that he was not experienced enough to distinguish between chute types by feel.</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Parachute selection: choosing the training chute over the sport chute suggests limited parachute knowledge or severe time and light constraints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Flight Crew Descriptions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Cooper's note to flight attendant Schaffner claimed to have a bomb. The note was handwritten. Schaffner read the note and initially thought it might be a phone number. Cooper then drew her attention to it. When asked to show her the bomb, he opened his briefcase briefly to show what appeared to be red cylinders, wires, and a battery. The briefcase was later found — empty. The bomb was never verified as real.</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bomb claim accepted without verification — flight crew correctly did not attempt to verify, but the bomb may have been a prop</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Suspect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Richard Floyd McCoy Jr. hijacked a United Airlines flight using an almost identical method in April 1972 — four months after Cooper. He collected $500,000, parachuted, and was caught two days later. McCoy was a combat-experienced Vietnam veteran with parachute training. He was killed in a subsequent prison escape. The FBI investigated McCoy as Cooper and officially excluded him: McCoy's physical description did not match Cooper's — he was younger, blond, and did not match the crew descriptions.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McCoy copycat or same person: officially excluded but used identical method four months later</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FBI Investigation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FBI's Norjak file contains over 40 suspects who were at various points considered plausible. Of these, none has been confirmed as Cooper. Key criteria: male, approximately 40-45 in 1971, parachute knowledge of some level, familiarity with the Seattle-Portland area and Northwest Orient procedures, and physical profile consistent with crew descriptions. The FBI moved the case to inactive in 2016 — not closed.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Investigation scope: 45 years, 40+ suspects, none confirmed — the suspect criteria are defined but the match has not been found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Currency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Columbia River flood records: the Tina Bar location where the bills were found was subject to significant flooding events between 1971 and 1980 that could have deposited material from upstream locations. If the bills were originally deposited downstream — where Cooper's landing zone would have placed them — a flood event could have carried them upstream to Tina Bar. This explanation reconciles the upstream location with a genuine Cooper landing.</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flood hydrology data not cross-referenced with currency location in original investigation</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4 (Cooper chose the training parachute, not the sport chute — suggesting limited parachute knowledge) and Signal 1 (Cooper appeared calm, knowledgeable about aircraft procedures, brand-specific cigarette preference — suggesting a professional with operational experience) describe inconsistent profiles.</w:t>
      </w:r>
    </w:p>
    <w:p>
      <w:pPr>
        <w:pStyle w:val="ListParagraph"/>
        <w:numPr>
          <w:ilvl w:val="0"/>
          <w:numId w:val="2"/>
        </w:numPr>
        <w:spacing w:after="160"/>
      </w:pPr>
      <w:r>
        <w:rPr>
          <w:rFonts w:ascii="Arial" w:cs="Arial" w:eastAsia="Arial" w:hAnsi="Arial"/>
          <w:color w:val="000000"/>
          <w:sz w:val="22"/>
          <w:szCs w:val="22"/>
        </w:rPr>
        <w:t xml:space="preserve">Register Signal 4 (parachute non-expertise) against Signal 1 (operational calm and airline knowledge).</w:t>
      </w:r>
    </w:p>
    <w:p>
      <w:pPr>
        <w:pStyle w:val="ListParagraph"/>
        <w:numPr>
          <w:ilvl w:val="0"/>
          <w:numId w:val="2"/>
        </w:numPr>
        <w:spacing w:after="160"/>
      </w:pPr>
      <w:r>
        <w:rPr>
          <w:rFonts w:ascii="Arial" w:cs="Arial" w:eastAsia="Arial" w:hAnsi="Arial"/>
          <w:color w:val="000000"/>
          <w:sz w:val="22"/>
          <w:szCs w:val="22"/>
        </w:rPr>
        <w:t xml:space="preserve">Description: A person with the operational calm, procedural knowledge, and professional demeanour described in Signal 1 would typically also have the parachute knowledge to select the correct chute. The selection of the training chute over the sport chute (Signal 4) is inconsistent with a highly trained operative. Either Cooper's calm came from a different source than parachute expertise — perhaps military or law enforcement background without parachute specialisation — or the jump conditions (darkness, pressurisation, time pressure) prevented proper assessment.</w:t>
      </w:r>
    </w:p>
    <w:p>
      <w:pPr>
        <w:spacing w:after="160"/>
      </w:pPr>
      <w:r>
        <w:t xml:space="preserve"/>
      </w:r>
    </w:p>
    <w:p>
      <w:pPr>
        <w:pStyle w:val="Heading2"/>
        <w:spacing w:after="140" w:before="360"/>
      </w:pPr>
      <w:r>
        <w:rPr>
          <w:rFonts w:ascii="Arial" w:cs="Arial" w:eastAsia="Arial" w:hAnsi="Arial"/>
          <w:b/>
          <w:bCs/>
          <w:color w:val="1F3864"/>
          <w:sz w:val="26"/>
          <w:szCs w:val="26"/>
        </w:rPr>
        <w:t xml:space="preserve">Competing Hypotheses</w:t>
      </w:r>
    </w:p>
    <w:p>
      <w:pPr>
        <w:pBdr>
          <w:left w:val="single" w:color="1A3A1A" w:sz="14" w:space="8"/>
        </w:pBdr>
        <w:spacing w:after="140"/>
        <w:ind w:left="360"/>
      </w:pPr>
      <w:r>
        <w:rPr>
          <w:rFonts w:ascii="Arial" w:cs="Arial" w:eastAsia="Arial" w:hAnsi="Arial"/>
          <w:b/>
          <w:bCs/>
          <w:color w:val="1A3A1A"/>
          <w:sz w:val="22"/>
          <w:szCs w:val="22"/>
        </w:rPr>
        <w:t xml:space="preserve">H1 — Experienced professional who did not survive the jump:  </w:t>
      </w:r>
      <w:r>
        <w:rPr>
          <w:rFonts w:ascii="Arial" w:cs="Arial" w:eastAsia="Arial" w:hAnsi="Arial"/>
          <w:color w:val="000000"/>
          <w:sz w:val="22"/>
          <w:szCs w:val="22"/>
        </w:rPr>
        <w:t xml:space="preserve">Cooper had professional experience explaining his calm and airline knowledge, but lacked parachute expertise. He jumped in the dark into mountainous forested terrain in November and did not survive. The currency at Tina Bar washed there by flood. His body and the remaining money are in the wilderness.</w:t>
      </w:r>
    </w:p>
    <w:p>
      <w:pPr>
        <w:pBdr>
          <w:left w:val="single" w:color="1A3A1A" w:sz="14" w:space="8"/>
        </w:pBdr>
        <w:spacing w:after="140"/>
        <w:ind w:left="360"/>
      </w:pPr>
      <w:r>
        <w:rPr>
          <w:rFonts w:ascii="Arial" w:cs="Arial" w:eastAsia="Arial" w:hAnsi="Arial"/>
          <w:b/>
          <w:bCs/>
          <w:color w:val="1A3A1A"/>
          <w:sz w:val="22"/>
          <w:szCs w:val="22"/>
        </w:rPr>
        <w:t xml:space="preserve">H2 — Cooper survived and successfully disappeared:  </w:t>
      </w:r>
      <w:r>
        <w:rPr>
          <w:rFonts w:ascii="Arial" w:cs="Arial" w:eastAsia="Arial" w:hAnsi="Arial"/>
          <w:color w:val="000000"/>
          <w:sz w:val="22"/>
          <w:szCs w:val="22"/>
        </w:rPr>
        <w:t xml:space="preserve">Cooper was experienced enough to survive. He buried the money, of which the Tina Bar bills represent a flood-distributed portion. He successfully assumed a new identity and lived out his life without detection. The investigation failed to find him because he was ordinary enough not to generate the right tip.</w:t>
      </w:r>
    </w:p>
    <w:p>
      <w:pPr>
        <w:pBdr>
          <w:left w:val="single" w:color="1A3A1A" w:sz="14" w:space="8"/>
        </w:pBdr>
        <w:spacing w:after="140"/>
        <w:ind w:left="360"/>
      </w:pPr>
      <w:r>
        <w:rPr>
          <w:rFonts w:ascii="Arial" w:cs="Arial" w:eastAsia="Arial" w:hAnsi="Arial"/>
          <w:b/>
          <w:bCs/>
          <w:color w:val="1A3A1A"/>
          <w:sz w:val="22"/>
          <w:szCs w:val="22"/>
        </w:rPr>
        <w:t xml:space="preserve">H3 — Copycat or inside knowledge:  </w:t>
      </w:r>
      <w:r>
        <w:rPr>
          <w:rFonts w:ascii="Arial" w:cs="Arial" w:eastAsia="Arial" w:hAnsi="Arial"/>
          <w:color w:val="000000"/>
          <w:sz w:val="22"/>
          <w:szCs w:val="22"/>
        </w:rPr>
        <w:t xml:space="preserve">Cooper had inside knowledge of Northwest Orient's procedures from a connection to the airline. The McCoy copycat nature of the 1972 hijacking raises the question of whether both men knew a common source for the method.</w:t>
      </w:r>
    </w:p>
    <w:p>
      <w:pPr>
        <w:spacing w:after="160"/>
      </w:pPr>
      <w:r>
        <w:t xml:space="preserve"/>
      </w:r>
    </w:p>
    <w:p>
      <w:pPr>
        <w:pStyle w:val="Heading2"/>
        <w:spacing w:after="140" w:before="360"/>
      </w:pPr>
      <w:r>
        <w:rPr>
          <w:rFonts w:ascii="Arial" w:cs="Arial" w:eastAsia="Arial" w:hAnsi="Arial"/>
          <w:b/>
          <w:bCs/>
          <w:color w:val="1F3864"/>
          <w:sz w:val="26"/>
          <w:szCs w:val="26"/>
        </w:rPr>
        <w:t xml:space="preserve">Open Questions</w:t>
      </w:r>
    </w:p>
    <w:p>
      <w:pPr>
        <w:pStyle w:val="ListParagraph"/>
        <w:numPr>
          <w:ilvl w:val="0"/>
          <w:numId w:val="3"/>
        </w:numPr>
        <w:spacing w:after="120"/>
      </w:pPr>
      <w:r>
        <w:rPr>
          <w:rFonts w:ascii="Arial" w:cs="Arial" w:eastAsia="Arial" w:hAnsi="Arial"/>
          <w:color w:val="000000"/>
          <w:sz w:val="22"/>
          <w:szCs w:val="22"/>
        </w:rPr>
        <w:t xml:space="preserve">Does the Columbia River flood hydrology reconcile the Tina Bar bill location with a downstream landing zone?</w:t>
      </w:r>
    </w:p>
    <w:p>
      <w:pPr>
        <w:pStyle w:val="ListParagraph"/>
        <w:numPr>
          <w:ilvl w:val="0"/>
          <w:numId w:val="3"/>
        </w:numPr>
        <w:spacing w:after="120"/>
      </w:pPr>
      <w:r>
        <w:rPr>
          <w:rFonts w:ascii="Arial" w:cs="Arial" w:eastAsia="Arial" w:hAnsi="Arial"/>
          <w:color w:val="000000"/>
          <w:sz w:val="22"/>
          <w:szCs w:val="22"/>
        </w:rPr>
        <w:t xml:space="preserve">What happened to Cooper's DNA — was it preserved from the cigarette butts and the note he gave Schaffner?</w:t>
      </w:r>
    </w:p>
    <w:p>
      <w:pPr>
        <w:pStyle w:val="ListParagraph"/>
        <w:numPr>
          <w:ilvl w:val="0"/>
          <w:numId w:val="3"/>
        </w:numPr>
        <w:spacing w:after="120"/>
      </w:pPr>
      <w:r>
        <w:rPr>
          <w:rFonts w:ascii="Arial" w:cs="Arial" w:eastAsia="Arial" w:hAnsi="Arial"/>
          <w:color w:val="000000"/>
          <w:sz w:val="22"/>
          <w:szCs w:val="22"/>
        </w:rPr>
        <w:t xml:space="preserve">The tie that Cooper left on the aircraft: a clip-on black tie with the mother-of-pearl pin. Has the tie's origin been established? Clip-on ties were common in certain professional contexts in 1971 — which ones?</w:t>
      </w:r>
    </w:p>
    <w:p>
      <w:pPr>
        <w:pStyle w:val="ListParagraph"/>
        <w:numPr>
          <w:ilvl w:val="0"/>
          <w:numId w:val="3"/>
        </w:numPr>
        <w:spacing w:after="120"/>
      </w:pPr>
      <w:r>
        <w:rPr>
          <w:rFonts w:ascii="Arial" w:cs="Arial" w:eastAsia="Arial" w:hAnsi="Arial"/>
          <w:color w:val="000000"/>
          <w:sz w:val="22"/>
          <w:szCs w:val="22"/>
        </w:rPr>
        <w:t xml:space="preserve">What is the connection between the Cooper method and the McCoy copycat four months later?</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hydrologists familiar with Columbia River flood events between 1971 and 1980 who can model whether bills could have moved upstream to Tina Bar; forensic specialists who can attempt DNA extraction from the preserved tie; investigators familiar with the Norjak file who can assess the 40+ suspects against the physical profile established by Tina Mucklow's account.</w:t>
      </w:r>
    </w:p>
    <w:p>
      <w:pPr>
        <w:pBdr>
          <w:left w:val="single" w:color="1A3A1A" w:sz="14" w:space="8"/>
        </w:pBdr>
        <w:spacing w:after="240"/>
        <w:ind w:left="360"/>
      </w:pPr>
      <w:r>
        <w:rPr>
          <w:rFonts w:ascii="Arial" w:cs="Arial" w:eastAsia="Arial" w:hAnsi="Arial"/>
          <w:b/>
          <w:bCs/>
          <w:color w:val="1A3A1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480"/>
      </w:pPr>
      <w:r>
        <w:rPr>
          <w:rFonts w:ascii="Arial" w:cs="Arial" w:eastAsia="Arial" w:hAnsi="Arial"/>
          <w:b/>
          <w:bCs/>
          <w:color w:val="1A3A1A"/>
          <w:sz w:val="34"/>
          <w:szCs w:val="34"/>
        </w:rPr>
        <w:t xml:space="preserve">Case 3 — The Antwerp Diamond Heist</w:t>
      </w:r>
    </w:p>
    <w:p>
      <w:pPr>
        <w:shd w:fill="1A3A1A" w:val="clear"/>
        <w:spacing w:after="240"/>
      </w:pPr>
      <w:r>
        <w:rPr>
          <w:rFonts w:ascii="Arial" w:cs="Arial" w:eastAsia="Arial" w:hAnsi="Arial"/>
          <w:b/>
          <w:bCs/>
          <w:color w:val="FFFFFF"/>
          <w:sz w:val="22"/>
          <w:szCs w:val="22"/>
        </w:rPr>
        <w:t xml:space="preserve">  COLD CASE — UNSOLVED OR UNRECOVERED — INVESTIGATION OPEN  </w:t>
      </w:r>
    </w:p>
    <w:p>
      <w:pPr>
        <w:spacing w:after="200"/>
      </w:pPr>
      <w:r>
        <w:rPr>
          <w:rFonts w:ascii="Arial" w:cs="Arial" w:eastAsia="Arial" w:hAnsi="Arial"/>
          <w:i/>
          <w:iCs/>
          <w:color w:val="595959"/>
          <w:sz w:val="22"/>
          <w:szCs w:val="22"/>
        </w:rPr>
        <w:t xml:space="preserve">Antwerp Diamond Centre, Belgium  ·  15-16 February 2003  ·  $100M  ·  Almost Nothing Recovered</w:t>
      </w:r>
    </w:p>
    <w:p>
      <w:pPr>
        <w:pBdr>
          <w:bottom w:val="single" w:color="1A3A1A"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On the weekend of 15-16 February 2003, thieves broke into the vault of the Antwerp Diamond Centre — the heart of the world's largest diamond trading district — and emptied 109 of 189 safe deposit boxes. The estimated value of what they took was approximately $100 million in diamonds, gold, and other jewellery. It is considered the largest diamond heist in history.</w:t>
      </w:r>
    </w:p>
    <w:p>
      <w:pPr>
        <w:spacing w:after="160" w:line="276"/>
      </w:pPr>
      <w:r>
        <w:rPr>
          <w:rFonts w:ascii="Arial" w:cs="Arial" w:eastAsia="Arial" w:hAnsi="Arial"/>
          <w:color w:val="000000"/>
          <w:sz w:val="22"/>
          <w:szCs w:val="22"/>
        </w:rPr>
        <w:t xml:space="preserve">The planning was meticulous. The gang had rented office space inside the Diamond Centre for approximately a year before the robbery, giving them time to study routines, staff patterns, and the security systems they would need to defeat. They bypassed a magnetic sensor lock, a seismic alarm, an infrared heat detector, a Doppler radar, and a lock with 100 million possible combinations. The theft was not discovered until Monday morning.</w:t>
      </w:r>
    </w:p>
    <w:p>
      <w:pPr>
        <w:spacing w:after="160" w:line="276"/>
      </w:pPr>
      <w:r>
        <w:rPr>
          <w:rFonts w:ascii="Arial" w:cs="Arial" w:eastAsia="Arial" w:hAnsi="Arial"/>
          <w:color w:val="000000"/>
          <w:sz w:val="22"/>
          <w:szCs w:val="22"/>
        </w:rPr>
        <w:t xml:space="preserve">Four members of the gang — led by Ferdinando Finotto, an Italian national — were arrested after investigators found their disposal site: a forest outside Antwerp where the gang had discarded materials including partial DNA evidence and documents. The arrested men served sentences. Almost no stolen goods were ever recovered. The network that received the diamonds and the final destination of the proceeds remain unknown.</w:t>
      </w:r>
    </w:p>
    <w:p>
      <w:pPr>
        <w:spacing w:after="160"/>
      </w:pPr>
      <w:r>
        <w:t xml:space="preserve"/>
      </w:r>
    </w:p>
    <w:p>
      <w:pPr>
        <w:pBdr>
          <w:left w:val="single" w:color="1A3A1A" w:sz="14" w:space="8"/>
        </w:pBdr>
        <w:spacing w:after="160"/>
        <w:ind w:left="360"/>
      </w:pPr>
      <w:r>
        <w:rPr>
          <w:rFonts w:ascii="Arial" w:cs="Arial" w:eastAsia="Arial" w:hAnsi="Arial"/>
          <w:b/>
          <w:bCs/>
          <w:color w:val="1A3A1A"/>
          <w:sz w:val="22"/>
          <w:szCs w:val="22"/>
        </w:rPr>
        <w:t xml:space="preserve">Why CIS:  </w:t>
      </w:r>
      <w:r>
        <w:rPr>
          <w:rFonts w:ascii="Arial" w:cs="Arial" w:eastAsia="Arial" w:hAnsi="Arial"/>
          <w:color w:val="000000"/>
          <w:sz w:val="22"/>
          <w:szCs w:val="22"/>
        </w:rPr>
        <w:t xml:space="preserve">The Antwerp investigation was conducted by Belgian federal police, Interpol, and Italian authorities — three agencies that did not share evidence in real time. The vault security domain, the police investigation domain, the informant intelligence domain, the diamond market tracking domain, and the physical evidence domain have never been assembled into a single cross-domain view.</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Antwerp Diamond Heist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3A1A" w:sz="14" w:space="8"/>
        </w:pBdr>
        <w:spacing w:after="240"/>
        <w:ind w:left="360"/>
      </w:pPr>
      <w:r>
        <w:rPr>
          <w:rFonts w:ascii="Arial" w:cs="Arial" w:eastAsia="Arial" w:hAnsi="Arial"/>
          <w:b/>
          <w:bCs/>
          <w:color w:val="1A3A1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Vault Security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Diamond Centre's security system configuration, access logs, vault entry records, and the specific sequence in which the security systems were defeated.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Police Investigation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Belgian Federal Police investigation file, the arrests, the trial record, what the convicted men said about the operation and the network, and the prosecution's evidence.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Informant Intelligence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informants told police about the network, who received the diamonds after the theft, and the connections to Italian organised crime identified through the investigation.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Diamond Market Tracking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How stolen diamonds move through the market, the role of Antwerp itself as a trading centre in laundering stolen stones, and any trace intelligence of specific stones from the heist.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Physical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forest disposal site: what was found there, the DNA evidence, the partial document evidence, and what the discarded materials revealed about the operation's planning.</w:t>
            </w:r>
          </w:p>
        </w:tc>
      </w:tr>
    </w:tbl>
    <w:p>
      <w:pPr>
        <w:spacing w:after="160" w:line="276"/>
      </w:pPr>
      <w:r>
        <w:rPr>
          <w:rFonts w:ascii="Arial" w:cs="Arial" w:eastAsia="Arial" w:hAnsi="Arial"/>
          <w:color w:val="000000"/>
          <w:sz w:val="22"/>
          <w:szCs w:val="22"/>
        </w:rPr>
        <w:t xml:space="preserve">Declare every domain pair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A3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Vault Security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gang spent approximately a year inside the Diamond Centre before the robbery. They had rented office space in the building — a practice available to diamond traders. This gave them access to the building's corridors, lift system, and the basement area adjacent to the vault. They used this time to study the security system's configuration and test elements of their bypass equipment. The vault access was during normal business hours.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Long-term inside access: one year of reconnaissance — the heist was executed with extraordinary advance knowledge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Vault Security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security systems defeated: a magnetic sensor lock on the vault door, a seismic alarm that would detect vault drilling, an infrared heat detector, a Doppler radar, and the vault combination lock with 100 million possible combinations. The gang used a device that blocked the magnetic sensor, worked through the combination by a method not fully established, and accessed the vault on a Saturday night when the building was empty.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Six independent security layers defeated — required inside knowledge of each system's configuration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gang discarded operation materials in a forest outside Antwerp after the theft. Investigators found: partial DNA evidence, portions of a document listing safe deposit box numbers (allowing investigators to establish which boxes were targeted), food containers, and other disposable materials. The discovery of this site was the primary evidence leading to the arrests.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Disposal site found: DNA and documents recovered — forensic basis for arrests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Police Investigation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Four members of the gang were arrested and convicted: Ferdinando Finotto (the leader), Speedy Petalo, and two associates. At trial, the gang revealed minimal information about the operation's planning or the network that received the diamonds. Finotto and Petalo served their sentences. On release, neither has been observed to live beyond their criminal means, which investigators note is inconsistent with a $100M operation.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convicted men did not reveal the network — information closed at sentencing</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Informant Intelligence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Belgian and Italian investigators developed intelligence suggesting that the proceeds from the Antwerp heist were laundered through a network with connections to the Camorra — the Neapolitan organised crime organisation. The diamonds were reportedly moved out of Belgium within days of the theft, through intermediaries connected to Italian jewellery trading networks in Antwerp itself.</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Camorra connection in informant intelligence domain — not connected to diamond market tracking</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Diamond Market Tracking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Rough diamonds stolen from vaults can be recut — a process that changes their identifying characteristics and makes them difficult to trace through GIA or other certification databases. If the Antwerp diamonds were recut in the weeks after the theft, their individual identities would have been destroyed. The Antwerp diamond district itself contains the workshops and expertise to recutindividual stones quickly.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Structural: diamond market provides the laundry mechanism within the same geographic area as the theft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Vault Security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gang targeted 109 of 189 safe deposit boxes. The 80 boxes they did not open were primarily those of dealers who had recently moved their inventory — consistent with the gang having some knowledge of which boxes currently held the most valuable contents. This selectivity, like the Gardner Museum theft, suggests either inside knowledge of box contents or excellent pre-theft intelligence about the trading cycle.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Selective targeting: 109 of 189 boxes — consistent with advance intelligence about box contents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1A"/>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Informant Intelligence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cleaning woman who worked in the Diamond Centre reported to investigators that in the weeks before the robbery, she had noticed unusual activity in the office rented by the gang: late-night working hours, deliveries at unusual times, and unusual equipment being brought in. She had not reported this to security management at the time. Her account was not in the initial security review.</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pre-theft witness observation not reported — lost until post-theft investigation</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4 (convicted men served sentences, neither living beyond criminal means — inconsistent with $100M operation) and Signal 5 (informant intelligence: proceeds moved through Camorra-connected network) are in structural tension. If the Camorra received the diamonds, Finotto and Petalo would not have been the primary beneficiaries — they were operational actors, not the principals. Their modest post-prison lifestyle is consistent with being paid operationally but not given a share of the ultimate proceeds.</w:t>
      </w:r>
    </w:p>
    <w:p>
      <w:pPr>
        <w:pStyle w:val="ListParagraph"/>
        <w:numPr>
          <w:ilvl w:val="0"/>
          <w:numId w:val="2"/>
        </w:numPr>
        <w:spacing w:after="160"/>
      </w:pPr>
      <w:r>
        <w:rPr>
          <w:rFonts w:ascii="Arial" w:cs="Arial" w:eastAsia="Arial" w:hAnsi="Arial"/>
          <w:color w:val="000000"/>
          <w:sz w:val="22"/>
          <w:szCs w:val="22"/>
        </w:rPr>
        <w:t xml:space="preserve">Register Signal 4 (convicted men's post-prison lifestyle is inconsistent with $100M beneficiary) against Signal 5 (Camorra-connected network received the diamonds).</w:t>
      </w:r>
    </w:p>
    <w:p>
      <w:pPr>
        <w:pStyle w:val="ListParagraph"/>
        <w:numPr>
          <w:ilvl w:val="0"/>
          <w:numId w:val="2"/>
        </w:numPr>
        <w:spacing w:after="160"/>
      </w:pPr>
      <w:r>
        <w:rPr>
          <w:rFonts w:ascii="Arial" w:cs="Arial" w:eastAsia="Arial" w:hAnsi="Arial"/>
          <w:color w:val="000000"/>
          <w:sz w:val="22"/>
          <w:szCs w:val="22"/>
        </w:rPr>
        <w:t xml:space="preserve">Description: If Finotto and Petalo were contracted operatives for a Camorra-connected principal, their personal share would be a fee rather than a percentage of the total value. Their post-prison modest circumstances are consistent with this interpretation — they were hired for the job, paid, and the proceeds went elsewhere. Signal 4 appears to contradict the scale of the theft but actually confirms the network hierarchy: the principals were not arrested.</w:t>
      </w:r>
    </w:p>
    <w:p>
      <w:pPr>
        <w:pStyle w:val="ListParagraph"/>
        <w:numPr>
          <w:ilvl w:val="0"/>
          <w:numId w:val="2"/>
        </w:numPr>
        <w:spacing w:after="160"/>
      </w:pPr>
      <w:r>
        <w:rPr>
          <w:rFonts w:ascii="Arial" w:cs="Arial" w:eastAsia="Arial" w:hAnsi="Arial"/>
          <w:color w:val="000000"/>
          <w:sz w:val="22"/>
          <w:szCs w:val="22"/>
        </w:rPr>
        <w:t xml:space="preserve">Resolution type: RC-3 — intelligence from someone with knowledge of the Camorra network's diamond handling operations in 2003 would confirm or deny this interpretation.</w:t>
      </w:r>
    </w:p>
    <w:p>
      <w:pPr>
        <w:spacing w:after="160"/>
      </w:pPr>
      <w:r>
        <w:t xml:space="preserve"/>
      </w:r>
    </w:p>
    <w:p>
      <w:pPr>
        <w:pStyle w:val="Heading2"/>
        <w:spacing w:after="140" w:before="360"/>
      </w:pPr>
      <w:r>
        <w:rPr>
          <w:rFonts w:ascii="Arial" w:cs="Arial" w:eastAsia="Arial" w:hAnsi="Arial"/>
          <w:b/>
          <w:bCs/>
          <w:color w:val="1F3864"/>
          <w:sz w:val="26"/>
          <w:szCs w:val="26"/>
        </w:rPr>
        <w:t xml:space="preserve">Competing Hypotheses</w:t>
      </w:r>
    </w:p>
    <w:p>
      <w:pPr>
        <w:pBdr>
          <w:left w:val="single" w:color="1A3A1A" w:sz="14" w:space="8"/>
        </w:pBdr>
        <w:spacing w:after="140"/>
        <w:ind w:left="360"/>
      </w:pPr>
      <w:r>
        <w:rPr>
          <w:rFonts w:ascii="Arial" w:cs="Arial" w:eastAsia="Arial" w:hAnsi="Arial"/>
          <w:b/>
          <w:bCs/>
          <w:color w:val="1A3A1A"/>
          <w:sz w:val="22"/>
          <w:szCs w:val="22"/>
        </w:rPr>
        <w:t xml:space="preserve">H1 — Camorra-commissioned theft, diamonds laundered through Antwerp-Naples network:  </w:t>
      </w:r>
      <w:r>
        <w:rPr>
          <w:rFonts w:ascii="Arial" w:cs="Arial" w:eastAsia="Arial" w:hAnsi="Arial"/>
          <w:color w:val="000000"/>
          <w:sz w:val="22"/>
          <w:szCs w:val="22"/>
        </w:rPr>
        <w:t xml:space="preserve">The heist was commissioned by or on behalf of Camorra principals. Finotto and associates were contracted operatives. The diamonds were recut in Antwerp within days of the theft, moved through the legitimate diamond trade to Naples or Rome, and entered the grey market for high-value jewellery. The principals have never been identified.</w:t>
      </w:r>
    </w:p>
    <w:p>
      <w:pPr>
        <w:pBdr>
          <w:left w:val="single" w:color="1A3A1A" w:sz="14" w:space="8"/>
        </w:pBdr>
        <w:spacing w:after="140"/>
        <w:ind w:left="360"/>
      </w:pPr>
      <w:r>
        <w:rPr>
          <w:rFonts w:ascii="Arial" w:cs="Arial" w:eastAsia="Arial" w:hAnsi="Arial"/>
          <w:b/>
          <w:bCs/>
          <w:color w:val="1A3A1A"/>
          <w:sz w:val="22"/>
          <w:szCs w:val="22"/>
        </w:rPr>
        <w:t xml:space="preserve">H2 — The diamonds were used as collateral in criminal transactions:  </w:t>
      </w:r>
      <w:r>
        <w:rPr>
          <w:rFonts w:ascii="Arial" w:cs="Arial" w:eastAsia="Arial" w:hAnsi="Arial"/>
          <w:color w:val="000000"/>
          <w:sz w:val="22"/>
          <w:szCs w:val="22"/>
        </w:rPr>
        <w:t xml:space="preserve">Like the Gardner art, the diamonds were not sold but used to back criminal financial transactions. They remain in criminal hands across multiple parties. The current holders may not know their origin.</w:t>
      </w:r>
    </w:p>
    <w:p>
      <w:pPr>
        <w:pBdr>
          <w:left w:val="single" w:color="1A3A1A" w:sz="14" w:space="8"/>
        </w:pBdr>
        <w:spacing w:after="140"/>
        <w:ind w:left="360"/>
      </w:pPr>
      <w:r>
        <w:rPr>
          <w:rFonts w:ascii="Arial" w:cs="Arial" w:eastAsia="Arial" w:hAnsi="Arial"/>
          <w:b/>
          <w:bCs/>
          <w:color w:val="1A3A1A"/>
          <w:sz w:val="22"/>
          <w:szCs w:val="22"/>
        </w:rPr>
        <w:t xml:space="preserve">H3 — The diamonds have been sold through legitimate channels after recutting:  </w:t>
      </w:r>
      <w:r>
        <w:rPr>
          <w:rFonts w:ascii="Arial" w:cs="Arial" w:eastAsia="Arial" w:hAnsi="Arial"/>
          <w:color w:val="000000"/>
          <w:sz w:val="22"/>
          <w:szCs w:val="22"/>
        </w:rPr>
        <w:t xml:space="preserve">The recutting made them untraceable. They are now in the legitimate market. Some may have passed through reputable dealers in Antwerp, Ramat Gan, or New York without anyone knowing their origin.</w:t>
      </w:r>
    </w:p>
    <w:p>
      <w:pPr>
        <w:spacing w:after="160"/>
      </w:pPr>
      <w:r>
        <w:t xml:space="preserve"/>
      </w:r>
    </w:p>
    <w:p>
      <w:pPr>
        <w:pStyle w:val="Heading2"/>
        <w:spacing w:after="140" w:before="360"/>
      </w:pPr>
      <w:r>
        <w:rPr>
          <w:rFonts w:ascii="Arial" w:cs="Arial" w:eastAsia="Arial" w:hAnsi="Arial"/>
          <w:b/>
          <w:bCs/>
          <w:color w:val="1F3864"/>
          <w:sz w:val="26"/>
          <w:szCs w:val="26"/>
        </w:rPr>
        <w:t xml:space="preserve">Open Questions</w:t>
      </w:r>
    </w:p>
    <w:p>
      <w:pPr>
        <w:pStyle w:val="ListParagraph"/>
        <w:numPr>
          <w:ilvl w:val="0"/>
          <w:numId w:val="3"/>
        </w:numPr>
        <w:spacing w:after="120"/>
      </w:pPr>
      <w:r>
        <w:rPr>
          <w:rFonts w:ascii="Arial" w:cs="Arial" w:eastAsia="Arial" w:hAnsi="Arial"/>
          <w:color w:val="000000"/>
          <w:sz w:val="22"/>
          <w:szCs w:val="22"/>
        </w:rPr>
        <w:t xml:space="preserve">Who were the principals who commissioned or funded the Antwerp heist — the network above Finotto?</w:t>
      </w:r>
    </w:p>
    <w:p>
      <w:pPr>
        <w:pStyle w:val="ListParagraph"/>
        <w:numPr>
          <w:ilvl w:val="0"/>
          <w:numId w:val="3"/>
        </w:numPr>
        <w:spacing w:after="120"/>
      </w:pPr>
      <w:r>
        <w:rPr>
          <w:rFonts w:ascii="Arial" w:cs="Arial" w:eastAsia="Arial" w:hAnsi="Arial"/>
          <w:color w:val="000000"/>
          <w:sz w:val="22"/>
          <w:szCs w:val="22"/>
        </w:rPr>
        <w:t xml:space="preserve">Were the diamonds recut in Antwerp in the days after the theft, and if so, by whom?</w:t>
      </w:r>
    </w:p>
    <w:p>
      <w:pPr>
        <w:pStyle w:val="ListParagraph"/>
        <w:numPr>
          <w:ilvl w:val="0"/>
          <w:numId w:val="3"/>
        </w:numPr>
        <w:spacing w:after="120"/>
      </w:pPr>
      <w:r>
        <w:rPr>
          <w:rFonts w:ascii="Arial" w:cs="Arial" w:eastAsia="Arial" w:hAnsi="Arial"/>
          <w:color w:val="000000"/>
          <w:sz w:val="22"/>
          <w:szCs w:val="22"/>
        </w:rPr>
        <w:t xml:space="preserve">What does the informant intelligence about the Camorra connection actually establish about specific individuals or organisations?</w:t>
      </w:r>
    </w:p>
    <w:p>
      <w:pPr>
        <w:pStyle w:val="ListParagraph"/>
        <w:numPr>
          <w:ilvl w:val="0"/>
          <w:numId w:val="3"/>
        </w:numPr>
        <w:spacing w:after="120"/>
      </w:pPr>
      <w:r>
        <w:rPr>
          <w:rFonts w:ascii="Arial" w:cs="Arial" w:eastAsia="Arial" w:hAnsi="Arial"/>
          <w:color w:val="000000"/>
          <w:sz w:val="22"/>
          <w:szCs w:val="22"/>
        </w:rPr>
        <w:t xml:space="preserve">The cleaning woman's observation (Signal 8): does her account provide enough specificity about what she saw to narrow the equipment the gang used?</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anyone with knowledge of the Camorra's diamond handling networks in Italy and Belgium in 2003; Antwerp diamond trade specialists who can assess whether a large-scale recutting operation would have left traces in the trade's records; investigators familiar with the Belgian Federal Police file who can assess what the convicted men's testimony revealed about the network structure.</w:t>
      </w:r>
    </w:p>
    <w:p>
      <w:pPr>
        <w:pBdr>
          <w:left w:val="single" w:color="1A3A1A" w:sz="14" w:space="8"/>
        </w:pBdr>
        <w:spacing w:after="240"/>
        <w:ind w:left="360"/>
      </w:pPr>
      <w:r>
        <w:rPr>
          <w:rFonts w:ascii="Arial" w:cs="Arial" w:eastAsia="Arial" w:hAnsi="Arial"/>
          <w:b/>
          <w:bCs/>
          <w:color w:val="1A3A1A"/>
          <w:sz w:val="22"/>
          <w:szCs w:val="22"/>
        </w:rPr>
        <w:t xml:space="preserve">Case Code:  </w:t>
      </w:r>
      <w:r>
        <w:rPr>
          <w:rFonts w:ascii="Arial" w:cs="Arial" w:eastAsia="Arial" w:hAnsi="Arial"/>
          <w:color w:val="595959"/>
          <w:sz w:val="22"/>
          <w:szCs w:val="22"/>
        </w:rPr>
        <w:t xml:space="preserve">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1A"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1A" w:sz="4" w:space="4"/>
      </w:pBdr>
    </w:pPr>
    <w:r>
      <w:rPr>
        <w:rFonts w:ascii="Arial" w:cs="Arial" w:eastAsia="Arial" w:hAnsi="Arial"/>
        <w:i/>
        <w:iCs/>
        <w:color w:val="595959"/>
        <w:sz w:val="18"/>
        <w:szCs w:val="18"/>
      </w:rPr>
      <w:t xml:space="preserve">CIS Cold Cases  |  Volume 4: Heists and Criminal Networks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1A"/>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2026-06-08T05:30:19.919Z</dcterms:created>
  <dcterms:modified xsi:type="dcterms:W3CDTF">2026-06-08T05:30:19.919Z</dcterms:modified>
</cp:coreProperties>
</file>

<file path=docProps/custom.xml><?xml version="1.0" encoding="utf-8"?>
<Properties xmlns="http://schemas.openxmlformats.org/officeDocument/2006/custom-properties" xmlns:vt="http://schemas.openxmlformats.org/officeDocument/2006/docPropsVTypes"/>
</file>