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1F3864"/>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145A32" w:sz="6" w:space="1"/>
        </w:pBdr>
        <w:spacing w:after="400"/>
      </w:pPr>
      <w:r>
        <w:t xml:space="preserve"/>
      </w:r>
    </w:p>
    <w:p>
      <w:pPr>
        <w:spacing w:after="200"/>
        <w:jc w:val="center"/>
      </w:pPr>
      <w:r>
        <w:rPr>
          <w:rFonts w:ascii="Arial" w:cs="Arial" w:eastAsia="Arial" w:hAnsi="Arial"/>
          <w:b/>
          <w:bCs/>
          <w:color w:val="145A32"/>
          <w:sz w:val="52"/>
          <w:szCs w:val="52"/>
        </w:rPr>
        <w:t xml:space="preserve">OPEN CASES WORKBOOK</w:t>
      </w:r>
    </w:p>
    <w:p>
      <w:pPr>
        <w:spacing w:after="600"/>
        <w:jc w:val="center"/>
      </w:pPr>
      <w:r>
        <w:rPr>
          <w:rFonts w:ascii="Arial" w:cs="Arial" w:eastAsia="Arial" w:hAnsi="Arial"/>
          <w:color w:val="595959"/>
          <w:sz w:val="26"/>
          <w:szCs w:val="26"/>
        </w:rPr>
        <w:t xml:space="preserve">Active Investigations  ·  Every Step  ·  Share the Code</w:t>
      </w:r>
    </w:p>
    <w:p>
      <w:pPr>
        <w:spacing w:after="160"/>
        <w:jc w:val="center"/>
      </w:pPr>
      <w:r>
        <w:rPr>
          <w:rFonts w:ascii="Arial" w:cs="Arial" w:eastAsia="Arial" w:hAnsi="Arial"/>
          <w:color w:val="3C3C3C"/>
          <w:sz w:val="22"/>
          <w:szCs w:val="22"/>
        </w:rPr>
        <w:t xml:space="preserve">Case 1 — Operation Nighthawk: financial irregularity. The same person authorised payments, confirmed deliveries, and added the vendor. Four domains, no segregation.</w:t>
      </w:r>
    </w:p>
    <w:p>
      <w:pPr>
        <w:spacing w:after="160"/>
        <w:jc w:val="center"/>
      </w:pPr>
      <w:r>
        <w:rPr>
          <w:rFonts w:ascii="Arial" w:cs="Arial" w:eastAsia="Arial" w:hAnsi="Arial"/>
          <w:color w:val="3C3C3C"/>
          <w:sz w:val="22"/>
          <w:szCs w:val="22"/>
        </w:rPr>
        <w:t xml:space="preserve">Case 2 — Valley Water Anomaly: three zones losing pressure. A treatment plant event six weeks ago may explain all three. Nobody has looked at both together.</w:t>
      </w:r>
    </w:p>
    <w:p>
      <w:pPr>
        <w:spacing w:after="600"/>
        <w:jc w:val="center"/>
      </w:pPr>
      <w:r>
        <w:rPr>
          <w:rFonts w:ascii="Arial" w:cs="Arial" w:eastAsia="Arial" w:hAnsi="Arial"/>
          <w:color w:val="3C3C3C"/>
          <w:sz w:val="22"/>
          <w:szCs w:val="22"/>
        </w:rPr>
        <w:t xml:space="preserve">Case 3 — Project Lakeview: adverse events at three hospital sites, one protocol, one dose that exceeds the manufacturer maximum.</w:t>
      </w:r>
    </w:p>
    <w:p>
      <w:pPr>
        <w:jc w:val="center"/>
      </w:pPr>
      <w:r>
        <w:rPr>
          <w:rFonts w:ascii="Arial" w:cs="Arial" w:eastAsia="Arial" w:hAnsi="Arial"/>
          <w:color w:val="595959"/>
          <w:sz w:val="22"/>
          <w:szCs w:val="22"/>
        </w:rPr>
        <w:t xml:space="preserve">Version 2.0  ·  2026</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80"/>
      </w:pPr>
      <w:r>
        <w:rPr>
          <w:rFonts w:ascii="Arial" w:cs="Arial" w:eastAsia="Arial" w:hAnsi="Arial"/>
          <w:b/>
          <w:bCs/>
          <w:color w:val="145A32"/>
          <w:sz w:val="34"/>
          <w:szCs w:val="34"/>
        </w:rPr>
        <w:t xml:space="preserve">How to Use This Workbook</w:t>
      </w:r>
    </w:p>
    <w:p>
      <w:pPr>
        <w:pBdr>
          <w:bottom w:val="single" w:color="145A32" w:sz="4" w:space="1"/>
        </w:pBdr>
        <w:spacing w:after="200"/>
      </w:pPr>
      <w:r>
        <w:t xml:space="preserve"/>
      </w:r>
    </w:p>
    <w:p>
      <w:pPr>
        <w:spacing w:after="160" w:line="276"/>
      </w:pPr>
      <w:r>
        <w:rPr>
          <w:rFonts w:ascii="Arial" w:cs="Arial" w:eastAsia="Arial" w:hAnsi="Arial"/>
          <w:color w:val="000000"/>
          <w:sz w:val="22"/>
          <w:szCs w:val="22"/>
        </w:rPr>
        <w:t xml:space="preserve">Each case in this workbook is a genuine open investigation with no predetermined answer. You run every step — create the case, set up domains, enter each signal, register contradictions, check automated behaviour, and generate a briefing. Then you share the case code with collaborators who can add signals from their domain knowledge.</w:t>
      </w:r>
    </w:p>
    <w:p>
      <w:pPr>
        <w:spacing w:after="160" w:line="276"/>
      </w:pPr>
      <w:r>
        <w:rPr>
          <w:rFonts w:ascii="Arial" w:cs="Arial" w:eastAsia="Arial" w:hAnsi="Arial"/>
          <w:color w:val="000000"/>
          <w:sz w:val="22"/>
          <w:szCs w:val="22"/>
        </w:rPr>
        <w:t xml:space="preserve">For the person setting up the case: complete every step and record the case code. Then share it with the specialists listed in the Collaboration Needed section.</w:t>
      </w:r>
    </w:p>
    <w:p>
      <w:pPr>
        <w:spacing w:after="160" w:line="276"/>
      </w:pPr>
      <w:r>
        <w:rPr>
          <w:rFonts w:ascii="Arial" w:cs="Arial" w:eastAsia="Arial" w:hAnsi="Arial"/>
          <w:color w:val="000000"/>
          <w:sz w:val="22"/>
          <w:szCs w:val="22"/>
        </w:rPr>
        <w:t xml:space="preserve">For a collaborator receiving a case code: go to cisnew.vercel.app, enter the code, read the active signals and hypothesis state, then add any signals you have from your domain. CIS will integrate them automatically.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c>
          <w:tcPr>
            <w:tcW w:type="dxa" w:w="26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CASE</w:t>
            </w:r>
          </w:p>
        </w:tc>
        <w:tc>
          <w:tcPr>
            <w:tcW w:type="dxa" w:w="24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2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SIGNALS</w:t>
            </w:r>
          </w:p>
        </w:tc>
        <w:tc>
          <w:tcPr>
            <w:tcW w:type="dxa" w:w="216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SEEKING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Operation Nighthawk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Financial Irregularity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 signals / 4 domains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Forensic accountants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Valley Water Anomaly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Infrastructure Contamination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 signals / 5 domains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Water engineers, environmental health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Project Lakeview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Clinical Pattern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 signals / 5 domains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Clinicians, pharmacologists</w:t>
            </w:r>
          </w:p>
        </w:tc>
      </w:tr>
    </w:tbl>
    <w:p>
      <w:r>
        <w:br w:type="page"/>
      </w:r>
    </w:p>
    <w:p>
      <w:pPr>
        <w:pStyle w:val="Heading1"/>
        <w:spacing w:after="160" w:before="480"/>
      </w:pPr>
      <w:r>
        <w:rPr>
          <w:rFonts w:ascii="Arial" w:cs="Arial" w:eastAsia="Arial" w:hAnsi="Arial"/>
          <w:b/>
          <w:bCs/>
          <w:color w:val="145A32"/>
          <w:sz w:val="34"/>
          <w:szCs w:val="34"/>
        </w:rPr>
        <w:t xml:space="preserve">Case 1 — Operation Nighthawk</w:t>
      </w:r>
    </w:p>
    <w:p>
      <w:pPr>
        <w:shd w:fill="BF5700" w:val="clear"/>
        <w:spacing w:after="240"/>
      </w:pPr>
      <w:r>
        <w:rPr>
          <w:rFonts w:ascii="Arial" w:cs="Arial" w:eastAsia="Arial" w:hAnsi="Arial"/>
          <w:b/>
          <w:bCs/>
          <w:color w:val="FFFFFF"/>
          <w:sz w:val="22"/>
          <w:szCs w:val="22"/>
        </w:rPr>
        <w:t xml:space="preserve">  OPEN INVESTIGATION  </w:t>
      </w:r>
    </w:p>
    <w:p>
      <w:pPr>
        <w:spacing w:after="200"/>
      </w:pPr>
      <w:r>
        <w:rPr>
          <w:rFonts w:ascii="Arial" w:cs="Arial" w:eastAsia="Arial" w:hAnsi="Arial"/>
          <w:i/>
          <w:iCs/>
          <w:color w:val="595959"/>
          <w:sz w:val="22"/>
          <w:szCs w:val="22"/>
        </w:rPr>
        <w:t xml:space="preserve">Financial Irregularity  ·  Logistics Company  ·  Active</w:t>
      </w:r>
    </w:p>
    <w:p>
      <w:pPr>
        <w:pBdr>
          <w:bottom w:val="single" w:color="145A32"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A mid-size logistics company has flagged anomalies across financial reporting, procurement, and treasury over 14 months. Three separate internal reviews treated each area as an isolated compliance matter. The CFO has requested a cross-domain structural analysis because one name appears in the authorisation chain of all three areas: the Deputy Procurement Manager.</w:t>
      </w:r>
    </w:p>
    <w:p>
      <w:pPr>
        <w:spacing w:after="160" w:line="276"/>
      </w:pPr>
      <w:r>
        <w:rPr>
          <w:rFonts w:ascii="Arial" w:cs="Arial" w:eastAsia="Arial" w:hAnsi="Arial"/>
          <w:color w:val="000000"/>
          <w:sz w:val="22"/>
          <w:szCs w:val="22"/>
        </w:rPr>
        <w:t xml:space="preserve">He approved the vendor. He confirmed the deliveries. He authorised the payments. He used the emergency exemption three times for the same supplier. In each domain, the records show proper use of delegated authority. Across all three domains together, there is no segregation of duties at any point in the procurement-to-payment cycle.</w:t>
      </w:r>
    </w:p>
    <w:p>
      <w:pPr>
        <w:spacing w:after="160"/>
      </w:pPr>
      <w:r>
        <w:t xml:space="preserve"/>
      </w:r>
    </w:p>
    <w:p>
      <w:pPr>
        <w:pBdr>
          <w:left w:val="single" w:color="145A32" w:sz="14" w:space="8"/>
        </w:pBdr>
        <w:spacing w:after="160"/>
        <w:ind w:left="360"/>
      </w:pPr>
      <w:r>
        <w:rPr>
          <w:rFonts w:ascii="Arial" w:cs="Arial" w:eastAsia="Arial" w:hAnsi="Arial"/>
          <w:b/>
          <w:bCs/>
          <w:color w:val="145A32"/>
          <w:sz w:val="22"/>
          <w:szCs w:val="22"/>
        </w:rPr>
        <w:t xml:space="preserve">Why CIS:  </w:t>
      </w:r>
      <w:r>
        <w:rPr>
          <w:rFonts w:ascii="Arial" w:cs="Arial" w:eastAsia="Arial" w:hAnsi="Arial"/>
          <w:color w:val="000000"/>
          <w:sz w:val="22"/>
          <w:szCs w:val="22"/>
        </w:rPr>
        <w:t xml:space="preserve">Procurement fraud exploits domain boundaries. Each domain's records are internally consistent. Finance sees appropriate use of emergency authority. Procurement sees a vendor relationship. Treasury sees authorised wire transfers. Nobody has looked at all three at once. CIS's cross-domain analysis will connect them.</w:t>
      </w:r>
    </w:p>
    <w:p>
      <w:pPr>
        <w:pBdr>
          <w:left w:val="single" w:color="1F3864" w:sz="14" w:space="8"/>
        </w:pBdr>
        <w:spacing w:after="160"/>
        <w:ind w:left="360"/>
      </w:pPr>
      <w:r>
        <w:rPr>
          <w:rFonts w:ascii="Arial" w:cs="Arial" w:eastAsia="Arial" w:hAnsi="Arial"/>
          <w:b/>
          <w:bCs/>
          <w:color w:val="1F3864"/>
          <w:sz w:val="22"/>
          <w:szCs w:val="22"/>
        </w:rPr>
        <w:t xml:space="preserve">Features this case exercises:  </w:t>
      </w:r>
      <w:r>
        <w:rPr>
          <w:rFonts w:ascii="Arial" w:cs="Arial" w:eastAsia="Arial" w:hAnsi="Arial"/>
          <w:color w:val="000000"/>
          <w:sz w:val="22"/>
          <w:szCs w:val="22"/>
        </w:rPr>
        <w:t xml:space="preserve">LP-3 (same authoriser across domains — invisible without cross-domain view), LP-4 (emergency exemption explanation displacing investigation), WSP retention of the auditor signal, HCL hypothesis connecting three domains to a single authoriser, Cognitive Briefing cross-domain summary.</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Operation Nighthawk</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45A32" w:sz="14" w:space="8"/>
        </w:pBdr>
        <w:spacing w:after="240"/>
        <w:ind w:left="360"/>
      </w:pPr>
      <w:r>
        <w:rPr>
          <w:rFonts w:ascii="Arial" w:cs="Arial" w:eastAsia="Arial" w:hAnsi="Arial"/>
          <w:b/>
          <w:bCs/>
          <w:color w:val="145A32"/>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p>
      <w:pPr>
        <w:spacing w:after="160" w:line="276"/>
      </w:pPr>
      <w:r>
        <w:rPr>
          <w:rFonts w:ascii="Arial" w:cs="Arial" w:eastAsia="Arial" w:hAnsi="Arial"/>
          <w:color w:val="000000"/>
          <w:sz w:val="22"/>
          <w:szCs w:val="22"/>
        </w:rPr>
        <w:t xml:space="preserve">Four independent business functions each hold separate records. Go to Domain Manager and add all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Procurement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Purchase orders, vendor approvals, vendor master file entries, and goods receipt documentation. Managed by the Procurement team and its systems.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Treasury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Bank account records, wire transfer authorisations, payment instructions, and emergency payment override records. Managed by the Finance treasury function.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Financial Reporting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Management accounts presented to the board and CFO, budget variance analysis, cost category reporting. Managed by the Financial Reporting team.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HR and Payroll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Employee records, system access logs for who can modify the vendor master file, expense approvals, and payroll administration records.</w:t>
            </w:r>
          </w:p>
        </w:tc>
      </w:tr>
    </w:tbl>
    <w:p>
      <w:pPr>
        <w:spacing w:after="160" w:line="276"/>
      </w:pPr>
      <w:r>
        <w:rPr>
          <w:rFonts w:ascii="Arial" w:cs="Arial" w:eastAsia="Arial" w:hAnsi="Arial"/>
          <w:color w:val="000000"/>
          <w:sz w:val="22"/>
          <w:szCs w:val="22"/>
        </w:rPr>
        <w:t xml:space="preserve">Go to the Independence Matrix. 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These four systems do not share real-time data in most companies. The Procurement system does not show who authorised the wire transfer. The Treasury system does not show who added the vendor to the approved list. The HR system does not show the procurement cost trend. CIS is the first place where all four pictures are visible together.</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p>
      <w:pPr>
        <w:spacing w:after="160" w:line="276"/>
      </w:pPr>
      <w:r>
        <w:rPr>
          <w:rFonts w:ascii="Arial" w:cs="Arial" w:eastAsia="Arial" w:hAnsi="Arial"/>
          <w:color w:val="000000"/>
          <w:sz w:val="22"/>
          <w:szCs w:val="22"/>
        </w:rPr>
        <w:t xml:space="preserve">Observation periods: Period 1 = Months 1 to 6. Period 2 = Months 7 to 10. Period 3 = Months 11 to 14.</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Procurement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Vendor VN-4471 was added to the approved vendor list in Month 3. There is no competitive tender on file. The only approval signature is from the Deputy Procurement Manager. Three purchase orders have been raised to this vendor since then, totalling just under 300,000 dollars.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Procurement sees single-approver vendor — Treasury does not see this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Treasury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wire transfer of 94,000 dollars went to an account belonging to KESSLER SUPPLY PARTNERS in Month 4. The beneficiary was not in the vendor master file at the time of the transfer. The authorisation was from the Deputy Procurement Manager.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Treasury sees the transfer — Procurement does not see the recipient account</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Financial Reporting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Month 5 management accounts: procurement costs were 12 percent higher than the same period last year. The CFO asked for an explanation. The response was that raw material costs had risen with market rates. No market data was provided to support this.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cost increase attributed to market rates without verification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HR and Payroll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vendor master file audit in Month 8 found that vendor VN-4471 is registered at a residential address belonging to a close family member of the Deputy Procurement Manager.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HCL signal: the shared address links the vendor back to the authoriser across domains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Treasury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 Month 7 and Month 8, two additional wire transfers went to the KESSLER SUPPLY PARTNERS account: 67,000 and 41,000 dollars. Both were authorised by the Deputy Procurement Manager using the emergency payment override, which bypasses the requirement for a second treasury signatory.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emergency override explanation accepted without investigation of bypass pattern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Procurement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Vendor VN-4471 has no physical inspection record on file. No insurance certificate exists. For Purchase Order PO-006 there is no goods receipt note signed by anyone other than the Deputy Procurement Manager himself — the same person who raised the order and authorised the payment.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SI cluster: same person in all three control positions within one domain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Financial Reporting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external auditor management letter from Month 10 flagged a lack of segregation of duties in the procurement-to-payment cycle. Cases where one person approved the order, confirmed receipt, and authorised payment were specifically noted. The finding was classified as low priority.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LP-6: auditor finding classified as low priority — not connected to the ongoing pattern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Treasury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Month 11: another transfer of 112,000 dollars to the KESSLER SUPPLY PARTNERS account, authorised by the Deputy Procurement Manager while the Treasury Manager was on leave. The second signatory was waived under the leave coverage policy.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Pattern: fourth payment, each using a different exception mechanism to bypass controls</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3 records the 12 percent cost increase attributed to market rates. No market data supports this explanation. Enter a new signal to formalise the contradiction:</w:t>
      </w:r>
    </w:p>
    <w:p>
      <w:pPr>
        <w:pStyle w:val="ListParagraph"/>
        <w:numPr>
          <w:ilvl w:val="0"/>
          <w:numId w:val="2"/>
        </w:numPr>
        <w:spacing w:after="160"/>
      </w:pPr>
      <w:r>
        <w:rPr>
          <w:rFonts w:ascii="Arial" w:cs="Arial" w:eastAsia="Arial" w:hAnsi="Arial"/>
          <w:color w:val="000000"/>
          <w:sz w:val="22"/>
          <w:szCs w:val="22"/>
        </w:rPr>
        <w:t xml:space="preserve">Go to Signal Intake. Domain: Financial Reporting. Period 2.</w:t>
      </w:r>
    </w:p>
    <w:p>
      <w:pPr>
        <w:pStyle w:val="ListParagraph"/>
        <w:numPr>
          <w:ilvl w:val="0"/>
          <w:numId w:val="2"/>
        </w:numPr>
        <w:spacing w:after="160"/>
      </w:pPr>
      <w:r>
        <w:rPr>
          <w:rFonts w:ascii="Arial" w:cs="Arial" w:eastAsia="Arial" w:hAnsi="Arial"/>
          <w:color w:val="000000"/>
          <w:sz w:val="22"/>
          <w:szCs w:val="22"/>
        </w:rPr>
        <w:t xml:space="preserve">Enter: Market rate explanation for the procurement cost increase in Month 5: no supporting market data, benchmark, or third-party source was provided when the explanation was given to the CFO. The cost increase remains unexplained by verifiable evidence.</w:t>
      </w:r>
    </w:p>
    <w:p>
      <w:pPr>
        <w:pStyle w:val="ListParagraph"/>
        <w:numPr>
          <w:ilvl w:val="0"/>
          <w:numId w:val="2"/>
        </w:numPr>
        <w:spacing w:after="160"/>
      </w:pPr>
      <w:r>
        <w:rPr>
          <w:rFonts w:ascii="Arial" w:cs="Arial" w:eastAsia="Arial" w:hAnsi="Arial"/>
          <w:color w:val="000000"/>
          <w:sz w:val="22"/>
          <w:szCs w:val="22"/>
        </w:rPr>
        <w:t xml:space="preserve">Submit this signal. Then go to Contradictions.</w:t>
      </w:r>
    </w:p>
    <w:p>
      <w:pPr>
        <w:pStyle w:val="ListParagraph"/>
        <w:numPr>
          <w:ilvl w:val="0"/>
          <w:numId w:val="2"/>
        </w:numPr>
        <w:spacing w:after="160"/>
      </w:pPr>
      <w:r>
        <w:rPr>
          <w:rFonts w:ascii="Arial" w:cs="Arial" w:eastAsia="Arial" w:hAnsi="Arial"/>
          <w:color w:val="000000"/>
          <w:sz w:val="22"/>
          <w:szCs w:val="22"/>
        </w:rPr>
        <w:t xml:space="preserve">Register Signal 3 (cost increase attributed to market rates) against the new signal (no market data provided).</w:t>
      </w:r>
    </w:p>
    <w:p>
      <w:pPr>
        <w:pStyle w:val="ListParagraph"/>
        <w:numPr>
          <w:ilvl w:val="0"/>
          <w:numId w:val="2"/>
        </w:numPr>
        <w:spacing w:after="160"/>
      </w:pPr>
      <w:r>
        <w:rPr>
          <w:rFonts w:ascii="Arial" w:cs="Arial" w:eastAsia="Arial" w:hAnsi="Arial"/>
          <w:color w:val="000000"/>
          <w:sz w:val="22"/>
          <w:szCs w:val="22"/>
        </w:rPr>
        <w:t xml:space="preserve">Resolution type: RC-2. The market rate explanation predicts that comparable market data would be available to support it. The absence of any such data is a falsifying condition for the explanation. Signal 3 explanation is unverified.</w:t>
      </w:r>
    </w:p>
    <w:p>
      <w:pPr>
        <w:spacing w:after="160"/>
      </w:pPr>
      <w:r>
        <w:t xml:space="preserve"/>
      </w:r>
    </w:p>
    <w:p>
      <w:pPr>
        <w:pStyle w:val="Heading2"/>
        <w:spacing w:after="140" w:before="360"/>
      </w:pPr>
      <w:r>
        <w:rPr>
          <w:rFonts w:ascii="Arial" w:cs="Arial" w:eastAsia="Arial" w:hAnsi="Arial"/>
          <w:b/>
          <w:bCs/>
          <w:color w:val="1F3864"/>
          <w:sz w:val="26"/>
          <w:szCs w:val="26"/>
        </w:rPr>
        <w:t xml:space="preserve">Step 5 — What CIS Should Have Done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Procurement, Treasury, and HR around the Deputy Procurement Manager and VN-4471 or KESSLER SUPPLY PARTNERS.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SI_CLUSTER hypothesis within Procurement: Signals 1 and 6 both show the Deputy Procurement Manager in all three control positions with no segregation.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7 (auditor management letter) in RETAINED status under WSP — not expired despite low-priority classification.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connection between the vendor address (HR) and the payment recipient (Treasury) was not visible without cross-domain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market rate explanation accepted without verification. Emergency override accepted without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Dashboard Open Questions panel shows the KESSLER SUPPLY PARTNERS beneficial ownership as the key unresolved question.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6 — Generate a Briefing and Share</w:t>
      </w:r>
    </w:p>
    <w:p>
      <w:pPr>
        <w:pStyle w:val="ListParagraph"/>
        <w:numPr>
          <w:ilvl w:val="0"/>
          <w:numId w:val="2"/>
        </w:numPr>
        <w:spacing w:after="160"/>
      </w:pPr>
      <w:r>
        <w:rPr>
          <w:rFonts w:ascii="Arial" w:cs="Arial" w:eastAsia="Arial" w:hAnsi="Arial"/>
          <w:color w:val="000000"/>
          <w:sz w:val="22"/>
          <w:szCs w:val="22"/>
        </w:rPr>
        <w:t xml:space="preserve">Go to Briefing → Generate New.</w:t>
      </w:r>
    </w:p>
    <w:p>
      <w:pPr>
        <w:pStyle w:val="ListParagraph"/>
        <w:numPr>
          <w:ilvl w:val="0"/>
          <w:numId w:val="2"/>
        </w:numPr>
        <w:spacing w:after="160"/>
      </w:pPr>
      <w:r>
        <w:rPr>
          <w:rFonts w:ascii="Arial" w:cs="Arial" w:eastAsia="Arial" w:hAnsi="Arial"/>
          <w:color w:val="000000"/>
          <w:sz w:val="22"/>
          <w:szCs w:val="22"/>
        </w:rPr>
        <w:t xml:space="preserve">Verify the AI Summary mentions the Deputy Procurement Manager's presence across all four domains and the pattern of exception mechanism use.</w:t>
      </w:r>
    </w:p>
    <w:p>
      <w:pPr>
        <w:pStyle w:val="ListParagraph"/>
        <w:numPr>
          <w:ilvl w:val="0"/>
          <w:numId w:val="2"/>
        </w:numPr>
        <w:spacing w:after="160"/>
      </w:pPr>
      <w:r>
        <w:rPr>
          <w:rFonts w:ascii="Arial" w:cs="Arial" w:eastAsia="Arial" w:hAnsi="Arial"/>
          <w:color w:val="000000"/>
          <w:sz w:val="22"/>
          <w:szCs w:val="22"/>
        </w:rPr>
        <w:t xml:space="preserve">Share the case code with a forensic accountant or financial fraud specialist. Record the code clearly below.</w:t>
      </w:r>
    </w:p>
    <w:p>
      <w:pPr>
        <w:pBdr>
          <w:left w:val="single" w:color="145A32" w:sz="14" w:space="8"/>
        </w:pBdr>
        <w:spacing w:after="240"/>
        <w:ind w:left="360"/>
      </w:pPr>
      <w:r>
        <w:rPr>
          <w:rFonts w:ascii="Arial" w:cs="Arial" w:eastAsia="Arial" w:hAnsi="Arial"/>
          <w:b/>
          <w:bCs/>
          <w:color w:val="145A32"/>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Bdr>
          <w:left w:val="single" w:color="BF5700" w:sz="14" w:space="8"/>
        </w:pBdr>
        <w:shd w:fill="FFF3E0" w:val="clear"/>
        <w:spacing w:after="160"/>
        <w:ind w:left="360"/>
      </w:pPr>
      <w:r>
        <w:rPr>
          <w:rFonts w:ascii="Arial" w:cs="Arial" w:eastAsia="Arial" w:hAnsi="Arial"/>
          <w:b/>
          <w:bCs/>
          <w:color w:val="BF5700"/>
          <w:sz w:val="22"/>
          <w:szCs w:val="22"/>
        </w:rPr>
        <w:t xml:space="preserve">Collaboration Needed:  </w:t>
      </w:r>
      <w:r>
        <w:rPr>
          <w:rFonts w:ascii="Arial" w:cs="Arial" w:eastAsia="Arial" w:hAnsi="Arial"/>
          <w:color w:val="000000"/>
          <w:sz w:val="22"/>
          <w:szCs w:val="22"/>
        </w:rPr>
        <w:t xml:space="preserve">This case needs a forensic accountant who can: check the corporate registry for KESSLER SUPPLY PARTNERS to determine its incorporation date relative to the Deputy Procurement Manager's start date; confirm the beneficial owner of the receiving bank account; and verify whether vendor VN-4471 has delivered any physical goods that can be traced.</w:t>
      </w:r>
    </w:p>
    <w:p>
      <w:r>
        <w:br w:type="page"/>
      </w:r>
    </w:p>
    <w:p>
      <w:pPr>
        <w:pStyle w:val="Heading1"/>
        <w:spacing w:after="160" w:before="480"/>
      </w:pPr>
      <w:r>
        <w:rPr>
          <w:rFonts w:ascii="Arial" w:cs="Arial" w:eastAsia="Arial" w:hAnsi="Arial"/>
          <w:b/>
          <w:bCs/>
          <w:color w:val="145A32"/>
          <w:sz w:val="34"/>
          <w:szCs w:val="34"/>
        </w:rPr>
        <w:t xml:space="preserve">Case 2 — Valley Water Anomaly</w:t>
      </w:r>
    </w:p>
    <w:p>
      <w:pPr>
        <w:shd w:fill="BF5700" w:val="clear"/>
        <w:spacing w:after="240"/>
      </w:pPr>
      <w:r>
        <w:rPr>
          <w:rFonts w:ascii="Arial" w:cs="Arial" w:eastAsia="Arial" w:hAnsi="Arial"/>
          <w:b/>
          <w:bCs/>
          <w:color w:val="FFFFFF"/>
          <w:sz w:val="22"/>
          <w:szCs w:val="22"/>
        </w:rPr>
        <w:t xml:space="preserve">  OPEN INVESTIGATION  </w:t>
      </w:r>
    </w:p>
    <w:p>
      <w:pPr>
        <w:spacing w:after="200"/>
      </w:pPr>
      <w:r>
        <w:rPr>
          <w:rFonts w:ascii="Arial" w:cs="Arial" w:eastAsia="Arial" w:hAnsi="Arial"/>
          <w:i/>
          <w:iCs/>
          <w:color w:val="595959"/>
          <w:sz w:val="22"/>
          <w:szCs w:val="22"/>
        </w:rPr>
        <w:t xml:space="preserve">Infrastructure Contamination  ·  Municipal Water System  ·  Active</w:t>
      </w:r>
    </w:p>
    <w:p>
      <w:pPr>
        <w:pBdr>
          <w:bottom w:val="single" w:color="145A32"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A regional water authority has received complaints about taste, odour, and illness across three distribution zones over seven months. Zone A blamed seasonal algae. Zone B blamed old pipes. Zone C blamed consumer water storage. Three zones, three different explanations.</w:t>
      </w:r>
    </w:p>
    <w:p>
      <w:pPr>
        <w:spacing w:after="160" w:line="276"/>
      </w:pPr>
      <w:r>
        <w:rPr>
          <w:rFonts w:ascii="Arial" w:cs="Arial" w:eastAsia="Arial" w:hAnsi="Arial"/>
          <w:color w:val="000000"/>
          <w:sz w:val="22"/>
          <w:szCs w:val="22"/>
        </w:rPr>
        <w:t xml:space="preserve">A public health officer reviewing illness data across all three zones noticed that gastrointestinal illness rates are elevated simultaneously across all three, beginning at the same time. A treatment plant review identified a turbidity event six weeks ago where the chlorine contact time fell below the pathogen inactivation standard for a six-day window. Nobody has connected the treatment plant data to the zone illness data.</w:t>
      </w:r>
    </w:p>
    <w:p>
      <w:pPr>
        <w:spacing w:after="160"/>
      </w:pPr>
      <w:r>
        <w:t xml:space="preserve"/>
      </w:r>
    </w:p>
    <w:p>
      <w:pPr>
        <w:pBdr>
          <w:left w:val="single" w:color="145A32" w:sz="14" w:space="8"/>
        </w:pBdr>
        <w:spacing w:after="160"/>
        <w:ind w:left="360"/>
      </w:pPr>
      <w:r>
        <w:rPr>
          <w:rFonts w:ascii="Arial" w:cs="Arial" w:eastAsia="Arial" w:hAnsi="Arial"/>
          <w:b/>
          <w:bCs/>
          <w:color w:val="145A32"/>
          <w:sz w:val="22"/>
          <w:szCs w:val="22"/>
        </w:rPr>
        <w:t xml:space="preserve">Why CIS:  </w:t>
      </w:r>
      <w:r>
        <w:rPr>
          <w:rFonts w:ascii="Arial" w:cs="Arial" w:eastAsia="Arial" w:hAnsi="Arial"/>
          <w:color w:val="000000"/>
          <w:sz w:val="22"/>
          <w:szCs w:val="22"/>
        </w:rPr>
        <w:t xml:space="preserve">Three zone teams each have a locally plausible explanation for their own zone. Each explanation makes sense within its domain. With a cross-domain view connecting the treatment plant event to all three zone illness patterns simultaneously, the common upstream cause becomes the only coherent explanation.</w:t>
      </w:r>
    </w:p>
    <w:p>
      <w:pPr>
        <w:pBdr>
          <w:left w:val="single" w:color="1F3864" w:sz="14" w:space="8"/>
        </w:pBdr>
        <w:spacing w:after="160"/>
        <w:ind w:left="360"/>
      </w:pPr>
      <w:r>
        <w:rPr>
          <w:rFonts w:ascii="Arial" w:cs="Arial" w:eastAsia="Arial" w:hAnsi="Arial"/>
          <w:b/>
          <w:bCs/>
          <w:color w:val="1F3864"/>
          <w:sz w:val="22"/>
          <w:szCs w:val="22"/>
        </w:rPr>
        <w:t xml:space="preserve">Features this case exercises:  </w:t>
      </w:r>
      <w:r>
        <w:rPr>
          <w:rFonts w:ascii="Arial" w:cs="Arial" w:eastAsia="Arial" w:hAnsi="Arial"/>
          <w:color w:val="000000"/>
          <w:sz w:val="22"/>
          <w:szCs w:val="22"/>
        </w:rPr>
        <w:t xml:space="preserve">LP-3 (Treatment Plant domain not connected to Zone Operations and Public Health), LP-4 (zone-level explanations each displacing investigation of upstream cause), LP-6 (second Zone A cluster treated as a new independent event), WSP retention of the school absence data.</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Valley Water Anomaly</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45A32" w:sz="14" w:space="8"/>
        </w:pBdr>
        <w:spacing w:after="240"/>
        <w:ind w:left="360"/>
      </w:pPr>
      <w:r>
        <w:rPr>
          <w:rFonts w:ascii="Arial" w:cs="Arial" w:eastAsia="Arial" w:hAnsi="Arial"/>
          <w:b/>
          <w:bCs/>
          <w:color w:val="145A32"/>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Zone A Operations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Water quality readings, complaint logs, and operational records for Zone A. Northern residential area.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Zone B Operations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Water quality readings, complaint logs, and operational records for Zone B. Central mixed-use area.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Zone C Operations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Water quality readings, complaint logs, and operational records for Zone C. Southern residential area.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Treatment Plant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Source water intake readings, treatment process logs, chemical dosing records, effluent quality data, and any treatment anomalies or deviations from specification.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Public Health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GP-reported gastrointestinal illness rates by postcode, emergency department data, and school absence records across all three zone areas.</w:t>
            </w:r>
          </w:p>
        </w:tc>
      </w:tr>
    </w:tbl>
    <w:p>
      <w:pPr>
        <w:spacing w:after="160" w:line="276"/>
      </w:pPr>
      <w:r>
        <w:rPr>
          <w:rFonts w:ascii="Arial" w:cs="Arial" w:eastAsia="Arial" w:hAnsi="Arial"/>
          <w:color w:val="000000"/>
          <w:sz w:val="22"/>
          <w:szCs w:val="22"/>
        </w:rPr>
        <w:t xml:space="preserve">Go to the Independence Matrix. 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 three zones are managed by separate operational teams with separate reporting systems. The treatment plant is operated by a different group entirely. Public health data comes from the regional health authority — a completely separate organisation. None of these five teams routinely shares data with the others. The connection between the treatment plant event and the illness pattern can only be seen by someone looking at all five domains at once.</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p>
      <w:pPr>
        <w:spacing w:after="160" w:line="276"/>
      </w:pPr>
      <w:r>
        <w:rPr>
          <w:rFonts w:ascii="Arial" w:cs="Arial" w:eastAsia="Arial" w:hAnsi="Arial"/>
          <w:color w:val="000000"/>
          <w:sz w:val="22"/>
          <w:szCs w:val="22"/>
        </w:rPr>
        <w:t xml:space="preserve">Periods: Period 1 = eight to six weeks ago. Period 2 = five to three weeks ago. Period 3 = last two weeks.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Zone A Operations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Month 2: fourteen consumer complaints about earthy taste and faint odour in Zone A. Zone manager attributed this to a seasonal algae bloom in the source reservoir. Chlorine dosing was increased. Complaints subsided by the end of the month.</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complaint signal displaced by seasonal algae explanation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Zone B Operations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Month 3: nine complaints about water discolouration and taste in Zone B. The zone manager attributed this to pipe flushing in an older infrastructure section. Standard response protocol was followed.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complaint signal displaced by infrastructure explanation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Public Health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Month 3: gastrointestinal illness rates in the Zone A postcode area were 23 percent above the five-year average for that period. This data was not connected to the water complaint data from Zone A Operations.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public health domain not connected to zone operations without cross-domain view</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Treatment Plant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Month 3: source water turbidity spiked to 4.2 NTU. This is within the regulatory limit of 5.0 NTU but chlorine contact time was reduced by 8 percent due to an increased flow rate. The treatment log entry was reviewed and signed off. No external report was filed.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Key upstream signal — within regulatory limits but below pathogen inactivation standard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Zone C Operations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Month 4: eleven complaints in Zone C about taste and odour. The zone manager attributed this to consumer water storage practice. The local council had recently issued guidance on tank maintenance. No escalation.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third zone with same complaint pattern — not connected to Zones A and B</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Public Health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Month 4: gastrointestinal illness elevated in Zone B and Zone C as well. Zone B is 18 percent above average. Zone C is 31 percent above average. Emergency department presentations for gastrointestinal illness are up across all three zone areas simultaneously.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HCL signal: simultaneous cross-zone public health elevation pointing to shared upstream cause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Treatment Plant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Month 4: review of chlorination logs from Month 3 identifies a six-day window where contact time was below the 99.9 percent pathogen inactivation standard — the result of the turbidity spike and increased flow rate combining. The log entry was reviewed and initialled at the time. No external report was filed.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Root cause candidate: treatment gap upstream of all three zones during Month 3</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Zone A Operations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Month 5: a second cluster of nineteen taste and odour complaints in Zone A. The zone manager again attributed it to algae and requested higher chlorine dosing. No connection was made to the Month 3 cluster.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LP-6: second cluster treated as a new independent event — not connected to Signal 1</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Public Health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Month 5: school absence data shows a spike in gastrointestinal illness across all three zone areas in Months 3 and 4. School nurse records document gastroenteritis clusters. This data source was not previously included in any water quality review.</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LP-5: sub-threshold alone — meaningful when added to other public health signals</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4 records the treatment log as reviewed and within regulatory limits. Signal 7 shows that during the same period the contact time fell below the pathogen inactivation standard — a different threshold from the regulatory reporting threshold. These two signals about the same event describe it in incompatible terms.</w:t>
      </w:r>
    </w:p>
    <w:p>
      <w:pPr>
        <w:pStyle w:val="ListParagraph"/>
        <w:numPr>
          <w:ilvl w:val="0"/>
          <w:numId w:val="2"/>
        </w:numPr>
        <w:spacing w:after="160"/>
      </w:pPr>
      <w:r>
        <w:rPr>
          <w:rFonts w:ascii="Arial" w:cs="Arial" w:eastAsia="Arial" w:hAnsi="Arial"/>
          <w:color w:val="000000"/>
          <w:sz w:val="22"/>
          <w:szCs w:val="22"/>
        </w:rPr>
        <w:t xml:space="preserve">Go to Contradictions.</w:t>
      </w:r>
    </w:p>
    <w:p>
      <w:pPr>
        <w:pStyle w:val="ListParagraph"/>
        <w:numPr>
          <w:ilvl w:val="0"/>
          <w:numId w:val="2"/>
        </w:numPr>
        <w:spacing w:after="160"/>
      </w:pPr>
      <w:r>
        <w:rPr>
          <w:rFonts w:ascii="Arial" w:cs="Arial" w:eastAsia="Arial" w:hAnsi="Arial"/>
          <w:color w:val="000000"/>
          <w:sz w:val="22"/>
          <w:szCs w:val="22"/>
        </w:rPr>
        <w:t xml:space="preserve">Register Signal 4 (within regulatory limits, signed off) against Signal 7 (contact time below inactivation standard for six days).</w:t>
      </w:r>
    </w:p>
    <w:p>
      <w:pPr>
        <w:pStyle w:val="ListParagraph"/>
        <w:numPr>
          <w:ilvl w:val="0"/>
          <w:numId w:val="2"/>
        </w:numPr>
        <w:spacing w:after="160"/>
      </w:pPr>
      <w:r>
        <w:rPr>
          <w:rFonts w:ascii="Arial" w:cs="Arial" w:eastAsia="Arial" w:hAnsi="Arial"/>
          <w:color w:val="000000"/>
          <w:sz w:val="22"/>
          <w:szCs w:val="22"/>
        </w:rPr>
        <w:t xml:space="preserve">Description: Signal 4 records the treatment log as adequate — reviewed and within the regulatory limit. Signal 7 identifies that for six days the contact time was below the pathogen inactivation standard. Being within the regulatory reporting limit and being adequate for pathogen control are not the same standard. These two descriptions of the same six-day period are incompatible.</w:t>
      </w:r>
    </w:p>
    <w:p>
      <w:pPr>
        <w:pStyle w:val="ListParagraph"/>
        <w:numPr>
          <w:ilvl w:val="0"/>
          <w:numId w:val="2"/>
        </w:numPr>
        <w:spacing w:after="160"/>
      </w:pPr>
      <w:r>
        <w:rPr>
          <w:rFonts w:ascii="Arial" w:cs="Arial" w:eastAsia="Arial" w:hAnsi="Arial"/>
          <w:color w:val="000000"/>
          <w:sz w:val="22"/>
          <w:szCs w:val="22"/>
        </w:rPr>
        <w:t xml:space="preserve">Resolution type: RC-3. A water treatment specialist with direct knowledge of the relevant inactivation standards needs to confirm which interpretation of the log is correct.</w:t>
      </w:r>
    </w:p>
    <w:p>
      <w:pPr>
        <w:spacing w:after="160"/>
      </w:pPr>
      <w:r>
        <w:t xml:space="preserve"/>
      </w:r>
    </w:p>
    <w:p>
      <w:pPr>
        <w:pStyle w:val="Heading2"/>
        <w:spacing w:after="140" w:before="360"/>
      </w:pPr>
      <w:r>
        <w:rPr>
          <w:rFonts w:ascii="Arial" w:cs="Arial" w:eastAsia="Arial" w:hAnsi="Arial"/>
          <w:b/>
          <w:bCs/>
          <w:color w:val="1F3864"/>
          <w:sz w:val="26"/>
          <w:szCs w:val="26"/>
        </w:rPr>
        <w:t xml:space="preserve">Step 5 — What CIS Should Have Done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Treatment Plant, Zone A, Zone B, Zone C, and Public Health around the Month 3 treatment gap.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PATTERN hypothesis from Signals 3, 6, and 9 — public health elevation data across three sequential months across all three zones.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9 (school absence data) in RETAINED status under WSP.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public health data not connected to treatment plant data without cross-domain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flags: three separate zone-level explanations each displaced investigation of the upstream treatment plant.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LP-6 flag: Signal 8 (second Zone A cluster, Month 5) treated as a new independent 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7 shows QUARANTINED status after the contradiction with Signal 4 is registered.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6 — Generate a Briefing and Share</w:t>
      </w:r>
    </w:p>
    <w:p>
      <w:pPr>
        <w:pStyle w:val="ListParagraph"/>
        <w:numPr>
          <w:ilvl w:val="0"/>
          <w:numId w:val="2"/>
        </w:numPr>
        <w:spacing w:after="160"/>
      </w:pPr>
      <w:r>
        <w:rPr>
          <w:rFonts w:ascii="Arial" w:cs="Arial" w:eastAsia="Arial" w:hAnsi="Arial"/>
          <w:color w:val="000000"/>
          <w:sz w:val="22"/>
          <w:szCs w:val="22"/>
        </w:rPr>
        <w:t xml:space="preserve">Go to Briefing → Generate New.</w:t>
      </w:r>
    </w:p>
    <w:p>
      <w:pPr>
        <w:pStyle w:val="ListParagraph"/>
        <w:numPr>
          <w:ilvl w:val="0"/>
          <w:numId w:val="2"/>
        </w:numPr>
        <w:spacing w:after="160"/>
      </w:pPr>
      <w:r>
        <w:rPr>
          <w:rFonts w:ascii="Arial" w:cs="Arial" w:eastAsia="Arial" w:hAnsi="Arial"/>
          <w:color w:val="000000"/>
          <w:sz w:val="22"/>
          <w:szCs w:val="22"/>
        </w:rPr>
        <w:t xml:space="preserve">Verify the AI Summary identifies the Month 3 treatment plant contact time gap as the candidate upstream cause.</w:t>
      </w:r>
    </w:p>
    <w:p>
      <w:pPr>
        <w:pStyle w:val="ListParagraph"/>
        <w:numPr>
          <w:ilvl w:val="0"/>
          <w:numId w:val="2"/>
        </w:numPr>
        <w:spacing w:after="160"/>
      </w:pPr>
      <w:r>
        <w:rPr>
          <w:rFonts w:ascii="Arial" w:cs="Arial" w:eastAsia="Arial" w:hAnsi="Arial"/>
          <w:color w:val="000000"/>
          <w:sz w:val="22"/>
          <w:szCs w:val="22"/>
        </w:rPr>
        <w:t xml:space="preserve">Share the case code:</w:t>
      </w:r>
    </w:p>
    <w:p>
      <w:pPr>
        <w:pBdr>
          <w:left w:val="single" w:color="145A32" w:sz="14" w:space="8"/>
        </w:pBdr>
        <w:spacing w:after="240"/>
        <w:ind w:left="360"/>
      </w:pPr>
      <w:r>
        <w:rPr>
          <w:rFonts w:ascii="Arial" w:cs="Arial" w:eastAsia="Arial" w:hAnsi="Arial"/>
          <w:b/>
          <w:bCs/>
          <w:color w:val="145A32"/>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Bdr>
          <w:left w:val="single" w:color="BF5700" w:sz="14" w:space="8"/>
        </w:pBdr>
        <w:shd w:fill="FFF3E0" w:val="clear"/>
        <w:spacing w:after="160"/>
        <w:ind w:left="360"/>
      </w:pPr>
      <w:r>
        <w:rPr>
          <w:rFonts w:ascii="Arial" w:cs="Arial" w:eastAsia="Arial" w:hAnsi="Arial"/>
          <w:b/>
          <w:bCs/>
          <w:color w:val="BF5700"/>
          <w:sz w:val="22"/>
          <w:szCs w:val="22"/>
        </w:rPr>
        <w:t xml:space="preserve">Collaboration Needed:  </w:t>
      </w:r>
      <w:r>
        <w:rPr>
          <w:rFonts w:ascii="Arial" w:cs="Arial" w:eastAsia="Arial" w:hAnsi="Arial"/>
          <w:color w:val="000000"/>
          <w:sz w:val="22"/>
          <w:szCs w:val="22"/>
        </w:rPr>
        <w:t xml:space="preserve">This case needs a water treatment engineer who can calculate whether the six-day contact time shortfall (Signal 7) is consistent with pathogen breakthrough at the illness rates in Signals 3, 6, and 9. Also needed: any Cryptosporidium or coliform test results from the treatment plant during the Month 3 window.</w:t>
      </w:r>
    </w:p>
    <w:p>
      <w:r>
        <w:br w:type="page"/>
      </w:r>
    </w:p>
    <w:p>
      <w:pPr>
        <w:pStyle w:val="Heading1"/>
        <w:spacing w:after="160" w:before="480"/>
      </w:pPr>
      <w:r>
        <w:rPr>
          <w:rFonts w:ascii="Arial" w:cs="Arial" w:eastAsia="Arial" w:hAnsi="Arial"/>
          <w:b/>
          <w:bCs/>
          <w:color w:val="145A32"/>
          <w:sz w:val="34"/>
          <w:szCs w:val="34"/>
        </w:rPr>
        <w:t xml:space="preserve">Case 3 — Project Lakeview</w:t>
      </w:r>
    </w:p>
    <w:p>
      <w:pPr>
        <w:shd w:fill="BF5700" w:val="clear"/>
        <w:spacing w:after="240"/>
      </w:pPr>
      <w:r>
        <w:rPr>
          <w:rFonts w:ascii="Arial" w:cs="Arial" w:eastAsia="Arial" w:hAnsi="Arial"/>
          <w:b/>
          <w:bCs/>
          <w:color w:val="FFFFFF"/>
          <w:sz w:val="22"/>
          <w:szCs w:val="22"/>
        </w:rPr>
        <w:t xml:space="preserve">  OPEN INVESTIGATION  </w:t>
      </w:r>
    </w:p>
    <w:p>
      <w:pPr>
        <w:spacing w:after="200"/>
      </w:pPr>
      <w:r>
        <w:rPr>
          <w:rFonts w:ascii="Arial" w:cs="Arial" w:eastAsia="Arial" w:hAnsi="Arial"/>
          <w:i/>
          <w:iCs/>
          <w:color w:val="595959"/>
          <w:sz w:val="22"/>
          <w:szCs w:val="22"/>
        </w:rPr>
        <w:t xml:space="preserve">Clinical Pattern Detection  ·  Multi-Site Medical  ·  Active</w:t>
      </w:r>
    </w:p>
    <w:p>
      <w:pPr>
        <w:pBdr>
          <w:bottom w:val="single" w:color="145A32"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A regional hospital group with three sites introduced a new post-surgical pain management protocol eleven months ago. The protocol combines a standard opioid with an adjunct medication at a dose of 0.4 mg per kilogram. Since then, each site has documented adverse respiratory events in protocol patients and each site has attributed those events to individual patient factors — renal impairment, advanced age, higher ASA score.</w:t>
      </w:r>
    </w:p>
    <w:p>
      <w:pPr>
        <w:spacing w:after="160" w:line="276"/>
      </w:pPr>
      <w:r>
        <w:rPr>
          <w:rFonts w:ascii="Arial" w:cs="Arial" w:eastAsia="Arial" w:hAnsi="Arial"/>
          <w:color w:val="000000"/>
          <w:sz w:val="22"/>
          <w:szCs w:val="22"/>
        </w:rPr>
        <w:t xml:space="preserve">A pharmacist conducting cross-site medication reconciliation noticed a pattern: all adverse events occurred within 72 hours of protocol initiation, all at the same dose, at all three sites. She also found that the protocol dose of 0.4 mg per kilogram is twice the manufacturer's recommended maximum for patients who have not had a formal renal assessment. The three independent attributions may all be wrong. The dose itself may be the cause.</w:t>
      </w:r>
    </w:p>
    <w:p>
      <w:pPr>
        <w:spacing w:after="160"/>
      </w:pPr>
      <w:r>
        <w:t xml:space="preserve"/>
      </w:r>
    </w:p>
    <w:p>
      <w:pPr>
        <w:pBdr>
          <w:left w:val="single" w:color="145A32" w:sz="14" w:space="8"/>
        </w:pBdr>
        <w:spacing w:after="160"/>
        <w:ind w:left="360"/>
      </w:pPr>
      <w:r>
        <w:rPr>
          <w:rFonts w:ascii="Arial" w:cs="Arial" w:eastAsia="Arial" w:hAnsi="Arial"/>
          <w:b/>
          <w:bCs/>
          <w:color w:val="145A32"/>
          <w:sz w:val="22"/>
          <w:szCs w:val="22"/>
        </w:rPr>
        <w:t xml:space="preserve">Why CIS:  </w:t>
      </w:r>
      <w:r>
        <w:rPr>
          <w:rFonts w:ascii="Arial" w:cs="Arial" w:eastAsia="Arial" w:hAnsi="Arial"/>
          <w:color w:val="000000"/>
          <w:sz w:val="22"/>
          <w:szCs w:val="22"/>
        </w:rPr>
        <w:t xml:space="preserve">Three independent hospital sites each saw adverse events and explained them individually. The aggregate is visible only when all three sites' data is looked at together alongside the pharmacy specification. LP-3 connects the clinical sites to the pharmacy records. LP-4 captures each individual patient attribution. LP-5 captures the three events being individually below the mandatory reporting threshold.</w:t>
      </w:r>
    </w:p>
    <w:p>
      <w:pPr>
        <w:pBdr>
          <w:left w:val="single" w:color="1F3864" w:sz="14" w:space="8"/>
        </w:pBdr>
        <w:spacing w:after="160"/>
        <w:ind w:left="360"/>
      </w:pPr>
      <w:r>
        <w:rPr>
          <w:rFonts w:ascii="Arial" w:cs="Arial" w:eastAsia="Arial" w:hAnsi="Arial"/>
          <w:b/>
          <w:bCs/>
          <w:color w:val="1F3864"/>
          <w:sz w:val="22"/>
          <w:szCs w:val="22"/>
        </w:rPr>
        <w:t xml:space="preserve">Note:  </w:t>
      </w:r>
      <w:r>
        <w:rPr>
          <w:rFonts w:ascii="Arial" w:cs="Arial" w:eastAsia="Arial" w:hAnsi="Arial"/>
          <w:color w:val="000000"/>
          <w:sz w:val="22"/>
          <w:szCs w:val="22"/>
        </w:rPr>
        <w:t xml:space="preserve">If the cross-site adverse event aggregate crosses the mandatory reporting threshold during this investigation, share the case code immediately with the clinical governance lead across all three sites.</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Project Lakeview</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45A32" w:sz="14" w:space="8"/>
        </w:pBdr>
        <w:spacing w:after="240"/>
        <w:ind w:left="360"/>
      </w:pPr>
      <w:r>
        <w:rPr>
          <w:rFonts w:ascii="Arial" w:cs="Arial" w:eastAsia="Arial" w:hAnsi="Arial"/>
          <w:b/>
          <w:bCs/>
          <w:color w:val="145A32"/>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Site A Clinical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Patient records, adverse event reports, and medication administration records from Site 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Site B Clinical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Patient records, adverse event reports, and medication administration records from Site 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Site C Clinical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Patient records, adverse event reports, and medication administration records from Site 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Pharmacy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Cross-site medication reconciliation records, dispensing logs, dose calculation audit, and manufacturer specification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Clinical Governance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Near-miss reports, adverse event notifications, protocol review records, and prescribing audit records from all three sites.</w:t>
            </w:r>
          </w:p>
        </w:tc>
      </w:tr>
    </w:tbl>
    <w:p>
      <w:pPr>
        <w:spacing w:after="160" w:line="276"/>
      </w:pPr>
      <w:r>
        <w:rPr>
          <w:rFonts w:ascii="Arial" w:cs="Arial" w:eastAsia="Arial" w:hAnsi="Arial"/>
          <w:color w:val="000000"/>
          <w:sz w:val="22"/>
          <w:szCs w:val="22"/>
        </w:rPr>
        <w:t xml:space="preserve">Declare every domain pair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p>
      <w:pPr>
        <w:spacing w:after="160" w:line="276"/>
      </w:pPr>
      <w:r>
        <w:rPr>
          <w:rFonts w:ascii="Arial" w:cs="Arial" w:eastAsia="Arial" w:hAnsi="Arial"/>
          <w:color w:val="000000"/>
          <w:sz w:val="22"/>
          <w:szCs w:val="22"/>
        </w:rPr>
        <w:t xml:space="preserve">Periods: Period 0 = before protocol adoption. Period 1 = Months 1-6. Period 2 = Months 7-9. Period 3 = recent two months.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 A Clinical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Patient A-7, post-surgical day 2, adjunct medication at 0.4 mg per kilogram as per protocol. Respiratory depression requiring naloxone. Prior history of mild renal impairment. The attending physician attributed the event to renal impairment reducing opioid clearance.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adverse event attributed to individual patient factor — dose not examined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 B Clinical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Patient B-3, post-surgical day 1, adjunct medication at 0.4 mg per kilogram. Excessive sedation and reduced respiratory rate requiring oxygen supplementation. No significant comorbidities. Attributed to individual opioid sensitivity.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second adverse event, different site, different attribution, same dose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Pharmacy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Cross-site dispensing audit: the adjunct medication is dispensed at 0.4 mg per kilogram across all three sites per the protocol specification. The manufacturer recommends a maximum of 0.2 mg per kilogram for patients without a formal renal function assessment. The protocol document does not reference this maximum.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Root cause candidate: protocol dose is twice manufacturer maximum for patients without renal assessment</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 C Clinical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Patient C-11, post-surgical day 1, adjunct medication at 0.4 mg per kilogram. Confusion and declining respiratory rate. ICU transfer required. Patient was 68 years old with an ASA score of 2. Attributed to age-related sensitivity.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third site, same dose, same adverse event type — not connected to Sites A and B</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Clinical Governance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 A near-miss report, Month 7: a nurse noted that the adjunct medication dose seemed high compared to what she had seen in prior roles. The site clinical lead reviewed and confirmed the dose was per protocol. No escalation.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clinical concern raised and closed without investigation. Must not expire.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 B Clinical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Patient B-9, post-surgical day 2, adjunct medication at 0.4 mg per kilogram. Patient was 82 years old, ASA score 3. Respiratory arrest requiring resuscitation. Survived. Attributed to ASA 3 risk. The individual site mandatory reporting threshold was not triggered.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LP-5: each site individually below threshold — aggregate across three sites may be above threshold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Pharmacy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Pharmacokinetic note from the manufacturer data sheet, on file in the pharmacy reference system: renal clearance is the primary elimination pathway for this molecule. Half-life increases significantly in elderly patients and those with any degree of renal impairment. This note was not included in the protocol document when it was adopted.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pharmacokinetic data existed at protocol adoption — not carried forward to clinical teams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45A32"/>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Clinical Governance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Cross-site adverse event comparison initiated by the pharmacist, Month 10: five adverse respiratory events across three sites, all within 72 hours of protocol initiation, all at 0.4 mg per kilogram, none in patients who received lower doses for other clinical reasons.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HCL signal: the dose-response pattern across all three sites</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1 attributed the adverse event to the patient's renal impairment. Signal 8 shows adverse events across patients with and without renal impairment, across three age groups, at all three sites — all at the same dose. If individual patient factors were the cause, the pattern would not be uniform across such different patient profiles.</w:t>
      </w:r>
    </w:p>
    <w:p>
      <w:pPr>
        <w:pStyle w:val="ListParagraph"/>
        <w:numPr>
          <w:ilvl w:val="0"/>
          <w:numId w:val="2"/>
        </w:numPr>
        <w:spacing w:after="160"/>
      </w:pPr>
      <w:r>
        <w:rPr>
          <w:rFonts w:ascii="Arial" w:cs="Arial" w:eastAsia="Arial" w:hAnsi="Arial"/>
          <w:color w:val="000000"/>
          <w:sz w:val="22"/>
          <w:szCs w:val="22"/>
        </w:rPr>
        <w:t xml:space="preserve">Go to Contradictions.</w:t>
      </w:r>
    </w:p>
    <w:p>
      <w:pPr>
        <w:pStyle w:val="ListParagraph"/>
        <w:numPr>
          <w:ilvl w:val="0"/>
          <w:numId w:val="2"/>
        </w:numPr>
        <w:spacing w:after="160"/>
      </w:pPr>
      <w:r>
        <w:rPr>
          <w:rFonts w:ascii="Arial" w:cs="Arial" w:eastAsia="Arial" w:hAnsi="Arial"/>
          <w:color w:val="000000"/>
          <w:sz w:val="22"/>
          <w:szCs w:val="22"/>
        </w:rPr>
        <w:t xml:space="preserve">Register Signal 1 (renal impairment as cause) against Signal 8 (uniform dose-response pattern across diverse patient profiles).</w:t>
      </w:r>
    </w:p>
    <w:p>
      <w:pPr>
        <w:pStyle w:val="ListParagraph"/>
        <w:numPr>
          <w:ilvl w:val="0"/>
          <w:numId w:val="2"/>
        </w:numPr>
        <w:spacing w:after="160"/>
      </w:pPr>
      <w:r>
        <w:rPr>
          <w:rFonts w:ascii="Arial" w:cs="Arial" w:eastAsia="Arial" w:hAnsi="Arial"/>
          <w:color w:val="000000"/>
          <w:sz w:val="22"/>
          <w:szCs w:val="22"/>
        </w:rPr>
        <w:t xml:space="preserve">Description: Signal 1 attributes the adverse event to the patient's renal impairment reducing opioid clearance. Signal 8 documents the same adverse event type across patients with renal impairment, without renal impairment, aged 68, aged 82, ASA score 2, and ASA score 3 — all at the same dose and the same time window. If individual patient factors explain each event, this uniform pattern across diverse patients at a consistent dose would not be expected.</w:t>
      </w:r>
    </w:p>
    <w:p>
      <w:pPr>
        <w:pStyle w:val="ListParagraph"/>
        <w:numPr>
          <w:ilvl w:val="0"/>
          <w:numId w:val="2"/>
        </w:numPr>
        <w:spacing w:after="160"/>
      </w:pPr>
      <w:r>
        <w:rPr>
          <w:rFonts w:ascii="Arial" w:cs="Arial" w:eastAsia="Arial" w:hAnsi="Arial"/>
          <w:color w:val="000000"/>
          <w:sz w:val="22"/>
          <w:szCs w:val="22"/>
        </w:rPr>
        <w:t xml:space="preserve">Resolution type: leave as unresolved pending clinical specialist review. This is the central question of the investigation.</w:t>
      </w:r>
    </w:p>
    <w:p>
      <w:pPr>
        <w:spacing w:after="160"/>
      </w:pPr>
      <w:r>
        <w:t xml:space="preserve"/>
      </w:r>
    </w:p>
    <w:p>
      <w:pPr>
        <w:pStyle w:val="Heading2"/>
        <w:spacing w:after="140" w:before="360"/>
      </w:pPr>
      <w:r>
        <w:rPr>
          <w:rFonts w:ascii="Arial" w:cs="Arial" w:eastAsia="Arial" w:hAnsi="Arial"/>
          <w:b/>
          <w:bCs/>
          <w:color w:val="1F3864"/>
          <w:sz w:val="26"/>
          <w:szCs w:val="26"/>
        </w:rPr>
        <w:t xml:space="preserve">Step 5 — What CIS Should Have Done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45A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all three clinical sites and Pharmacy around the 0.4 mg per kilogram adjunct medication dose.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5 (near-miss nursing report) in RETAINED status under WSP — not expired despite being classified as low priority.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three clinical sites not connected to each other or to pharmacy records without cross-domain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flags: three separate patient-level attributions displaced investigation of the dose as a common cause.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flags: near-miss report closed without investigation. Pharmacokinetic note not carried forward at protocol adoption.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LP-5 flag: three individual site adverse events below mandatory reporting threshold — aggregate likely above 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SI_CLUSTER within Pharmacy: Signals 3 and 7 both point to a protocol dose specification problem.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6 — Generate a Briefing and Share</w:t>
      </w:r>
    </w:p>
    <w:p>
      <w:pPr>
        <w:pStyle w:val="ListParagraph"/>
        <w:numPr>
          <w:ilvl w:val="0"/>
          <w:numId w:val="2"/>
        </w:numPr>
        <w:spacing w:after="160"/>
      </w:pPr>
      <w:r>
        <w:rPr>
          <w:rFonts w:ascii="Arial" w:cs="Arial" w:eastAsia="Arial" w:hAnsi="Arial"/>
          <w:color w:val="000000"/>
          <w:sz w:val="22"/>
          <w:szCs w:val="22"/>
        </w:rPr>
        <w:t xml:space="preserve">Go to Briefing → Generate New.</w:t>
      </w:r>
    </w:p>
    <w:p>
      <w:pPr>
        <w:pStyle w:val="ListParagraph"/>
        <w:numPr>
          <w:ilvl w:val="0"/>
          <w:numId w:val="2"/>
        </w:numPr>
        <w:spacing w:after="160"/>
      </w:pPr>
      <w:r>
        <w:rPr>
          <w:rFonts w:ascii="Arial" w:cs="Arial" w:eastAsia="Arial" w:hAnsi="Arial"/>
          <w:color w:val="000000"/>
          <w:sz w:val="22"/>
          <w:szCs w:val="22"/>
        </w:rPr>
        <w:t xml:space="preserve">Verify the AI Summary identifies the 0.4 mg per kilogram dose and the manufacturer maximum as the central question.</w:t>
      </w:r>
    </w:p>
    <w:p>
      <w:pPr>
        <w:pStyle w:val="ListParagraph"/>
        <w:numPr>
          <w:ilvl w:val="0"/>
          <w:numId w:val="2"/>
        </w:numPr>
        <w:spacing w:after="160"/>
      </w:pPr>
      <w:r>
        <w:rPr>
          <w:rFonts w:ascii="Arial" w:cs="Arial" w:eastAsia="Arial" w:hAnsi="Arial"/>
          <w:color w:val="000000"/>
          <w:sz w:val="22"/>
          <w:szCs w:val="22"/>
        </w:rPr>
        <w:t xml:space="preserve">Share the case code:</w:t>
      </w:r>
    </w:p>
    <w:p>
      <w:pPr>
        <w:pBdr>
          <w:left w:val="single" w:color="145A32" w:sz="14" w:space="8"/>
        </w:pBdr>
        <w:spacing w:after="240"/>
        <w:ind w:left="360"/>
      </w:pPr>
      <w:r>
        <w:rPr>
          <w:rFonts w:ascii="Arial" w:cs="Arial" w:eastAsia="Arial" w:hAnsi="Arial"/>
          <w:b/>
          <w:bCs/>
          <w:color w:val="145A32"/>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Bdr>
          <w:left w:val="single" w:color="BF5700" w:sz="14" w:space="8"/>
        </w:pBdr>
        <w:shd w:fill="FFF3E0" w:val="clear"/>
        <w:spacing w:after="160"/>
        <w:ind w:left="360"/>
      </w:pPr>
      <w:r>
        <w:rPr>
          <w:rFonts w:ascii="Arial" w:cs="Arial" w:eastAsia="Arial" w:hAnsi="Arial"/>
          <w:b/>
          <w:bCs/>
          <w:color w:val="BF5700"/>
          <w:sz w:val="22"/>
          <w:szCs w:val="22"/>
        </w:rPr>
        <w:t xml:space="preserve">Collaboration Needed:  </w:t>
      </w:r>
      <w:r>
        <w:rPr>
          <w:rFonts w:ascii="Arial" w:cs="Arial" w:eastAsia="Arial" w:hAnsi="Arial"/>
          <w:color w:val="000000"/>
          <w:sz w:val="22"/>
          <w:szCs w:val="22"/>
        </w:rPr>
        <w:t xml:space="preserve">This case needs a clinical pharmacologist who can assess whether 0.4 mg per kilogram of this adjunct medication class is consistent with respiratory adverse events within 72 hours in elderly patients and those with any degree of renal impairment. Also needed: the full adverse event cohort — how many patients received the protocol, how many had adverse events, what the adverse event rate is at this dose versus the manufacturer maximum.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5A32" w:sz="4" w:space="4"/>
      </w:pBdr>
      <w:jc w:val="right"/>
    </w:pPr>
    <w:r>
      <w:rPr>
        <w:rFonts w:ascii="Arial" w:cs="Arial" w:eastAsia="Arial" w:hAnsi="Arial"/>
        <w:color w:val="595959"/>
        <w:sz w:val="18"/>
        <w:szCs w:val="18"/>
      </w:rPr>
      <w:t xml:space="preserve">cisnew.vercel.app  |  Version 2.0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A32" w:sz="4" w:space="4"/>
      </w:pBdr>
    </w:pPr>
    <w:r>
      <w:rPr>
        <w:rFonts w:ascii="Arial" w:cs="Arial" w:eastAsia="Arial" w:hAnsi="Arial"/>
        <w:i/>
        <w:iCs/>
        <w:color w:val="595959"/>
        <w:sz w:val="18"/>
        <w:szCs w:val="18"/>
      </w:rPr>
      <w:t xml:space="preserve">CIS: Cognitive Intelligence System  |  Open Cases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45A32"/>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2026-06-08T00:56:23.645Z</dcterms:created>
  <dcterms:modified xsi:type="dcterms:W3CDTF">2026-06-08T00:56:23.645Z</dcterms:modified>
</cp:coreProperties>
</file>

<file path=docProps/custom.xml><?xml version="1.0" encoding="utf-8"?>
<Properties xmlns="http://schemas.openxmlformats.org/officeDocument/2006/custom-properties" xmlns:vt="http://schemas.openxmlformats.org/officeDocument/2006/docPropsVTypes"/>
</file>