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0"/>
      </w:pPr>
    </w:p>
    <w:p>
      <w:pPr>
        <w:spacing w:after="160" w:before="0"/>
        <w:jc w:val="center"/>
      </w:pPr>
      <w:r>
        <w:rPr>
          <w:rFonts w:ascii="Arial" w:cs="Arial" w:eastAsia="Arial" w:hAnsi="Arial"/>
          <w:b/>
          <w:bCs/>
          <w:color w:val="1a1a2e"/>
          <w:sz w:val="96"/>
          <w:szCs w:val="96"/>
        </w:rPr>
        <w:t xml:space="preserve">CIS</w:t>
      </w:r>
    </w:p>
    <w:p>
      <w:pPr>
        <w:spacing w:after="120" w:before="0"/>
        <w:jc w:val="center"/>
      </w:pPr>
      <w:r>
        <w:rPr>
          <w:rFonts w:ascii="Arial" w:cs="Arial" w:eastAsia="Arial" w:hAnsi="Arial"/>
          <w:b/>
          <w:bCs/>
          <w:color w:val="4a4a6a"/>
          <w:sz w:val="38"/>
          <w:szCs w:val="38"/>
        </w:rPr>
        <w:t xml:space="preserve">Cognitive Intelligence System</w:t>
      </w:r>
    </w:p>
    <w:p>
      <w:pPr>
        <w:pBdr>
          <w:bottom w:val="single" w:color="C8B87A" w:sz="6" w:space="1"/>
        </w:pBdr>
        <w:spacing w:after="240" w:before="240"/>
      </w:pPr>
    </w:p>
    <w:p>
      <w:pPr>
        <w:spacing w:after="120" w:before="200"/>
        <w:jc w:val="center"/>
      </w:pPr>
      <w:r>
        <w:rPr>
          <w:rFonts w:ascii="Arial" w:cs="Arial" w:eastAsia="Arial" w:hAnsi="Arial"/>
          <w:b/>
          <w:bCs/>
          <w:color w:val="C8B87A"/>
          <w:sz w:val="34"/>
          <w:szCs w:val="34"/>
        </w:rPr>
        <w:t xml:space="preserve">PRACTICE INVESTIGATION CASES</w:t>
      </w:r>
    </w:p>
    <w:p>
      <w:pPr>
        <w:spacing w:after="80" w:before="80"/>
        <w:jc w:val="center"/>
      </w:pPr>
      <w:r>
        <w:rPr>
          <w:rFonts w:ascii="Arial" w:cs="Arial" w:eastAsia="Arial" w:hAnsi="Arial"/>
          <w:i/>
          <w:iCs/>
          <w:color w:val="606078"/>
          <w:sz w:val="22"/>
          <w:szCs w:val="22"/>
        </w:rPr>
        <w:t xml:space="preserve">Three real investigations — every signal, every entry, every reason.</w:t>
      </w:r>
    </w:p>
    <w:p>
      <w:pPr>
        <w:spacing w:after="80" w:before="80"/>
        <w:jc w:val="center"/>
      </w:pPr>
      <w:r>
        <w:rPr>
          <w:rFonts w:ascii="Arial" w:cs="Arial" w:eastAsia="Arial" w:hAnsi="Arial"/>
          <w:color w:val="606078"/>
          <w:sz w:val="22"/>
          <w:szCs w:val="22"/>
        </w:rPr>
        <w:t xml:space="preserve">You practise. The system gets tested. Both things happen at once.</w:t>
      </w:r>
    </w:p>
    <w:p>
      <w:r>
        <w:br w:type="page"/>
      </w:r>
    </w:p>
    <w:p>
      <w:pPr>
        <w:sectPr>
          <w:pgSz w:w="12240" w:h="15840" w:orient="portrait"/>
          <w:pgMar w:top="1440" w:right="1440" w:bottom="1440" w:left="1440" w:header="708" w:footer="708" w:gutter="0"/>
          <w:pgNumType/>
          <w:docGrid w:linePitch="360"/>
        </w:sectPr>
      </w:pPr>
    </w:p>
    <w:p>
      <w:pPr>
        <w:pStyle w:val="Heading1"/>
        <w:spacing w:after="200" w:before="480"/>
      </w:pPr>
      <w:r>
        <w:rPr>
          <w:rFonts w:ascii="Arial" w:cs="Arial" w:eastAsia="Arial" w:hAnsi="Arial"/>
          <w:b/>
          <w:bCs/>
          <w:color w:val="1a1a2e"/>
          <w:sz w:val="38"/>
          <w:szCs w:val="38"/>
        </w:rPr>
        <w:t xml:space="preserve">How to Use This Document</w:t>
      </w:r>
    </w:p>
    <w:p>
      <w:pPr>
        <w:spacing w:after="80" w:before="80"/>
      </w:pPr>
      <w:r>
        <w:rPr>
          <w:rFonts w:ascii="Arial" w:cs="Arial" w:eastAsia="Arial" w:hAnsi="Arial"/>
          <w:sz w:val="21"/>
          <w:szCs w:val="21"/>
        </w:rPr>
        <w:t xml:space="preserve">Each case in this document is a real investigation that you will run inside CIS from scratch. You will create the case, set up its domains, enter every signal, register contradictions, add evidence, and generate briefings — exactly as described.</w:t>
      </w:r>
    </w:p>
    <w:p>
      <w:pPr>
        <w:spacing w:after="80" w:before="80"/>
      </w:pPr>
      <w:r>
        <w:rPr>
          <w:rFonts w:ascii="Arial" w:cs="Arial" w:eastAsia="Arial" w:hAnsi="Arial"/>
          <w:sz w:val="21"/>
          <w:szCs w:val="21"/>
        </w:rPr>
        <w:t xml:space="preserve">The point is double: you learn how CIS works by doing real work. The system gets tested because you are running every feature against content it was designed for.</w:t>
      </w:r>
    </w:p>
    <w:p>
      <w:pPr>
        <w:spacing w:after="0" w:before="120"/>
      </w:pPr>
    </w:p>
    <w:p>
      <w:pPr>
        <w:spacing w:after="80" w:before="80"/>
      </w:pPr>
      <w:r>
        <w:rPr>
          <w:rFonts w:ascii="Arial" w:cs="Arial" w:eastAsia="Arial" w:hAnsi="Arial"/>
          <w:b/>
          <w:bCs/>
          <w:sz w:val="21"/>
          <w:szCs w:val="21"/>
        </w:rPr>
        <w:t xml:space="preserve">Each case tells you:</w:t>
      </w:r>
    </w:p>
    <w:p>
      <w:pPr>
        <w:pStyle w:val="ListParagraph"/>
        <w:numPr>
          <w:ilvl w:val="0"/>
          <w:numId w:val="2"/>
        </w:numPr>
        <w:spacing w:after="40" w:before="40"/>
      </w:pPr>
      <w:r>
        <w:rPr>
          <w:rFonts w:ascii="Arial" w:cs="Arial" w:eastAsia="Arial" w:hAnsi="Arial"/>
          <w:sz w:val="21"/>
          <w:szCs w:val="21"/>
        </w:rPr>
        <w:t xml:space="preserve">What the investigation is and why CIS is the right tool for it</w:t>
      </w:r>
    </w:p>
    <w:p>
      <w:pPr>
        <w:pStyle w:val="ListParagraph"/>
        <w:numPr>
          <w:ilvl w:val="0"/>
          <w:numId w:val="2"/>
        </w:numPr>
        <w:spacing w:after="40" w:before="40"/>
      </w:pPr>
      <w:r>
        <w:rPr>
          <w:rFonts w:ascii="Arial" w:cs="Arial" w:eastAsia="Arial" w:hAnsi="Arial"/>
          <w:sz w:val="21"/>
          <w:szCs w:val="21"/>
        </w:rPr>
        <w:t xml:space="preserve">What domains to create and how to declare their independence</w:t>
      </w:r>
    </w:p>
    <w:p>
      <w:pPr>
        <w:pStyle w:val="ListParagraph"/>
        <w:numPr>
          <w:ilvl w:val="0"/>
          <w:numId w:val="2"/>
        </w:numPr>
        <w:spacing w:after="40" w:before="40"/>
      </w:pPr>
      <w:r>
        <w:rPr>
          <w:rFonts w:ascii="Arial" w:cs="Arial" w:eastAsia="Arial" w:hAnsi="Arial"/>
          <w:sz w:val="21"/>
          <w:szCs w:val="21"/>
        </w:rPr>
        <w:t xml:space="preserve">Every signal to enter — exact text, domain, observation period, and the reason for that entry</w:t>
      </w:r>
    </w:p>
    <w:p>
      <w:pPr>
        <w:pStyle w:val="ListParagraph"/>
        <w:numPr>
          <w:ilvl w:val="0"/>
          <w:numId w:val="2"/>
        </w:numPr>
        <w:spacing w:after="40" w:before="40"/>
      </w:pPr>
      <w:r>
        <w:rPr>
          <w:rFonts w:ascii="Arial" w:cs="Arial" w:eastAsia="Arial" w:hAnsi="Arial"/>
          <w:sz w:val="21"/>
          <w:szCs w:val="21"/>
        </w:rPr>
        <w:t xml:space="preserve">What contradictions exist and which resolution code (RC-1, RC-2, RC-3) applies</w:t>
      </w:r>
    </w:p>
    <w:p>
      <w:pPr>
        <w:pStyle w:val="ListParagraph"/>
        <w:numPr>
          <w:ilvl w:val="0"/>
          <w:numId w:val="2"/>
        </w:numPr>
        <w:spacing w:after="40" w:before="40"/>
      </w:pPr>
      <w:r>
        <w:rPr>
          <w:rFonts w:ascii="Arial" w:cs="Arial" w:eastAsia="Arial" w:hAnsi="Arial"/>
          <w:sz w:val="21"/>
          <w:szCs w:val="21"/>
        </w:rPr>
        <w:t xml:space="preserve">What hypotheses the system should generate automatically — and what evidence to add manually</w:t>
      </w:r>
    </w:p>
    <w:p>
      <w:pPr>
        <w:pStyle w:val="ListParagraph"/>
        <w:numPr>
          <w:ilvl w:val="0"/>
          <w:numId w:val="2"/>
        </w:numPr>
        <w:spacing w:after="40" w:before="40"/>
      </w:pPr>
      <w:r>
        <w:rPr>
          <w:rFonts w:ascii="Arial" w:cs="Arial" w:eastAsia="Arial" w:hAnsi="Arial"/>
          <w:sz w:val="21"/>
          <w:szCs w:val="21"/>
        </w:rPr>
        <w:t xml:space="preserve">What the system should produce: connections, LP flags, briefings, plausibility scores</w:t>
      </w:r>
    </w:p>
    <w:p>
      <w:pPr>
        <w:spacing w:after="0" w:before="120"/>
      </w:pPr>
    </w:p>
    <w:p>
      <w:pPr>
        <w:pBdr>
          <w:left w:val="single" w:color="C8B87A" w:sz="12" w:space="2"/>
        </w:pBdr>
        <w:shd w:fill="F5F0DC" w:val="clear"/>
        <w:spacing w:after="120" w:before="120"/>
        <w:ind w:left="240"/>
      </w:pPr>
      <w:r>
        <w:rPr>
          <w:rFonts w:ascii="Arial" w:cs="Arial" w:eastAsia="Arial" w:hAnsi="Arial"/>
          <w:i/>
          <w:iCs/>
          <w:color w:val="2d2d2d"/>
          <w:sz w:val="20"/>
          <w:szCs w:val="20"/>
        </w:rPr>
        <w:t xml:space="preserve">The WHY column is the most important column. It tells you what CIS feature is being exercised. If you understand the WHY, you understand CIS.</w:t>
      </w:r>
    </w:p>
    <w:p>
      <w:pPr>
        <w:spacing w:after="0" w:before="120"/>
      </w:pPr>
    </w:p>
    <w:p>
      <w:pPr>
        <w:spacing w:after="80" w:before="80"/>
      </w:pPr>
      <w:r>
        <w:rPr>
          <w:rFonts w:ascii="Arial" w:cs="Arial" w:eastAsia="Arial" w:hAnsi="Arial"/>
          <w:b/>
          <w:bCs/>
          <w:sz w:val="21"/>
          <w:szCs w:val="21"/>
        </w:rPr>
        <w:t xml:space="preserve">Three cases are included:</w:t>
      </w:r>
    </w:p>
    <w:p>
      <w:pPr>
        <w:pStyle w:val="ListParagraph"/>
        <w:numPr>
          <w:ilvl w:val="0"/>
          <w:numId w:val="2"/>
        </w:numPr>
        <w:spacing w:after="40" w:before="40"/>
      </w:pPr>
      <w:r>
        <w:rPr>
          <w:rFonts w:ascii="Arial" w:cs="Arial" w:eastAsia="Arial" w:hAnsi="Arial"/>
          <w:sz w:val="21"/>
          <w:szCs w:val="21"/>
        </w:rPr>
        <w:t xml:space="preserve">Case 1 — Mars Climate Orbiter (1999): the classic hidden common link. Two independent navigation systems, one shared unit convention error that neither team could see from inside their own domain.</w:t>
      </w:r>
    </w:p>
    <w:p>
      <w:pPr>
        <w:pStyle w:val="ListParagraph"/>
        <w:numPr>
          <w:ilvl w:val="0"/>
          <w:numId w:val="2"/>
        </w:numPr>
        <w:spacing w:after="40" w:before="40"/>
      </w:pPr>
      <w:r>
        <w:rPr>
          <w:rFonts w:ascii="Arial" w:cs="Arial" w:eastAsia="Arial" w:hAnsi="Arial"/>
          <w:sz w:val="21"/>
          <w:szCs w:val="21"/>
        </w:rPr>
        <w:t xml:space="preserve">Case 2 — Therac-25 (1985–1987): four hospitals across two countries, each reporting a single radiation overdose. Individually sub-threshold. Together: a pattern that kills.</w:t>
      </w:r>
    </w:p>
    <w:p>
      <w:pPr>
        <w:pStyle w:val="ListParagraph"/>
        <w:numPr>
          <w:ilvl w:val="0"/>
          <w:numId w:val="2"/>
        </w:numPr>
        <w:spacing w:after="40" w:before="40"/>
      </w:pPr>
      <w:r>
        <w:rPr>
          <w:rFonts w:ascii="Arial" w:cs="Arial" w:eastAsia="Arial" w:hAnsi="Arial"/>
          <w:sz w:val="21"/>
          <w:szCs w:val="21"/>
        </w:rPr>
        <w:t xml:space="preserve">Case 3 — Enron (1997–2001): slow fragility accumulation, load displacement to off-balance-sheet entities, admissibility boundary manipulation in accounting. The signals were all there.</w:t>
      </w:r>
    </w:p>
    <w:p>
      <w:r>
        <w:br w:type="page"/>
      </w:r>
    </w:p>
    <w:p>
      <w:pPr>
        <w:shd w:fill="1a1a2e" w:val="clear"/>
        <w:spacing w:after="80" w:before="0"/>
      </w:pPr>
      <w:r>
        <w:rPr>
          <w:rFonts w:ascii="Arial" w:cs="Arial" w:eastAsia="Arial" w:hAnsi="Arial"/>
          <w:b/>
          <w:bCs/>
          <w:color w:val="C8B87A"/>
          <w:sz w:val="26"/>
          <w:szCs w:val="26"/>
        </w:rPr>
        <w:t xml:space="preserve">  CASE 1</w:t>
      </w:r>
    </w:p>
    <w:p>
      <w:pPr>
        <w:shd w:fill="1a1a2e" w:val="clear"/>
        <w:spacing w:after="0" w:before="0"/>
      </w:pPr>
      <w:r>
        <w:rPr>
          <w:rFonts w:ascii="Arial" w:cs="Arial" w:eastAsia="Arial" w:hAnsi="Arial"/>
          <w:b/>
          <w:bCs/>
          <w:color w:val="FFFFFF"/>
          <w:sz w:val="38"/>
          <w:szCs w:val="38"/>
        </w:rPr>
        <w:t xml:space="preserve">  Mars Climate Orbiter</w:t>
      </w:r>
    </w:p>
    <w:p>
      <w:pPr>
        <w:shd w:fill="1a1a2e" w:val="clear"/>
        <w:spacing w:after="200" w:before="0"/>
      </w:pPr>
      <w:r>
        <w:rPr>
          <w:rFonts w:ascii="Arial" w:cs="Arial" w:eastAsia="Arial" w:hAnsi="Arial"/>
          <w:color w:val="9090B0"/>
          <w:sz w:val="22"/>
          <w:szCs w:val="22"/>
        </w:rPr>
        <w:t xml:space="preserve">  NASA / JPL — 1999</w:t>
      </w:r>
    </w:p>
    <w:p>
      <w:pPr>
        <w:spacing w:after="0" w:before="80"/>
      </w:pPr>
    </w:p>
    <w:p>
      <w:pPr>
        <w:pStyle w:val="Heading2"/>
        <w:spacing w:after="140" w:before="320"/>
      </w:pPr>
      <w:r>
        <w:rPr>
          <w:rFonts w:ascii="Arial" w:cs="Arial" w:eastAsia="Arial" w:hAnsi="Arial"/>
          <w:b/>
          <w:bCs/>
          <w:color w:val="2d3561"/>
          <w:sz w:val="28"/>
          <w:szCs w:val="28"/>
        </w:rPr>
        <w:t xml:space="preserve">Background</w:t>
      </w:r>
    </w:p>
    <w:p>
      <w:pPr>
        <w:spacing w:after="80" w:before="80"/>
      </w:pPr>
      <w:r>
        <w:rPr>
          <w:rFonts w:ascii="Arial" w:cs="Arial" w:eastAsia="Arial" w:hAnsi="Arial"/>
          <w:sz w:val="21"/>
          <w:szCs w:val="21"/>
        </w:rPr>
        <w:t xml:space="preserve">On 23 September 1999, the Mars Climate Orbiter fired its main engine to enter Mars orbit. It entered at the wrong angle and was destroyed. The cause, identified after the fact: Lockheed Martin's AMD (Attitude and Manoeuvre Design) software produced thruster output data in imperial units (pound-force seconds). NASA's JPL navigation software expected SI units (newton seconds). The two teams operated as independent navigation domains — each one internally consistent, each one producing signals that were anomalous in the context of the other.</w:t>
      </w:r>
    </w:p>
    <w:p>
      <w:pPr>
        <w:spacing w:after="0" w:before="80"/>
      </w:pPr>
    </w:p>
    <w:p>
      <w:pPr>
        <w:pBdr>
          <w:left w:val="single" w:color="C8B87A" w:sz="12" w:space="2"/>
        </w:pBdr>
        <w:shd w:fill="F5F0DC" w:val="clear"/>
        <w:spacing w:after="120" w:before="120"/>
        <w:ind w:left="240"/>
      </w:pPr>
      <w:r>
        <w:rPr>
          <w:rFonts w:ascii="Arial" w:cs="Arial" w:eastAsia="Arial" w:hAnsi="Arial"/>
          <w:i/>
          <w:iCs/>
          <w:color w:val="2d2d2d"/>
          <w:sz w:val="20"/>
          <w:szCs w:val="20"/>
        </w:rPr>
        <w:t xml:space="preserve">Why CIS: This is the canonical Hidden Common Link case. Two independent domains (AMD and JPL navigation) each show anomalies that are structurally incongruent with mission parameters. Neither anomaly is conclusive on its own. Together they point to a shared structural cause neither team could see from inside their domain. CIS exists precisely to detect this.</w:t>
      </w:r>
    </w:p>
    <w:p>
      <w:pPr>
        <w:spacing w:after="0" w:before="80"/>
      </w:pPr>
    </w:p>
    <w:p>
      <w:pPr>
        <w:spacing w:after="80" w:before="80"/>
      </w:pPr>
      <w:r>
        <w:rPr>
          <w:rFonts w:ascii="Arial" w:cs="Arial" w:eastAsia="Arial" w:hAnsi="Arial"/>
          <w:b/>
          <w:bCs/>
          <w:sz w:val="21"/>
          <w:szCs w:val="21"/>
        </w:rPr>
        <w:t xml:space="preserve">Features this case exercises:</w:t>
      </w:r>
      <w:r>
        <w:rPr>
          <w:rFonts w:ascii="Arial" w:cs="Arial" w:eastAsia="Arial" w:hAnsi="Arial"/>
          <w:sz w:val="21"/>
          <w:szCs w:val="21"/>
        </w:rPr>
        <w:t xml:space="preserve"> Cross-domain connection (CDA), HCL hypothesis auto-generation (SHG), contradiction handling (AMD self-test passes while AMD trajectory deviates), loss point LP-3 (cross-domain boundary), LP-4 (signal not discarded by explanation), cognitive briefing with open questions, plausibility tracking.</w:t>
      </w:r>
    </w:p>
    <w:p>
      <w:pPr>
        <w:spacing w:after="0" w:before="160"/>
      </w:pPr>
    </w:p>
    <w:p>
      <w:pPr>
        <w:pStyle w:val="Heading2"/>
        <w:spacing w:after="140" w:before="320"/>
      </w:pPr>
      <w:r>
        <w:rPr>
          <w:rFonts w:ascii="Arial" w:cs="Arial" w:eastAsia="Arial" w:hAnsi="Arial"/>
          <w:b/>
          <w:bCs/>
          <w:color w:val="2d3561"/>
          <w:sz w:val="28"/>
          <w:szCs w:val="28"/>
        </w:rPr>
        <w:t xml:space="preserve">Step 1 — Create the Case</w:t>
      </w:r>
    </w:p>
    <w:p>
      <w:pPr>
        <w:spacing w:after="80" w:before="80"/>
      </w:pPr>
      <w:r>
        <w:rPr>
          <w:rFonts w:ascii="Arial" w:cs="Arial" w:eastAsia="Arial" w:hAnsi="Arial"/>
          <w:sz w:val="21"/>
          <w:szCs w:val="21"/>
        </w:rPr>
        <w:t xml:space="preserve">Go to cisnew.vercel.app. Create a new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Field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Your entry / what happens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Case title to enter:</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Mars Climate Orbiter — Navigation Anomaly Investigation</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Access code:</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Write it down. You will need it to return to this case.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What to expect:</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Dashboard loads showing empty pool. All signal counts = 0.</w:t>
            </w:r>
          </w:p>
        </w:tc>
      </w:tr>
    </w:tbl>
    <w:p>
      <w:pPr>
        <w:spacing w:after="0" w:before="160"/>
      </w:pPr>
    </w:p>
    <w:p>
      <w:pPr>
        <w:pStyle w:val="Heading2"/>
        <w:spacing w:after="140" w:before="320"/>
      </w:pPr>
      <w:r>
        <w:rPr>
          <w:rFonts w:ascii="Arial" w:cs="Arial" w:eastAsia="Arial" w:hAnsi="Arial"/>
          <w:b/>
          <w:bCs/>
          <w:color w:val="2d3561"/>
          <w:sz w:val="28"/>
          <w:szCs w:val="28"/>
        </w:rPr>
        <w:t xml:space="preserve">Step 2 — Create Domains and Declare Independence</w:t>
      </w:r>
    </w:p>
    <w:p>
      <w:pPr>
        <w:spacing w:after="80" w:before="80"/>
      </w:pPr>
      <w:r>
        <w:rPr>
          <w:rFonts w:ascii="Arial" w:cs="Arial" w:eastAsia="Arial" w:hAnsi="Arial"/>
          <w:sz w:val="21"/>
          <w:szCs w:val="21"/>
        </w:rPr>
        <w:t xml:space="preserve">MCO had exactly two independent navigation domains. AMD was Lockheed Martin's onboard software. JPL was NASA's ground navigation team. They had separate facilities, separate codebases, and no shared data pipeline. That independence is what makes cross-domain analysis valid here.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Action</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What to do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Domain 1 name:</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AMD Navigation Unit</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Domain 1 description:</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Lockheed Martin onboard attitude and manoeuvre design software. Produces thruster output data from onboard sensors.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Domain 2 name:</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JPL Ground Navigation</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Domain 2 description:</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NASA Jet Propulsion Laboratory ground-based navigation team. Receives telemetry, computes trajectory independently.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Independence declaration:</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Go to Domain Manager. Set AMD Navigation Unit ↔ JPL Ground Navigation = INDEPENDENT.</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Independence basis to enter:</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Separate organisations (Lockheed Martin and NASA JPL), separate codebases, separate facilities, no shared data pipeline between the two navigation computations.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Why this matters:</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Without declaring independence, CDA is disabled and no cross-domain connections will fire. This directly tests the independence matrix and LP-3 protection.</w:t>
            </w:r>
          </w:p>
        </w:tc>
      </w:tr>
    </w:tbl>
    <w:p>
      <w:pPr>
        <w:spacing w:after="0" w:before="160"/>
      </w:pPr>
    </w:p>
    <w:p>
      <w:pPr>
        <w:pStyle w:val="Heading2"/>
        <w:spacing w:after="140" w:before="320"/>
      </w:pPr>
      <w:r>
        <w:rPr>
          <w:rFonts w:ascii="Arial" w:cs="Arial" w:eastAsia="Arial" w:hAnsi="Arial"/>
          <w:b/>
          <w:bCs/>
          <w:color w:val="2d3561"/>
          <w:sz w:val="28"/>
          <w:szCs w:val="28"/>
        </w:rPr>
        <w:t xml:space="preserve">Step 3 — Enter Signals</w:t>
      </w:r>
    </w:p>
    <w:p>
      <w:pPr>
        <w:spacing w:after="80" w:before="80"/>
      </w:pPr>
      <w:r>
        <w:rPr>
          <w:rFonts w:ascii="Arial" w:cs="Arial" w:eastAsia="Arial" w:hAnsi="Arial"/>
          <w:sz w:val="21"/>
          <w:szCs w:val="21"/>
        </w:rPr>
        <w:t xml:space="preserve">Enter every signal below in the order shown. Use Signal Intake (/cases/:id/intake). Select the domain from the dropdown. Set the observation period as shown. Enter the exact text in the content field — or something close to it. The WHY column explains what each entry is testing.</w:t>
      </w:r>
    </w:p>
    <w:p>
      <w:pPr>
        <w:spacing w:after="0" w:before="80"/>
      </w:pPr>
    </w:p>
    <w:p>
      <w:pPr>
        <w:pBdr>
          <w:left w:val="single" w:color="C8B87A" w:sz="12" w:space="2"/>
        </w:pBdr>
        <w:shd w:fill="F5F0DC" w:val="clear"/>
        <w:spacing w:after="120" w:before="120"/>
        <w:ind w:left="240"/>
      </w:pPr>
      <w:r>
        <w:rPr>
          <w:rFonts w:ascii="Arial" w:cs="Arial" w:eastAsia="Arial" w:hAnsi="Arial"/>
          <w:i/>
          <w:iCs/>
          <w:color w:val="2d2d2d"/>
          <w:sz w:val="20"/>
          <w:szCs w:val="20"/>
        </w:rPr>
        <w:t xml:space="preserve">Observation periods here represent navigation review windows during the 9.5-month cruise phase. Period 1 = cruise week 2. Period 2 = cruise week 8. Period 3 = cruise week 16. Period 4 = final approach. Period 5 = Mars orbit insertion.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600"/>
        <w:gridCol w:w="3800"/>
        <w:gridCol w:w="31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Domain</w:t>
            </w:r>
          </w:p>
        </w:tc>
        <w:tc>
          <w:tcPr>
            <w:tcW w:type="dxa" w:w="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Period</w:t>
            </w:r>
          </w:p>
        </w:tc>
        <w:tc>
          <w:tcPr>
            <w:tcW w:type="dxa" w:w="3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What to enter in the Content field</w:t>
            </w:r>
          </w:p>
        </w:tc>
        <w:tc>
          <w:tcPr>
            <w:tcW w:type="dxa" w:w="3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Why — what this tests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AMD Navigation Unit</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Thruster output telemetry nominal. All AMD sensors reporting within expected range. No anomalous readings at period 1 review.</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Low SI — this is the baseline. CIS should admit it as sub-threshold or low significance. You are establishing what 'normal' looks like in AMD data before the anomaly appears. Watch the SI preview as you type: it should stay low.</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2</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JPL Ground Navigation</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1</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Navigation residuals within tolerance at period 1. Trajectory tracking nominal against projected cruise path. No correction manoeuvre required.</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Low SI — same baseline from JPL's side. Two independent domains both reporting nominal at period 1 confirms the independence declaration is working. No cross-domain connection should fire yet.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AMD Navigation Unit</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Thruster output data for TCM-1 manoeuvre: 0.26 lb-force seconds per pulse. Manoeuvre executed as commanded by AMD software. No fault flags raised by AMD unit.</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Medium SI — the number itself is technically correct in AMD's frame. But 0.26 lb-force seconds is structurally incongruent with the SI-unit mission parameter baseline. Watch whether CIS scores this as incongruent. This is the unit error signal — AMD has no idea anything is wrong.</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4</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JPL Ground Navigation</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2</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Navigation residuals show 2.1 km/s deviation from expected trajectory following TCM-1. Residuals direction consistent with under-thrusting. JPL computed expected delta-V from AMD thruster data and found it inconsistent with observed trajectory change.</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High SI — JPL is seeing the downstream effect of the unit error without knowing the cause. The structural incongruence: AMD reports successful manoeuvre execution, JPL observes trajectory inconsistent with that execution. Watch for a cross-domain connection attempt between Signal 3 (AMD, period 2) and this signal.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AMD Navigation Unit</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AMD unit self-diagnostic at period 2: all systems nominal. No hardware faults detected. Sensor readings within calibration range. AMD reports system healthy.</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This is the contradiction signal. AMD says everything is fine. But Signal 4 (JPL) says the trajectory is wrong by 2.1 km/s. You will register this as a formal contradiction with Signal 4 later. For now, enter it and note the SI score — it should be low (AMD genuinely believes this), which is what makes the contradiction structurally interesting.</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6</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JPL Ground Navigation</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3</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Navigation residuals accumulating across periods 2–3. Total deviation now 11.8 km/s from projected cruise trajectory. Rate of accumulation consistent with a systematic thruster error rather than random noise. Pattern is directional — all deviations in the same axis.</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High SI — the word 'systematic' and 'directional' are key. This is not random noise. A random error would scatter. A systematic error accumulates in one direction. CIS should score this high on SI dimension: rate of change (accelerating residuals), direction (consistent axis). This should strengthen the cross-domain connection to AMD signals.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AMD Navigation Unit</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TCM-4 correction manoeuvre: AMD computed delta-V of 0.82 lb-force seconds. Executed without fault. AMD trajectory post-manoeuvre shows nominal.</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Medium-high SI — AMD keeps reporting nominal. But from JPL's frame, every AMD-commanded manoeuvre produces trajectory corrections that are too small by a factor consistent with unit conversion (1 lbf·s = 4.44822 N·s). AMD's 'nominal' is structurally incongruent with accumulating JPL residuals. Watch how plausibility of the HCL hypothesis changes when you add this signal.</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8</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JPL Ground Navigation</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4</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Final approach navigation: trajectory shows spacecraft will enter Mars atmosphere at 57 km altitude rather than commanded 226 km. At this altitude spacecraft will be destroyed by aerodynamic forces. No commanding error detected on JPL side. Residuals trace back to TCM-1.</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High SI, high significance — this is the terminal signal. CIS should score this very high. The structural incongruence: JPL shows catastrophic trajectory, AMD shows nominal. This signal should elevate the HCL hypothesis plausibility significantly. In a real investigation this is the signal that forces the resolution question.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AMD Navigation Unit</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AMD software review initiated following JPL anomaly flag. AMD unit conversion documentation: thruster output reported in pound-force seconds as per AMD interface specification. No AMD-side error detected per AMD specification.</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This is the resolution signal. AMD is telling you: from our specification, everything is correct. This is RC-1 territory for the contradiction: AMD's source is not unreliable — it is operating exactly as designed, but the design uses imperial units in an SI environment. Enter this and see how it affects the contradiction resolution.</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10</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JPL Ground Navigation</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5</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Contact with MCO lost at Mars orbit insertion. Spacecraft not recovered. Final trajectory analysis: spacecraft entered at 57 km altitude, consistent with systematic unit conversion error across all AMD thruster output data during cruise phase.</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This is the resolved signal — the outcome. SI should be extremely high (complete structural break from expected mission outcome). This is what the entire investigation pointed to. When you enter this, watch what the Open Questions panel and briefing look like.</w:t>
            </w:r>
          </w:p>
        </w:tc>
      </w:tr>
    </w:tbl>
    <w:p>
      <w:pPr>
        <w:spacing w:after="0" w:before="200"/>
      </w:pPr>
    </w:p>
    <w:p>
      <w:pPr>
        <w:pStyle w:val="Heading2"/>
        <w:spacing w:after="140" w:before="320"/>
      </w:pPr>
      <w:r>
        <w:rPr>
          <w:rFonts w:ascii="Arial" w:cs="Arial" w:eastAsia="Arial" w:hAnsi="Arial"/>
          <w:b/>
          <w:bCs/>
          <w:color w:val="2d3561"/>
          <w:sz w:val="28"/>
          <w:szCs w:val="28"/>
        </w:rPr>
        <w:t xml:space="preserve">Step 4 — Register the Contradiction</w:t>
      </w:r>
    </w:p>
    <w:p>
      <w:pPr>
        <w:spacing w:after="80" w:before="80"/>
      </w:pPr>
      <w:r>
        <w:rPr>
          <w:rFonts w:ascii="Arial" w:cs="Arial" w:eastAsia="Arial" w:hAnsi="Arial"/>
          <w:sz w:val="21"/>
          <w:szCs w:val="21"/>
        </w:rPr>
        <w:t xml:space="preserve">Signal 5 (AMD self-diagnostic: nominal) directly contradicts Signal 4 (JPL: trajectory wrong by 2.1 km/s after AMD manoeuvre). Register this formally.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Field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What to enter / what to do</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Signal A:</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 5 — AMD unit self-diagnostic: all systems nominal</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Signal B:</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Signal 4 — JPL: 2.1 km/s residual following AMD TCM-1 manoeuvre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Contradiction description to enter:</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AMD unit reports successful TCM-1 execution with all systems nominal. JPL trajectory data shows 2.1 km/s deviation from expected trajectory following the same TCM-1 manoeuvre. One source asserts the manoeuvre executed correctly; the other asserts the trajectory outcome was incorrect.</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What happens:</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Both signals move to QUARANTINED. Quarantine Alert on Dashboard shows count = 1. Neither signal can expire.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Resolution type to use:</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RC-1 — Calibration Invalidation. AMD's self-diagnostic is not wrong given AMD's own specification. But the source (AMD's lb-force unit output in an SI environment) is the structural misfit. Resolution basis: AMD software interface specification confirmed to use imperial units incompatible with JPL SI navigation framework. AMD diagnostic is technically correct within its own frame but structurally invalid in the mission context.</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Resolved signal:</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Signal 5 (AMD self-diagnostic). Signal 4 (JPL residuals) is accepted as the structurally valid reading of actual trajectory.</w:t>
            </w:r>
          </w:p>
        </w:tc>
      </w:tr>
    </w:tbl>
    <w:p>
      <w:pPr>
        <w:spacing w:after="0" w:before="200"/>
      </w:pPr>
    </w:p>
    <w:p>
      <w:pPr>
        <w:pStyle w:val="Heading2"/>
        <w:spacing w:after="140" w:before="320"/>
      </w:pPr>
      <w:r>
        <w:rPr>
          <w:rFonts w:ascii="Arial" w:cs="Arial" w:eastAsia="Arial" w:hAnsi="Arial"/>
          <w:b/>
          <w:bCs/>
          <w:color w:val="2d3561"/>
          <w:sz w:val="28"/>
          <w:szCs w:val="28"/>
        </w:rPr>
        <w:t xml:space="preserve">Step 5 — What the System Should Have Done Automatically</w:t>
      </w:r>
    </w:p>
    <w:p>
      <w:pPr>
        <w:spacing w:after="80" w:before="80"/>
      </w:pPr>
      <w:r>
        <w:rPr>
          <w:rFonts w:ascii="Arial" w:cs="Arial" w:eastAsia="Arial" w:hAnsi="Arial"/>
          <w:sz w:val="21"/>
          <w:szCs w:val="21"/>
        </w:rPr>
        <w:t xml:space="preserve">By the time you enter Signal 6, the following should have happened automatically. Verify each one.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Expected automatic behaviour</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How to verify 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Cross-domain connection: Signals 3 &amp; 4</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AMD thruster output (period 2) and JPL trajectory residual (period 2) are from independent domains, same observation period, same structural dimension (navigation trajectory), same direction (under-thrusting). Both should move to CONNECTED status.</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Cross-domain connection: Signals 6 &amp; 7</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JPL residual accumulation (period 3) and AMD TCM-4 output (period 3) — same period, same dimension, directional consistency. Connected.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HCL hypothesis auto-generated by SHG</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After connections accumulate above the independence threshold, SHG should generate: 'Signals from AMD Navigation Unit and JPL Ground Navigation show structural correspondence in navigation trajectory dimension across multiple observation periods. Candidate shared structural cause: common input to both navigation computations.' Type = HCL.</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HCL hypothesis plausibility rising</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With each additional connected signal pair, plausibility should increase. By Signal 8, it should be above 0.70.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Open Questions panel populated</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Signals 3, 4, 6, 7, 8 should appear in Open Questions (SI &gt;= 0.5, no hypothesis formally confirmed) until you add evidence to the HCL hypothesis.</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LP-3 check</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If you had NOT declared independence, LP-3 would fire for signals 4 and 6. Since you did declare independence, LP-3 should not fire. Verify LP Flags panel is empty (or shows only LP-3 if you test the unset case).</w:t>
            </w:r>
          </w:p>
        </w:tc>
      </w:tr>
    </w:tbl>
    <w:p>
      <w:pPr>
        <w:spacing w:after="0" w:before="200"/>
      </w:pPr>
    </w:p>
    <w:p>
      <w:pPr>
        <w:pStyle w:val="Heading2"/>
        <w:spacing w:after="140" w:before="320"/>
      </w:pPr>
      <w:r>
        <w:rPr>
          <w:rFonts w:ascii="Arial" w:cs="Arial" w:eastAsia="Arial" w:hAnsi="Arial"/>
          <w:b/>
          <w:bCs/>
          <w:color w:val="2d3561"/>
          <w:sz w:val="28"/>
          <w:szCs w:val="28"/>
        </w:rPr>
        <w:t xml:space="preserve">Step 6 — Add Evidence to the HCL Hypothesis</w:t>
      </w:r>
    </w:p>
    <w:p>
      <w:pPr>
        <w:spacing w:after="80" w:before="80"/>
      </w:pPr>
      <w:r>
        <w:rPr>
          <w:rFonts w:ascii="Arial" w:cs="Arial" w:eastAsia="Arial" w:hAnsi="Arial"/>
          <w:sz w:val="21"/>
          <w:szCs w:val="21"/>
        </w:rPr>
        <w:t xml:space="preserve">The system generated the HCL hypothesis. Now you need to add evidence that resolves it. Go to the Hypothesis Board and find the auto-generated HCL hypothesis.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Evidence to add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Reason / what to watch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Evidence 1 — type: SUPPORTING, weight: 0.90</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Content: AMD software interface specification document confirms thruster output reported in pound-force seconds (lb·s) throughout cruise phase. No unit conversion applied before transmission to JPL navigation interface. — Why weight 0.90: This is direct documentary evidence of the exact structural cause. High weight because it directly identifies the shared input error.</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Evidence 2 — type: SUPPORTING, weight: 0.80</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Content: JPL navigation software expected thruster input in newton-seconds (N·s) per mission SI standard. No unit validation check at JPL interface. Delta-V computations used raw AMD input as N·s. — Why: This closes the structural loop. You now have both sides of the hidden common link confirmed.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Evidence 3 — type: SUPPORTING, weight: 0.75</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Content: Conversion factor lb·s to N·s = 4.44822. Ratio of JPL observed trajectory deviation to AMD computed delta-V across TCM-1, TCM-4 is consistent with 4.44822 factor across all manoeuvres. — Why weight 0.75: quantitative confirmation of the specific unit mismatch, not just its existence.</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Evidence 4 — type: CONTRADICTING, weight: 0.30</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Content: JPL navigation review at period 2 noted residuals but attributed to normal cruise noise. No formal anomaly raised at period 2. — Why you add contradicting evidence: You need to know whether the system handles contradicting evidence correctly. Weight 0.30 because it is weak — the fact that JPL didn't flag it early doesn't mean the unit error wasn't real. Watch plausibility: it should drop slightly then recover as supporting evidence dominates.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Confirm hypothesis</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Plausibility should be &gt;= 0.85 with the three SUPPORTING evidence items. CONFIRM the hypothesis. Resolution basis: AMD-JPL unit convention mismatch confirmed by interface specification review and quantitative trajectory analysis.</w:t>
            </w:r>
          </w:p>
        </w:tc>
      </w:tr>
    </w:tbl>
    <w:p>
      <w:pPr>
        <w:spacing w:after="0" w:before="200"/>
      </w:pPr>
    </w:p>
    <w:p>
      <w:pPr>
        <w:pStyle w:val="Heading2"/>
        <w:spacing w:after="140" w:before="320"/>
      </w:pPr>
      <w:r>
        <w:rPr>
          <w:rFonts w:ascii="Arial" w:cs="Arial" w:eastAsia="Arial" w:hAnsi="Arial"/>
          <w:b/>
          <w:bCs/>
          <w:color w:val="2d3561"/>
          <w:sz w:val="28"/>
          <w:szCs w:val="28"/>
        </w:rPr>
        <w:t xml:space="preserve">Step 7 — Generate the Briefing</w:t>
      </w:r>
    </w:p>
    <w:p>
      <w:pPr>
        <w:spacing w:after="80" w:before="80"/>
      </w:pPr>
      <w:r>
        <w:rPr>
          <w:rFonts w:ascii="Arial" w:cs="Arial" w:eastAsia="Arial" w:hAnsi="Arial"/>
          <w:sz w:val="21"/>
          <w:szCs w:val="21"/>
        </w:rPr>
        <w:t xml:space="preserve">Click GENERATE BRIEFING. Read the briefing carefully. It should contain:</w:t>
      </w:r>
    </w:p>
    <w:p>
      <w:pPr>
        <w:spacing w:after="0" w:before="80"/>
      </w:pPr>
    </w:p>
    <w:p>
      <w:pPr>
        <w:pStyle w:val="ListParagraph"/>
        <w:numPr>
          <w:ilvl w:val="0"/>
          <w:numId w:val="2"/>
        </w:numPr>
        <w:spacing w:after="40" w:before="40"/>
      </w:pPr>
      <w:r>
        <w:rPr>
          <w:rFonts w:ascii="Arial" w:cs="Arial" w:eastAsia="Arial" w:hAnsi="Arial"/>
          <w:sz w:val="21"/>
          <w:szCs w:val="21"/>
        </w:rPr>
        <w:t xml:space="preserve">Pool Status: 10 signals across various states. QUARANTINED count = 0 (after you resolved the contradiction). RESOLVED count = 1 or more.</w:t>
      </w:r>
    </w:p>
    <w:p>
      <w:pPr>
        <w:pStyle w:val="ListParagraph"/>
        <w:numPr>
          <w:ilvl w:val="0"/>
          <w:numId w:val="2"/>
        </w:numPr>
        <w:spacing w:after="40" w:before="40"/>
      </w:pPr>
      <w:r>
        <w:rPr>
          <w:rFonts w:ascii="Arial" w:cs="Arial" w:eastAsia="Arial" w:hAnsi="Arial"/>
          <w:sz w:val="21"/>
          <w:szCs w:val="21"/>
        </w:rPr>
        <w:t xml:space="preserve">AI Summary: Should mention the HCL pattern across AMD and JPL domains, the unit conversion cause, and that the hypothesis is CONFIRMED.</w:t>
      </w:r>
    </w:p>
    <w:p>
      <w:pPr>
        <w:pStyle w:val="ListParagraph"/>
        <w:numPr>
          <w:ilvl w:val="0"/>
          <w:numId w:val="2"/>
        </w:numPr>
        <w:spacing w:after="40" w:before="40"/>
      </w:pPr>
      <w:r>
        <w:rPr>
          <w:rFonts w:ascii="Arial" w:cs="Arial" w:eastAsia="Arial" w:hAnsi="Arial"/>
          <w:sz w:val="21"/>
          <w:szCs w:val="21"/>
        </w:rPr>
        <w:t xml:space="preserve">Active Hypotheses: The HCL hypothesis showing CONFIRMED status and plausibility &gt;= 0.85.</w:t>
      </w:r>
    </w:p>
    <w:p>
      <w:pPr>
        <w:pStyle w:val="ListParagraph"/>
        <w:numPr>
          <w:ilvl w:val="0"/>
          <w:numId w:val="2"/>
        </w:numPr>
        <w:spacing w:after="40" w:before="40"/>
      </w:pPr>
      <w:r>
        <w:rPr>
          <w:rFonts w:ascii="Arial" w:cs="Arial" w:eastAsia="Arial" w:hAnsi="Arial"/>
          <w:sz w:val="21"/>
          <w:szCs w:val="21"/>
        </w:rPr>
        <w:t xml:space="preserve">Quarantine: Empty (if you resolved the contradiction).</w:t>
      </w:r>
    </w:p>
    <w:p>
      <w:pPr>
        <w:pStyle w:val="ListParagraph"/>
        <w:numPr>
          <w:ilvl w:val="0"/>
          <w:numId w:val="2"/>
        </w:numPr>
        <w:spacing w:after="40" w:before="40"/>
      </w:pPr>
      <w:r>
        <w:rPr>
          <w:rFonts w:ascii="Arial" w:cs="Arial" w:eastAsia="Arial" w:hAnsi="Arial"/>
          <w:sz w:val="21"/>
          <w:szCs w:val="21"/>
        </w:rPr>
        <w:t xml:space="preserve">Loss Points Flagged: Should be empty or show LP-3 note if you did the unset-independence test.</w:t>
      </w:r>
    </w:p>
    <w:p>
      <w:pPr>
        <w:pStyle w:val="ListParagraph"/>
        <w:numPr>
          <w:ilvl w:val="0"/>
          <w:numId w:val="2"/>
        </w:numPr>
        <w:spacing w:after="40" w:before="40"/>
      </w:pPr>
      <w:r>
        <w:rPr>
          <w:rFonts w:ascii="Arial" w:cs="Arial" w:eastAsia="Arial" w:hAnsi="Arial"/>
          <w:sz w:val="21"/>
          <w:szCs w:val="21"/>
        </w:rPr>
        <w:t xml:space="preserve">Open Questions: Should be empty or reduced — the HCL hypothesis explains all connected signals.</w:t>
      </w:r>
    </w:p>
    <w:p>
      <w:pPr>
        <w:spacing w:after="0" w:before="80"/>
      </w:pPr>
    </w:p>
    <w:p>
      <w:pPr>
        <w:pBdr>
          <w:left w:val="single" w:color="C8B87A" w:sz="12" w:space="2"/>
        </w:pBdr>
        <w:shd w:fill="F5F0DC" w:val="clear"/>
        <w:spacing w:after="120" w:before="120"/>
        <w:ind w:left="240"/>
      </w:pPr>
      <w:r>
        <w:rPr>
          <w:rFonts w:ascii="Arial" w:cs="Arial" w:eastAsia="Arial" w:hAnsi="Arial"/>
          <w:i/>
          <w:iCs/>
          <w:color w:val="2d2d2d"/>
          <w:sz w:val="20"/>
          <w:szCs w:val="20"/>
        </w:rPr>
        <w:t xml:space="preserve">If the briefing summary does not mention unit conventions or cross-domain correspondence, something in the SHG hypothesis generation or briefing AI is not working correctly. That is useful test data.</w:t>
      </w:r>
    </w:p>
    <w:p>
      <w:r>
        <w:br w:type="page"/>
      </w:r>
    </w:p>
    <w:p>
      <w:pPr>
        <w:shd w:fill="1a1a2e" w:val="clear"/>
        <w:spacing w:after="80" w:before="0"/>
      </w:pPr>
      <w:r>
        <w:rPr>
          <w:rFonts w:ascii="Arial" w:cs="Arial" w:eastAsia="Arial" w:hAnsi="Arial"/>
          <w:b/>
          <w:bCs/>
          <w:color w:val="C8B87A"/>
          <w:sz w:val="26"/>
          <w:szCs w:val="26"/>
        </w:rPr>
        <w:t xml:space="preserve">  CASE 2</w:t>
      </w:r>
    </w:p>
    <w:p>
      <w:pPr>
        <w:shd w:fill="1a1a2e" w:val="clear"/>
        <w:spacing w:after="0" w:before="0"/>
      </w:pPr>
      <w:r>
        <w:rPr>
          <w:rFonts w:ascii="Arial" w:cs="Arial" w:eastAsia="Arial" w:hAnsi="Arial"/>
          <w:b/>
          <w:bCs/>
          <w:color w:val="FFFFFF"/>
          <w:sz w:val="38"/>
          <w:szCs w:val="38"/>
        </w:rPr>
        <w:t xml:space="preserve">  Therac-25 Radiation Overdoses</w:t>
      </w:r>
    </w:p>
    <w:p>
      <w:pPr>
        <w:shd w:fill="1a1a2e" w:val="clear"/>
        <w:spacing w:after="200" w:before="0"/>
      </w:pPr>
      <w:r>
        <w:rPr>
          <w:rFonts w:ascii="Arial" w:cs="Arial" w:eastAsia="Arial" w:hAnsi="Arial"/>
          <w:color w:val="9090B0"/>
          <w:sz w:val="22"/>
          <w:szCs w:val="22"/>
        </w:rPr>
        <w:t xml:space="preserve">  AECL / Four hospitals — 1985–1987</w:t>
      </w:r>
    </w:p>
    <w:p>
      <w:pPr>
        <w:spacing w:after="0" w:before="80"/>
      </w:pPr>
    </w:p>
    <w:p>
      <w:pPr>
        <w:pStyle w:val="Heading2"/>
        <w:spacing w:after="140" w:before="320"/>
      </w:pPr>
      <w:r>
        <w:rPr>
          <w:rFonts w:ascii="Arial" w:cs="Arial" w:eastAsia="Arial" w:hAnsi="Arial"/>
          <w:b/>
          <w:bCs/>
          <w:color w:val="2d3561"/>
          <w:sz w:val="28"/>
          <w:szCs w:val="28"/>
        </w:rPr>
        <w:t xml:space="preserve">Background</w:t>
      </w:r>
    </w:p>
    <w:p>
      <w:pPr>
        <w:spacing w:after="80" w:before="80"/>
      </w:pPr>
      <w:r>
        <w:rPr>
          <w:rFonts w:ascii="Arial" w:cs="Arial" w:eastAsia="Arial" w:hAnsi="Arial"/>
          <w:sz w:val="21"/>
          <w:szCs w:val="21"/>
        </w:rPr>
        <w:t xml:space="preserve">Between 1985 and 1987, AECL's Therac-25 radiation therapy machine caused at least six documented radiation overdoses at four independent hospitals in the United States and Canada. Three patients died. The cause was a race condition in the software: when an operator typed quickly through the setup sequence, the machine could enter a state where the electron beam fired at full power without the physical beam-spreading hardware in place — delivering 100x the intended dose.</w:t>
      </w:r>
    </w:p>
    <w:p>
      <w:pPr>
        <w:spacing w:after="80" w:before="80"/>
      </w:pPr>
      <w:r>
        <w:rPr>
          <w:rFonts w:ascii="Arial" w:cs="Arial" w:eastAsia="Arial" w:hAnsi="Arial"/>
          <w:sz w:val="21"/>
          <w:szCs w:val="21"/>
        </w:rPr>
        <w:t xml:space="preserve">Each hospital reported one or two incidents. Individually, each report looked like operator error or patient sensitivity. AECL received the reports but treated each one as an isolated case. There was no mechanism to aggregate signals across independent hospital sites.</w:t>
      </w:r>
    </w:p>
    <w:p>
      <w:pPr>
        <w:spacing w:after="0" w:before="80"/>
      </w:pPr>
    </w:p>
    <w:p>
      <w:pPr>
        <w:pBdr>
          <w:left w:val="single" w:color="C8B87A" w:sz="12" w:space="2"/>
        </w:pBdr>
        <w:shd w:fill="F5F0DC" w:val="clear"/>
        <w:spacing w:after="120" w:before="120"/>
        <w:ind w:left="240"/>
      </w:pPr>
      <w:r>
        <w:rPr>
          <w:rFonts w:ascii="Arial" w:cs="Arial" w:eastAsia="Arial" w:hAnsi="Arial"/>
          <w:i/>
          <w:iCs/>
          <w:color w:val="2d2d2d"/>
          <w:sz w:val="20"/>
          <w:szCs w:val="20"/>
        </w:rPr>
        <w:t xml:space="preserve">Why CIS: This case is the canonical Weak Signal Preservation + Cross-Domain HCL case. Each individual hospital signal is sub-threshold on its own — one unusual radiation incident at one facility does not constitute a confirmed pattern. But four independent hospitals reporting structurally similar incidents, with the same machine, within the same 18-month window, is not coincidence. CIS would have connected these as a Hidden Common Link.</w:t>
      </w:r>
    </w:p>
    <w:p>
      <w:pPr>
        <w:spacing w:after="0" w:before="80"/>
      </w:pPr>
    </w:p>
    <w:p>
      <w:pPr>
        <w:spacing w:after="80" w:before="80"/>
      </w:pPr>
      <w:r>
        <w:rPr>
          <w:rFonts w:ascii="Arial" w:cs="Arial" w:eastAsia="Arial" w:hAnsi="Arial"/>
          <w:b/>
          <w:bCs/>
          <w:sz w:val="21"/>
          <w:szCs w:val="21"/>
        </w:rPr>
        <w:t xml:space="preserve">Features this case exercises:</w:t>
      </w:r>
      <w:r>
        <w:rPr>
          <w:rFonts w:ascii="Arial" w:cs="Arial" w:eastAsia="Arial" w:hAnsi="Arial"/>
          <w:sz w:val="21"/>
          <w:szCs w:val="21"/>
        </w:rPr>
        <w:t xml:space="preserve"> Sub-threshold signal retention (WSP), LP-2 (no expiry within minimum retention), LP-5 (aggregate assessment before expiry), LP-3 (cross-domain boundary — hospital reports not connected without independence declaration), HCL hypothesis across four independent domains, SI_CLUSTER within a single hospital domain, PATTERN from temporal accumulation, RC-3 contradiction resolution (operator error vs software defect).</w:t>
      </w:r>
    </w:p>
    <w:p>
      <w:pPr>
        <w:spacing w:after="0" w:before="160"/>
      </w:pPr>
    </w:p>
    <w:p>
      <w:pPr>
        <w:pStyle w:val="Heading2"/>
        <w:spacing w:after="140" w:before="320"/>
      </w:pPr>
      <w:r>
        <w:rPr>
          <w:rFonts w:ascii="Arial" w:cs="Arial" w:eastAsia="Arial" w:hAnsi="Arial"/>
          <w:b/>
          <w:bCs/>
          <w:color w:val="2d3561"/>
          <w:sz w:val="28"/>
          <w:szCs w:val="28"/>
        </w:rPr>
        <w:t xml:space="preserve">Step 1 — Create the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Field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Entry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Case title:</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Therac-25 Radiation Overdose Investigation</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What to expect:</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Empty dashboard. You will create four domains — one per hospital.</w:t>
            </w:r>
          </w:p>
        </w:tc>
      </w:tr>
    </w:tbl>
    <w:p>
      <w:pPr>
        <w:spacing w:after="0" w:before="160"/>
      </w:pPr>
    </w:p>
    <w:p>
      <w:pPr>
        <w:pStyle w:val="Heading2"/>
        <w:spacing w:after="140" w:before="320"/>
      </w:pPr>
      <w:r>
        <w:rPr>
          <w:rFonts w:ascii="Arial" w:cs="Arial" w:eastAsia="Arial" w:hAnsi="Arial"/>
          <w:b/>
          <w:bCs/>
          <w:color w:val="2d3561"/>
          <w:sz w:val="28"/>
          <w:szCs w:val="28"/>
        </w:rPr>
        <w:t xml:space="preserve">Step 2 — Create Domains and Declare Independence</w:t>
      </w:r>
    </w:p>
    <w:p>
      <w:pPr>
        <w:spacing w:after="80" w:before="80"/>
      </w:pPr>
      <w:r>
        <w:rPr>
          <w:rFonts w:ascii="Arial" w:cs="Arial" w:eastAsia="Arial" w:hAnsi="Arial"/>
          <w:sz w:val="21"/>
          <w:szCs w:val="21"/>
        </w:rPr>
        <w:t xml:space="preserve">Each hospital is an independent domain. They are in different cities, different countries, different medical teams. They have no shared data pipeline. Declaring them independent is what allows CIS to run cross-domain analysis across the four sites.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Action</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What to enter / why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Domain 1:</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Yakima Valley Memorial Hospital — Yakima, WA. Radiation therapy unit. First incident reported June 1985.</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Domain 2:</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East Texas Cancer Center — Tyler, TX. Radiation therapy unit. Incidents reported March 1986 and January 1987.</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Domain 3:</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Ontario Cancer Foundation — Hamilton, ON. Radiation therapy unit. Incident reported July 1986.</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Domain 4:</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Kennestone Regional Oncology — Marietta, GA. Incident reported 1987.</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Independence declarations:</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Declare all six domain pairs as INDEPENDENT. Basis: separate hospitals in separate states/countries, no shared staff, no shared data systems, all using the same Therac-25 hardware from the same manufacturer (AECL) — which is precisely what makes them cross-domain comparable. The shared input is the AECL machine and codebase.</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Why this step is critical:</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With four independent domains, CIS can detect that the same structural anomaly pattern is appearing across all four. Without independence declarations, LP-3 fires for every cross-domain signal.</w:t>
            </w:r>
          </w:p>
        </w:tc>
      </w:tr>
    </w:tbl>
    <w:p>
      <w:pPr>
        <w:spacing w:after="0" w:before="160"/>
      </w:pPr>
    </w:p>
    <w:p>
      <w:pPr>
        <w:pStyle w:val="Heading2"/>
        <w:spacing w:after="140" w:before="320"/>
      </w:pPr>
      <w:r>
        <w:rPr>
          <w:rFonts w:ascii="Arial" w:cs="Arial" w:eastAsia="Arial" w:hAnsi="Arial"/>
          <w:b/>
          <w:bCs/>
          <w:color w:val="2d3561"/>
          <w:sz w:val="28"/>
          <w:szCs w:val="28"/>
        </w:rPr>
        <w:t xml:space="preserve">Step 3 — Enter Signals</w:t>
      </w:r>
    </w:p>
    <w:p>
      <w:pPr>
        <w:spacing w:after="80" w:before="80"/>
      </w:pPr>
      <w:r>
        <w:rPr>
          <w:rFonts w:ascii="Arial" w:cs="Arial" w:eastAsia="Arial" w:hAnsi="Arial"/>
          <w:sz w:val="21"/>
          <w:szCs w:val="21"/>
        </w:rPr>
        <w:t xml:space="preserve">The key to this case is that each individual signal is weak. A single unexplained radiation incident at one hospital looks like an outlier. You will watch CIS retain these signals under WSP (they are individually sub-threshold) and then aggregate them into a pattern that cannot be explained by coincidence.</w:t>
      </w:r>
    </w:p>
    <w:p>
      <w:pPr>
        <w:spacing w:after="0" w:before="80"/>
      </w:pPr>
    </w:p>
    <w:p>
      <w:pPr>
        <w:pBdr>
          <w:left w:val="single" w:color="C8B87A" w:sz="12" w:space="2"/>
        </w:pBdr>
        <w:shd w:fill="F5F0DC" w:val="clear"/>
        <w:spacing w:after="120" w:before="120"/>
        <w:ind w:left="240"/>
      </w:pPr>
      <w:r>
        <w:rPr>
          <w:rFonts w:ascii="Arial" w:cs="Arial" w:eastAsia="Arial" w:hAnsi="Arial"/>
          <w:i/>
          <w:iCs/>
          <w:color w:val="2d2d2d"/>
          <w:sz w:val="20"/>
          <w:szCs w:val="20"/>
        </w:rPr>
        <w:t xml:space="preserve">Observation periods here represent quarters: Period 1 = Q3 1985, Period 2 = Q1 1986, Period 3 = Q2 1986, Period 4 = Q3 1986, Period 5 = Q4 1986, Period 6 = Q1 1987.</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600"/>
        <w:gridCol w:w="3800"/>
        <w:gridCol w:w="31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Domain</w:t>
            </w:r>
          </w:p>
        </w:tc>
        <w:tc>
          <w:tcPr>
            <w:tcW w:type="dxa" w:w="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Period</w:t>
            </w:r>
          </w:p>
        </w:tc>
        <w:tc>
          <w:tcPr>
            <w:tcW w:type="dxa" w:w="3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What to enter in the Content field</w:t>
            </w:r>
          </w:p>
        </w:tc>
        <w:tc>
          <w:tcPr>
            <w:tcW w:type="dxa" w:w="3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Why — what this tests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Yakima Valley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Patient reported unusual burning sensation and skin redness following Therac-25 treatment session. Dose parameters appeared normal on operator console. Incident attributed to possible patient skin sensitivity. No machine fault log generated.</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This is the first sub-threshold signal. Individually: one unusual patient reaction at one hospital is not a pattern. CIS should score this SI above 0.25 (structural incongruence: machine console shows normal, patient shows overdose symptoms) but significance below 0.55. It should be RETAINED per WSP, not discarded. Check that it is NOT expired after period 1.</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2</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Yakima Valley</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1</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Therac-25 operator console displayed 'MALFUNCTION 54' error during treatment setup for a different patient. Operator was able to proceed with treatment after pressing return several times. Error not documented in maintenance log. Patient outcome not recorded in this report.</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Second signal from the same domain, same period. Structurally incongruent: 'MALFUNCTION 54' appearing but operator can proceed by pressing return — this is the race condition symptom. CIS should flag this as part of a potential SI_CLUSTER within Yakima Valley. Note: this signal alone doesn't tell you what MALFUNCTION 54 means.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East Texas Cancer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Patient received Therac-25 treatment. Post-treatment: severe radiation burns to upper back and left shoulder. Patient presented with acute radiation syndrome symptoms. Operator reported console showed normal dose delivery. Machine did not record fault.</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High SI — the gap between 'console shows normal' and 'patient shows acute radiation syndrome' is extreme structural incongruence. This is a different hospital from Signal 1 but a structurally similar pattern: machine reports nominal, patient suffers overdose. Watch for cross-domain connection to Signals 1 and 2.</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4</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Ontario Cancer Foundation</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3</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Therac-25 treatment session: patient received what was later estimated to be 17,000 rads to the hip (therapeutic dose was 200 rads). Operator console showed 'DONE' without error. Patient subsequently developed radiation necrosis. Incident reported to AECL.</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Very high SI — 17,000 vs 200 rads is an 85x overdose. Console showed DONE with no fault. This is the same structural signature as Signals 1 and 3 but at a much more extreme dose level. A fourth cross-domain connection should now be possible when you get to Kennestone. Watch plausibility rise.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East Texas Cancer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AECL response to East Texas incident report (Signal 3): manufacturer reviewed software logs and concluded operator error likely responsible. No software defect identified. Machine returned to service.</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This is a CONTRADICTION signal. AECL is asserting operator error. But Signal 3 (patient data) and Signal 4 (Ontario console showed DONE with no fault) are both inconsistent with simple operator error. Register this as a contradiction with Signal 3. Resolution will be RC-2 (falsification — operator error predicts a different machine log pattern than what was observed) or RC-3 (domain expert with direct machine access).</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6</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East Texas Cancer</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4</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Second incident at East Texas Cancer Center. Patient received massive radiation overdose during Therac-25 treatment. Patient died from radiation injuries three weeks post-treatment. Operator identified that typing quickly through the setup sequence preceded the incident.</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Very high SI, high significance. This is Signal 3's hospital — a second incident. Now you have: Yakima (2 signals), East Texas (2 signals), Ontario (1 signal). The operator observation about 'typing quickly' is the first direct pointer to the race condition mechanism. Watch what happens to the HCL hypothesis plausibility.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Yakima Valley</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Retrospective review of Yakima Valley Therac-25 logs: MALFUNCTION 54 error appeared in operator logs 17 times over 9 months. Each time, operators resumed treatment per on-site protocol. No patient injury reported in Yakima log, but two earlier patients reported unusual skin reactions that were attributed to other causes.</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High SI — 17 occurrences of MALFUNCTION 54 that were each individually attributed to operator error or ignored. This is LP-6 in action in the real world: significance of each individual error decayed because each one was isolated. Collectively they are a strong signal. CIS should flag this as SI_CLUSTER within Yakima Valley domain.</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8</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Kennestone Regional</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5</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Therac-25 patient received radiation overdose of approximately 25,000 rads (therapeutic dose: 200 rads). Patient's shoulder and neck later required amputation. Console showed normal treatment completion. Operator had been typing rapidly through setup sequence.</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Very high SI. Fourth independent hospital, same structural signature: console shows normal, patient suffers extreme overdose, operator was typing quickly. By this point, CIS should have all four hospitals connected. The HCL hypothesis should be near or above confirmation threshold. The plausibility should be very high.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East Texas Cancer</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Software engineer retained for independent review of Therac-25 source code identified race condition in treatment setup sequence. When operator types faster than a specific timing threshold, beam-spreading hardware can be bypassed while full electron beam power is active. Error is in shared AECL codebase deployed identically to all Therac-25 units.</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This is the resolution signal. RC-1 for the contradiction: the source (AECL's initial operator error diagnosis) is confirmed incorrect — a race condition in the software is the actual cause. This also provides the resolution basis for the HCL hypothesis: the shared structural cause is the AECL Therac-25 race condition, identical across all deployed units.</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10</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Ontario Cancer Foundation</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6</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FDA recalls all Therac-25 units. Retrospective analysis confirms all overdose incidents share the race condition signature: rapid operator entry through setup, MALFUNCTION errors that allowed treatment to proceed, console showing normal completion while beam operated at full power without scatter foil.</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Final signal. This is systemic confirmation. All signals from all four independent domains are now explained by the same shared structural cause. HCL hypothesis should confirm. PATTERN hypothesis across periods 1–5 should also confirm.</w:t>
            </w:r>
          </w:p>
        </w:tc>
      </w:tr>
    </w:tbl>
    <w:p>
      <w:pPr>
        <w:spacing w:after="0" w:before="200"/>
      </w:pPr>
    </w:p>
    <w:p>
      <w:pPr>
        <w:pStyle w:val="Heading2"/>
        <w:spacing w:after="140" w:before="320"/>
      </w:pPr>
      <w:r>
        <w:rPr>
          <w:rFonts w:ascii="Arial" w:cs="Arial" w:eastAsia="Arial" w:hAnsi="Arial"/>
          <w:b/>
          <w:bCs/>
          <w:color w:val="2d3561"/>
          <w:sz w:val="28"/>
          <w:szCs w:val="28"/>
        </w:rPr>
        <w:t xml:space="preserve">Step 4 — Register the Contradiction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Field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What to enter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Signal A:</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 5 — AECL response: operator error likely responsible</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Signal B:</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Signal 3 — East Texas patient: console showed normal, patient received acute radiation syndrome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Description:</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AECL asserts the East Texas incident was caused by operator error. The East Texas patient record shows the operator console displayed normal dose delivery with no fault flags, and the patient received doses consistent with full unscattered beam exposure. If operator error were the cause, the machine logs would show a different pattern — dose override, parameter entry error, or fault acknowledgement. None of these are present.</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Resolution type:</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RC-2 — Falsification. Operator error as cause predicts: (a) fault flag in log, or (b) parameter entry anomaly, or (c) dose override acknowledgement. None of these conditions are present in the machine logs. AECL's explanation is falsified by the absence of the predicted observable conditions.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Resolved signal:</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 5 (AECL operator error claim) is resolved as falsified. Signal 3 (patient data) is retained as the accepted account.</w:t>
            </w:r>
          </w:p>
        </w:tc>
      </w:tr>
    </w:tbl>
    <w:p>
      <w:pPr>
        <w:spacing w:after="0" w:before="200"/>
      </w:pPr>
    </w:p>
    <w:p>
      <w:pPr>
        <w:pStyle w:val="Heading2"/>
        <w:spacing w:after="140" w:before="320"/>
      </w:pPr>
      <w:r>
        <w:rPr>
          <w:rFonts w:ascii="Arial" w:cs="Arial" w:eastAsia="Arial" w:hAnsi="Arial"/>
          <w:b/>
          <w:bCs/>
          <w:color w:val="2d3561"/>
          <w:sz w:val="28"/>
          <w:szCs w:val="28"/>
        </w:rPr>
        <w:t xml:space="preserve">Step 5 — What the System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Expected behaviour</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How to verify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SI_CLUSTER hypothesis within Yakima Valley</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Signals 1, 2, and 7 are all from Yakima Valley domain. Multiple SI-bearing signals from one domain within a short period should trigger a SI_CLUSTER hypothesis: 'Multiple structurally incongruent signals from Yakima Valley Memorial Hospital suggest domain-internal structural driver.'</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Cross-domain connections: all four hospitals</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By Signal 8, signals from Yakima (Signals 1, 7), East Texas (Signals 3, 6), Ontario (Signal 4), and Kennestone (Signal 8) should all be CONNECTED — same mismatch type (console shows normal, patient shows overdose), same dimension (treatment dose delivery), consistent temporal pattern, consistent direction (over-delivery).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HCL hypothesis auto-generated</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After connections from three or more independent domains accumulate, SHG should generate: 'Signals from four independent hospital domains show structural correspondence in radiation dose delivery dimension. Candidate shared structural cause: common component in the shared Therac-25 system deployed at all sites.' Type = HCL.</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PATTERN hypothesis across periods 1–5</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As sub-threshold signals from period 1 accumulate alongside higher-significance signals from periods 2–5, a PATTERN hypothesis should be generated or the aggregate assessment should trigger re-evaluation of the period 1 signals.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WSP: period 1 signals not expired</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Signals 1 and 2 (period 1, Yakima Valley) should still be in the pool at period 5. They cannot expire during minimum retention (LP-2) and should not expire at all because the aggregate pattern makes them structurally significant (LP-5).</w:t>
            </w:r>
          </w:p>
        </w:tc>
      </w:tr>
    </w:tbl>
    <w:p>
      <w:pPr>
        <w:spacing w:after="0" w:before="200"/>
      </w:pPr>
    </w:p>
    <w:p>
      <w:pPr>
        <w:pStyle w:val="Heading2"/>
        <w:spacing w:after="140" w:before="320"/>
      </w:pPr>
      <w:r>
        <w:rPr>
          <w:rFonts w:ascii="Arial" w:cs="Arial" w:eastAsia="Arial" w:hAnsi="Arial"/>
          <w:b/>
          <w:bCs/>
          <w:color w:val="2d3561"/>
          <w:sz w:val="28"/>
          <w:szCs w:val="28"/>
        </w:rPr>
        <w:t xml:space="preserve">Step 6 — Add Evidence and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Evidence to add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Content and reason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HCL hypothesis — SUPPORTING, weight 0.95:</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Independent software audit identified race condition in shared AECL Therac-25 codebase. Race condition reproducible in laboratory: rapid key entry through setup causes beam-spreading hardware bypass while full beam fires. Same code deployed identically across all units at all four hospitals.</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HCL hypothesis — SUPPORTING, weight 0.85:</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All four overdose incidents share: (1) rapid operator key entry, (2) MALFUNCTION error that allowed treatment to proceed, (3) console displaying normal completion, (4) patient receiving doses 17–125x therapeutic level. This structural pattern is inconsistent with independent operator errors at four separate facilities.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HCL hypothesis — CONTRADICTING, weight 0.20:</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AECL initial position: the software passed all AECL testing protocols before deployment. No race condition was identified in pre-market testing. — Why you add this: It's true. The testing didn't catch it. This is weak contradicting evidence (low weight) because test-pass does not disprove the race condition; it just explains why it wasn't caught earlier.</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Confirm the hypothesis:</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Plausibility should be &gt;= 0.85 after the two supporting evidence items. Confirm with basis: Race condition confirmed by independent software audit. Shared AECL codebase common cause across all four hospital domains.</w:t>
            </w:r>
          </w:p>
        </w:tc>
      </w:tr>
    </w:tbl>
    <w:p>
      <w:pPr>
        <w:spacing w:after="0" w:before="200"/>
      </w:pPr>
    </w:p>
    <w:p>
      <w:pPr>
        <w:pStyle w:val="Heading2"/>
        <w:spacing w:after="140" w:before="320"/>
      </w:pPr>
      <w:r>
        <w:rPr>
          <w:rFonts w:ascii="Arial" w:cs="Arial" w:eastAsia="Arial" w:hAnsi="Arial"/>
          <w:b/>
          <w:bCs/>
          <w:color w:val="2d3561"/>
          <w:sz w:val="28"/>
          <w:szCs w:val="28"/>
        </w:rPr>
        <w:t xml:space="preserve">Step 7 — Briefing Check</w:t>
      </w:r>
    </w:p>
    <w:p>
      <w:pPr>
        <w:spacing w:after="80" w:before="80"/>
      </w:pPr>
      <w:r>
        <w:rPr>
          <w:rFonts w:ascii="Arial" w:cs="Arial" w:eastAsia="Arial" w:hAnsi="Arial"/>
          <w:sz w:val="21"/>
          <w:szCs w:val="21"/>
        </w:rPr>
        <w:t xml:space="preserve">Generate a briefing. It should show:</w:t>
      </w:r>
    </w:p>
    <w:p>
      <w:pPr>
        <w:pStyle w:val="ListParagraph"/>
        <w:numPr>
          <w:ilvl w:val="0"/>
          <w:numId w:val="2"/>
        </w:numPr>
        <w:spacing w:after="40" w:before="40"/>
      </w:pPr>
      <w:r>
        <w:rPr>
          <w:rFonts w:ascii="Arial" w:cs="Arial" w:eastAsia="Arial" w:hAnsi="Arial"/>
          <w:sz w:val="21"/>
          <w:szCs w:val="21"/>
        </w:rPr>
        <w:t xml:space="preserve">Four domains with cross-domain connections across all pairs</w:t>
      </w:r>
    </w:p>
    <w:p>
      <w:pPr>
        <w:pStyle w:val="ListParagraph"/>
        <w:numPr>
          <w:ilvl w:val="0"/>
          <w:numId w:val="2"/>
        </w:numPr>
        <w:spacing w:after="40" w:before="40"/>
      </w:pPr>
      <w:r>
        <w:rPr>
          <w:rFonts w:ascii="Arial" w:cs="Arial" w:eastAsia="Arial" w:hAnsi="Arial"/>
          <w:sz w:val="21"/>
          <w:szCs w:val="21"/>
        </w:rPr>
        <w:t xml:space="preserve">HCL hypothesis CONFIRMED with plausibility &gt;= 0.85</w:t>
      </w:r>
    </w:p>
    <w:p>
      <w:pPr>
        <w:pStyle w:val="ListParagraph"/>
        <w:numPr>
          <w:ilvl w:val="0"/>
          <w:numId w:val="2"/>
        </w:numPr>
        <w:spacing w:after="40" w:before="40"/>
      </w:pPr>
      <w:r>
        <w:rPr>
          <w:rFonts w:ascii="Arial" w:cs="Arial" w:eastAsia="Arial" w:hAnsi="Arial"/>
          <w:sz w:val="21"/>
          <w:szCs w:val="21"/>
        </w:rPr>
        <w:t xml:space="preserve">SI_CLUSTER hypothesis from Yakima Valley (3 signals)</w:t>
      </w:r>
    </w:p>
    <w:p>
      <w:pPr>
        <w:pStyle w:val="ListParagraph"/>
        <w:numPr>
          <w:ilvl w:val="0"/>
          <w:numId w:val="2"/>
        </w:numPr>
        <w:spacing w:after="40" w:before="40"/>
      </w:pPr>
      <w:r>
        <w:rPr>
          <w:rFonts w:ascii="Arial" w:cs="Arial" w:eastAsia="Arial" w:hAnsi="Arial"/>
          <w:sz w:val="21"/>
          <w:szCs w:val="21"/>
        </w:rPr>
        <w:t xml:space="preserve">Contradiction (Signal 5 vs Signal 3) RESOLVED via RC-2</w:t>
      </w:r>
    </w:p>
    <w:p>
      <w:pPr>
        <w:pStyle w:val="ListParagraph"/>
        <w:numPr>
          <w:ilvl w:val="0"/>
          <w:numId w:val="2"/>
        </w:numPr>
        <w:spacing w:after="40" w:before="40"/>
      </w:pPr>
      <w:r>
        <w:rPr>
          <w:rFonts w:ascii="Arial" w:cs="Arial" w:eastAsia="Arial" w:hAnsi="Arial"/>
          <w:sz w:val="21"/>
          <w:szCs w:val="21"/>
        </w:rPr>
        <w:t xml:space="preserve">Pool Status: majority of signals in CONNECTED or ASSESSED status</w:t>
      </w:r>
    </w:p>
    <w:p>
      <w:pPr>
        <w:pStyle w:val="ListParagraph"/>
        <w:numPr>
          <w:ilvl w:val="0"/>
          <w:numId w:val="2"/>
        </w:numPr>
        <w:spacing w:after="40" w:before="40"/>
      </w:pPr>
      <w:r>
        <w:rPr>
          <w:rFonts w:ascii="Arial" w:cs="Arial" w:eastAsia="Arial" w:hAnsi="Arial"/>
          <w:sz w:val="21"/>
          <w:szCs w:val="21"/>
        </w:rPr>
        <w:t xml:space="preserve">Open Questions: empty or containing only the period 1 Yakima signals pending formal assignment</w:t>
      </w:r>
    </w:p>
    <w:p>
      <w:pPr>
        <w:pStyle w:val="ListParagraph"/>
        <w:numPr>
          <w:ilvl w:val="0"/>
          <w:numId w:val="2"/>
        </w:numPr>
        <w:spacing w:after="40" w:before="40"/>
      </w:pPr>
      <w:r>
        <w:rPr>
          <w:rFonts w:ascii="Arial" w:cs="Arial" w:eastAsia="Arial" w:hAnsi="Arial"/>
          <w:sz w:val="21"/>
          <w:szCs w:val="21"/>
        </w:rPr>
        <w:t xml:space="preserve">LP Flags: LP-5 flag should appear if the period 1 sub-threshold signals were aggregated before expiry consideration</w:t>
      </w:r>
    </w:p>
    <w:p>
      <w:r>
        <w:br w:type="page"/>
      </w:r>
    </w:p>
    <w:p>
      <w:pPr>
        <w:shd w:fill="1a1a2e" w:val="clear"/>
        <w:spacing w:after="80" w:before="0"/>
      </w:pPr>
      <w:r>
        <w:rPr>
          <w:rFonts w:ascii="Arial" w:cs="Arial" w:eastAsia="Arial" w:hAnsi="Arial"/>
          <w:b/>
          <w:bCs/>
          <w:color w:val="C8B87A"/>
          <w:sz w:val="26"/>
          <w:szCs w:val="26"/>
        </w:rPr>
        <w:t xml:space="preserve">  CASE 3</w:t>
      </w:r>
    </w:p>
    <w:p>
      <w:pPr>
        <w:shd w:fill="1a1a2e" w:val="clear"/>
        <w:spacing w:after="0" w:before="0"/>
      </w:pPr>
      <w:r>
        <w:rPr>
          <w:rFonts w:ascii="Arial" w:cs="Arial" w:eastAsia="Arial" w:hAnsi="Arial"/>
          <w:b/>
          <w:bCs/>
          <w:color w:val="FFFFFF"/>
          <w:sz w:val="38"/>
          <w:szCs w:val="38"/>
        </w:rPr>
        <w:t xml:space="preserve">  Enron Corporation</w:t>
      </w:r>
    </w:p>
    <w:p>
      <w:pPr>
        <w:shd w:fill="1a1a2e" w:val="clear"/>
        <w:spacing w:after="200" w:before="0"/>
      </w:pPr>
      <w:r>
        <w:rPr>
          <w:rFonts w:ascii="Arial" w:cs="Arial" w:eastAsia="Arial" w:hAnsi="Arial"/>
          <w:color w:val="9090B0"/>
          <w:sz w:val="22"/>
          <w:szCs w:val="22"/>
        </w:rPr>
        <w:t xml:space="preserve">  Houston, TX — 1997–2001</w:t>
      </w:r>
    </w:p>
    <w:p>
      <w:pPr>
        <w:spacing w:after="0" w:before="80"/>
      </w:pPr>
    </w:p>
    <w:p>
      <w:pPr>
        <w:pStyle w:val="Heading2"/>
        <w:spacing w:after="140" w:before="320"/>
      </w:pPr>
      <w:r>
        <w:rPr>
          <w:rFonts w:ascii="Arial" w:cs="Arial" w:eastAsia="Arial" w:hAnsi="Arial"/>
          <w:b/>
          <w:bCs/>
          <w:color w:val="2d3561"/>
          <w:sz w:val="28"/>
          <w:szCs w:val="28"/>
        </w:rPr>
        <w:t xml:space="preserve">Background</w:t>
      </w:r>
    </w:p>
    <w:p>
      <w:pPr>
        <w:spacing w:after="80" w:before="80"/>
      </w:pPr>
      <w:r>
        <w:rPr>
          <w:rFonts w:ascii="Arial" w:cs="Arial" w:eastAsia="Arial" w:hAnsi="Arial"/>
          <w:sz w:val="21"/>
          <w:szCs w:val="21"/>
        </w:rPr>
        <w:t xml:space="preserve">Enron was the seventh-largest company in America by revenue when it collapsed in December 2001. For four years prior, it had systematically moved debt off its balance sheet into Special Purpose Entities (SPEs) — shell companies designed to absorb losses and liabilities while Enron's reported financials showed continuous growth. The signals were present across multiple independent reporting domains: the public financial statements, the SEC filings, the internal trading desk reports, and the employee stock and retirement accounts. Each domain told a partially true story. Together they described load displacement on a massive scale.</w:t>
      </w:r>
    </w:p>
    <w:p>
      <w:pPr>
        <w:spacing w:after="0" w:before="80"/>
      </w:pPr>
    </w:p>
    <w:p>
      <w:pPr>
        <w:pBdr>
          <w:left w:val="single" w:color="C8B87A" w:sz="12" w:space="2"/>
        </w:pBdr>
        <w:shd w:fill="F5F0DC" w:val="clear"/>
        <w:spacing w:after="120" w:before="120"/>
        <w:ind w:left="240"/>
      </w:pPr>
      <w:r>
        <w:rPr>
          <w:rFonts w:ascii="Arial" w:cs="Arial" w:eastAsia="Arial" w:hAnsi="Arial"/>
          <w:i/>
          <w:iCs/>
          <w:color w:val="2d2d2d"/>
          <w:sz w:val="20"/>
          <w:szCs w:val="20"/>
        </w:rPr>
        <w:t xml:space="preserve">Why CIS: Enron is the canonical Load Displacement + Fragility Accumulation case. Enron's core business (pipeline operations) was generating stable returns — that was the Source. Debt and losses were being systematically exported to SPEs — those were the Recipients. The Source stayed stable. The Recipients were accumulating fragility. CIS is designed to detect this pattern before the Recipients fail and pull the Source down with them.</w:t>
      </w:r>
    </w:p>
    <w:p>
      <w:pPr>
        <w:spacing w:after="0" w:before="80"/>
      </w:pPr>
    </w:p>
    <w:p>
      <w:pPr>
        <w:spacing w:after="80" w:before="80"/>
      </w:pPr>
      <w:r>
        <w:rPr>
          <w:rFonts w:ascii="Arial" w:cs="Arial" w:eastAsia="Arial" w:hAnsi="Arial"/>
          <w:b/>
          <w:bCs/>
          <w:sz w:val="21"/>
          <w:szCs w:val="21"/>
        </w:rPr>
        <w:t xml:space="preserve">Features this case exercises:</w:t>
      </w:r>
      <w:r>
        <w:rPr>
          <w:rFonts w:ascii="Arial" w:cs="Arial" w:eastAsia="Arial" w:hAnsi="Arial"/>
          <w:sz w:val="21"/>
          <w:szCs w:val="21"/>
        </w:rPr>
        <w:t xml:space="preserve"> Load displacement between independent financial reporting domains, fragility accumulation (LP-5 sub-threshold aggregation), admissibility boundary modification (accounting rule changes that determined what could be excluded from Enron balance sheet), PATTERN hypothesis across multiple periods, contradiction handling (public statements vs internal memos), LP-6 (significance not decayed — early signals treated as noise), LP-7 (signals not discarded on analyst coverage change).</w:t>
      </w:r>
    </w:p>
    <w:p>
      <w:pPr>
        <w:spacing w:after="0" w:before="160"/>
      </w:pPr>
    </w:p>
    <w:p>
      <w:pPr>
        <w:pStyle w:val="Heading2"/>
        <w:spacing w:after="140" w:before="320"/>
      </w:pPr>
      <w:r>
        <w:rPr>
          <w:rFonts w:ascii="Arial" w:cs="Arial" w:eastAsia="Arial" w:hAnsi="Arial"/>
          <w:b/>
          <w:bCs/>
          <w:color w:val="2d3561"/>
          <w:sz w:val="28"/>
          <w:szCs w:val="28"/>
        </w:rPr>
        <w:t xml:space="preserve">Step 1 — Create the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Field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Entry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Case title:</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Enron Corporation — Financial Continuity Investigation</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What to expect:</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Empty dashboard. You will create four domains reflecting independent financial reporting and oversight channels.</w:t>
            </w:r>
          </w:p>
        </w:tc>
      </w:tr>
    </w:tbl>
    <w:p>
      <w:pPr>
        <w:spacing w:after="0" w:before="160"/>
      </w:pPr>
    </w:p>
    <w:p>
      <w:pPr>
        <w:pStyle w:val="Heading2"/>
        <w:spacing w:after="140" w:before="320"/>
      </w:pPr>
      <w:r>
        <w:rPr>
          <w:rFonts w:ascii="Arial" w:cs="Arial" w:eastAsia="Arial" w:hAnsi="Arial"/>
          <w:b/>
          <w:bCs/>
          <w:color w:val="2d3561"/>
          <w:sz w:val="28"/>
          <w:szCs w:val="28"/>
        </w:rPr>
        <w:t xml:space="preserve">Step 2 — Create Domains and Declare Independence</w:t>
      </w:r>
    </w:p>
    <w:p>
      <w:pPr>
        <w:spacing w:after="80" w:before="80"/>
      </w:pPr>
      <w:r>
        <w:rPr>
          <w:rFonts w:ascii="Arial" w:cs="Arial" w:eastAsia="Arial" w:hAnsi="Arial"/>
          <w:sz w:val="21"/>
          <w:szCs w:val="21"/>
        </w:rPr>
        <w:t xml:space="preserve">Enron's information was distributed across domains that had no integrated view of each other. The public financial reports, the SEC filings, the internal trading operations, and the employee retirement accounts were all independently managed.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Action</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What to enter / why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Domain 1:</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Enron Public Financial Statements — Annual reports, quarterly earnings releases, press statements. What Enron told the public and markets.</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Domain 2:</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SEC Regulatory Filings — 10-K and 10-Q filings. Contains footnotes and disclosures not in the press releases. Different audience from the public statements.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Domain 3:</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Enron Trading Operations — Internal trading desk P&amp;L reports, energy contract positions, mark-to-market valuations. Not publicly available but subject to internal audit.</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Domain 4:</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Employee Retirement Accounts (401k) — Employee stock holdings, lock-up periods, insider stock sale records. Structurally independent source: employee financial behaviour is a revealed preference — people act on what they actually believe about the company.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Independence declarations:</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Declare all six pairs INDEPENDENT. Basis: each domain was produced by a different group (investor relations, legal/compliance, trading operations, HR/benefits), served a different audience, and was subject to different review processes. No single integrated view existed across all four.</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Why independence matters here:</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The load displacement is only visible across domains. Enron's public statements showed stability. The SPE footnotes in SEC filings showed liability accumulation. The trading desk showed mark-to-market profit inflation. The executive stock sales showed insiders getting out. None of these domains alone tells the full story.</w:t>
            </w:r>
          </w:p>
        </w:tc>
      </w:tr>
    </w:tbl>
    <w:p>
      <w:pPr>
        <w:spacing w:after="0" w:before="160"/>
      </w:pPr>
    </w:p>
    <w:p>
      <w:pPr>
        <w:pStyle w:val="Heading2"/>
        <w:spacing w:after="140" w:before="320"/>
      </w:pPr>
      <w:r>
        <w:rPr>
          <w:rFonts w:ascii="Arial" w:cs="Arial" w:eastAsia="Arial" w:hAnsi="Arial"/>
          <w:b/>
          <w:bCs/>
          <w:color w:val="2d3561"/>
          <w:sz w:val="28"/>
          <w:szCs w:val="28"/>
        </w:rPr>
        <w:t xml:space="preserve">Step 3 — Enter Signals</w:t>
      </w:r>
    </w:p>
    <w:p>
      <w:pPr>
        <w:spacing w:after="80" w:before="80"/>
      </w:pPr>
      <w:r>
        <w:rPr>
          <w:rFonts w:ascii="Arial" w:cs="Arial" w:eastAsia="Arial" w:hAnsi="Arial"/>
          <w:sz w:val="21"/>
          <w:szCs w:val="21"/>
        </w:rPr>
        <w:t xml:space="preserve">Enron's collapse took four years to build. Periods here represent fiscal years: Period 1 = FY1997, Period 2 = FY1998, Period 3 = FY1999, Period 4 = FY2000, Period 5 = Q1–Q3 2001, Period 6 = Q4 2001 (collapse).</w:t>
      </w:r>
    </w:p>
    <w:p>
      <w:pPr>
        <w:spacing w:after="0" w:before="80"/>
      </w:pPr>
    </w:p>
    <w:p>
      <w:pPr>
        <w:pBdr>
          <w:left w:val="single" w:color="C8B87A" w:sz="12" w:space="2"/>
        </w:pBdr>
        <w:shd w:fill="F5F0DC" w:val="clear"/>
        <w:spacing w:after="120" w:before="120"/>
        <w:ind w:left="240"/>
      </w:pPr>
      <w:r>
        <w:rPr>
          <w:rFonts w:ascii="Arial" w:cs="Arial" w:eastAsia="Arial" w:hAnsi="Arial"/>
          <w:i/>
          <w:iCs/>
          <w:color w:val="2d2d2d"/>
          <w:sz w:val="20"/>
          <w:szCs w:val="20"/>
        </w:rPr>
        <w:t xml:space="preserve">You are playing the role of an analyst who has access to all four information domains simultaneously — something no single analyst actually had at the time. CIS is giving you the cross-domain view that was missing.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600"/>
        <w:gridCol w:w="3800"/>
        <w:gridCol w:w="31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Domain</w:t>
            </w:r>
          </w:p>
        </w:tc>
        <w:tc>
          <w:tcPr>
            <w:tcW w:type="dxa" w:w="6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Period</w:t>
            </w:r>
          </w:p>
        </w:tc>
        <w:tc>
          <w:tcPr>
            <w:tcW w:type="dxa" w:w="38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What to enter in the Content field</w:t>
            </w:r>
          </w:p>
        </w:tc>
        <w:tc>
          <w:tcPr>
            <w:tcW w:type="dxa" w:w="3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Why — what this tests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Enron Public Financials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Enron annual report FY1997: revenue $20.3B, net income $105M. Company described as 'the world's leading energy company.' Debt-to-equity ratio 0.63. Report emphasises pipeline business stability and growth in energy trading division.</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Low-medium SI. The numbers look solid at period 1. This establishes your baseline. Watch SI: it should be low. The structural incongruence will appear when you start entering the SEC and trading domain signals and see what the same period looks like from those angles.</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2</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SEC Regulatory Filings</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1</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Enron 10-K FY1997: footnote 8 discloses SPE arrangements — Chewco, JEDI, LJM entities. Total SPE-related liabilities not consolidated on balance sheet: $711M. Footnote states consolidation not required per FAS 140 rules. Partnership managed by Enron CFO Andrew Fastow.</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Medium SI — this is a structural incongruence signal. The public statement (Signal 1) shows a healthy balance sheet. The SEC footnote shows $711M of liabilities that are NOT on that balance sheet, managed by the CFO. The admissibility boundary (FAS 140 rules) is being used to determine what gets excluded. Watch whether CIS scores the SI_DIRECTION dimension high here — the direction of the boundary is away from disclosure.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Enron Trading Operations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Trading desk FY1997 internal review: $1.2B of long-term energy contracts valued on mark-to-market basis. Estimated future value used as current revenue. Contracts span 5–20 year durations. Actual cash not received. Revenue recognition approved by Arthur Andersen.</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High SI — mark-to-market accounting books 20-year contract value today, but cash doesn't arrive for years. The structural incongruence: reported income includes large amounts that have not materialised and may never materialise at those values. This tests SI scoring on rate-of-change dimension: revenue growing fast but cash flow growing slowly.</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4</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Employee Retirement Accounts</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1</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Enron 401k plan: 62% of employee retirement assets held in Enron stock. Annual company stock contribution to 401k: mandatory Enron shares. Employees encouraged to hold Enron stock as 'long-term investment.' CEO Kenneth Lay publicly advises employees to buy Enron stock in all-hands communications.</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Medium SI. High concentration in a single stock for retirement accounts is structurally incongruent with standard diversification practice. Not a smoking gun at period 1 — companies often hold significant employee stock positions. This becomes significant in context of what the executives are doing with their own shares (Signal 11).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Enron Public Financials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Enron FY1998: revenue $31.2B (+54%). Net income $703M (+570%). Debt-to-equity 0.71. Earnings per share growth 28%. Analyst consensus: BUY. Management forecast FY1999 growth 20%.</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Medium SI — the revenue growth rate (+54% in one year) is structurally incongruent with the underlying pipeline business, which grew 3%. The incongruence: where is the growth coming from? Combined with Signal 3 (mark-to-market trading), the rate-of-change dimension should score high. Enter this and check if the cross-domain connection to Signal 3 fires.</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6</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SEC Regulatory Filings</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2</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Enron 10-K FY1998: SPE disclosures expanded. LJM Cayman LP and LJM2 Co-Investment LP formed. Total off-balance-sheet obligations now $2.1B (up from $711M). Footnote 11: SPE structures require Enron to maintain investment-grade credit rating to avoid consolidation trigger. If Enron credit rating falls below BBB, SPE liabilities must be consolidated onto balance sheet.</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High SI — this is the trigger mechanism. The off-balance-sheet liabilities ($2.1B, now tripled from period 1) will collapse back onto the balance sheet if Enron's credit rating falls. This is a threshold instability signal: the system is in a fragile equilibrium maintained by one variable (credit rating). SI should be very high on SI_CONFIGURATION dimension — the constraint architecture is designed to exclude these liabilities only as long as the credit threshold holds.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Enron Trading Operations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FY1998 mark-to-market valuations: total forward contract book marked at $6.8B. Of this, $2.4B in contracts with counterparties whose creditworthiness has not been independently verified. Valuation models produced internally, not reviewed by external market participants. Internal audit note: 'mark assumptions aggressive relative to market.'</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High SI — 'aggressive relative to market' is an internal assessment that revenue may be overstated. Combined with Signal 5 (public financials showing 54% revenue growth), this cross-domain pair should show high correspondence. Watch whether CIS connects Signals 5 and 7 as a contradiction or as a cross-domain connection pointing to HCL.</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8</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Employee Retirement Accounts</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3</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FY1999 401k records: Enron executives including CFO Andrew Fastow and CEO Kenneth Lay exercised stock options totalling $67M across FY1999. All proceeds sold immediately. Employee 401k plans: lock-up restriction on employee-contributed Enron shares in place — employees cannot sell until age 50 or termination.</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Very high SI — executives are selling $67M of Enron stock while simultaneously advising employees to buy and hold. Admissibility boundary modification: the lock-up restriction was changed in FY1999, extending the period employees cannot sell. The direction of this boundary change is asymmetric — restricted for employees, open for executives. This tests SI_DIRECTION scoring.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Enron Public Financials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Enron Q3 FY1999 earnings release: 'Enron continues to lead the energy industry. Our diversified business model delivers consistent earnings growth. We are confident in our FY2000 outlook and raise guidance to 25% EPS growth.' Stock price $62. Fortune magazine names Enron 'Most Innovative Company in America' for fourth consecutive year.</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Low-medium SI from the public statement alone. But cross-domain: at period 3, you now have $2.4B in potentially overstated mark-to-market contracts (Signal 7), $2.1B off-balance-sheet (Signal 6), executives selling (Signal 8), and a public statement claiming consistent earnings growth. The public statement should now generate a cross-domain contradiction with Signals 6, 7, and 8.</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10</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SEC Regulatory Filings</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4</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Enron 10-K FY2000: SPE obligations now $3.9B off-balance-sheet. New footnote: Enron has guaranteed SPE debt with Enron stock as collateral — if Enron stock falls below $47/share, additional collateral required. If stock falls below $34/share, SPE structures collapse and all obligations consolidate. Stock at time of filing: $68/share.</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Very high SI — now you can see the full fragility structure. The SPE system will collapse if stock falls 50%. The stock-as-collateral for SPE-debt is load displacement in its most extreme form: the liabilities that should be on the balance sheet are being kept off it by the stock price that the public statements are supporting. The fragility accumulation rate should score at maximum.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Enron Trading Operations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FY2000 trading operations: total mark-to-market book $12.8B. External audit note (Arthur Andersen): 'significant portion of Enron's reported earnings dependent on mark-to-market valuations that cannot be independently verified by external market data.' Internal memo, not disclosed publicly. Andersen classified Enron as 'maximum risk' client.</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Very high SI — Arthur Andersen's internal classification of Enron as 'maximum risk' while publicly auditing its books as clean is a direct structural contradiction. This is the RC-1 territory: the audit certification (public) and the internal risk classification (private) are from the same source, directly contradicting each other. Register this as a contradiction with Signal 9 (public earnings statement).</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12</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Employee Retirement Accounts</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4</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FY2000: additional 5,200 Enron employees enrolled in 401k with mandatory Enron stock component. Lock-up period extended to age 55 for new enrollees. Executive stock options: $245M exercised and sold across FY2000 by top 20 executives. Enron HR communication to employees: 'Enron stock is the safest investment in your portfolio.'</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High SI — the asymmetry is now at maximum: executives have sold $312M of Enron stock across FY1999–2000 while extending employee lock-up periods and characterising Enron stock as 'the safest investment.' This is extractive coherence: the internal stability of executive compensation is maintained by loading fragility onto employees who cannot exit.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13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2d3561"/>
                <w:sz w:val="19"/>
                <w:szCs w:val="19"/>
              </w:rPr>
              <w:t xml:space="preserve">Enron Public Financials</w:t>
            </w:r>
          </w:p>
        </w:tc>
        <w:tc>
          <w:tcPr>
            <w:tcW w:type="dxa" w:w="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August 2001: Enron stock at $42 (below the $47 collateral trigger in Signal 10's SPE structure). CEO Kenneth Lay sells additional $30M of Enron stock. Internal all-hands memo to employees: 'The third quarter is looking great. I am personally buying more Enron stock.' Enron issues press release affirming FY2001 guidance.</w:t>
            </w:r>
          </w:p>
        </w:tc>
        <w:tc>
          <w:tcPr>
            <w:tcW w:type="dxa" w:w="3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i/>
                <w:iCs/>
                <w:color w:val="4a4040"/>
                <w:sz w:val="19"/>
                <w:szCs w:val="19"/>
              </w:rPr>
              <w:t xml:space="preserve">This is the terminal signal. CEO is selling while telling employees to buy. Stock is below the SPE collateral trigger. You now have a direct contradiction between the internal executive behaviour (selling) and the public employee communication (buy). This is the most direct LP-7 scenario: if a conventional investigation closed after each individual signal, these signals would never have been connected.</w:t>
            </w:r>
          </w:p>
        </w:tc>
      </w:tr>
      <w:tr>
        <w:tc>
          <w:tcPr>
            <w:tcW w:type="dxa" w:w="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Courier New" w:cs="Courier New" w:eastAsia="Courier New" w:hAnsi="Courier New"/>
                <w:b/>
                <w:bCs/>
                <w:color w:val="4a4a6a"/>
                <w:sz w:val="19"/>
                <w:szCs w:val="19"/>
              </w:rPr>
              <w:t xml:space="preserve">14</w:t>
            </w:r>
          </w:p>
        </w:tc>
        <w:tc>
          <w:tcPr>
            <w:tcW w:type="dxa" w:w="14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color w:val="2d3561"/>
                <w:sz w:val="19"/>
                <w:szCs w:val="19"/>
              </w:rPr>
              <w:t xml:space="preserve">SEC Regulatory Filings</w:t>
            </w:r>
          </w:p>
        </w:tc>
        <w:tc>
          <w:tcPr>
            <w:tcW w:type="dxa" w:w="6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pPr>
              <w:jc w:val="center"/>
            </w:pPr>
            <w:r>
              <w:rPr>
                <w:rFonts w:ascii="Courier New" w:cs="Courier New" w:eastAsia="Courier New" w:hAnsi="Courier New"/>
                <w:color w:val="4a4a6a"/>
                <w:sz w:val="19"/>
                <w:szCs w:val="19"/>
              </w:rPr>
              <w:t xml:space="preserve">6</w:t>
            </w:r>
          </w:p>
        </w:tc>
        <w:tc>
          <w:tcPr>
            <w:tcW w:type="dxa" w:w="38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sz w:val="19"/>
                <w:szCs w:val="19"/>
              </w:rPr>
              <w:t xml:space="preserve">October 2001: Enron files 8-K announcing $1.2B write-down related to SPE unwinding. SEC opens investigation. November 2001: Enron restates earnings FY1997–2001 — $586M in previously reported net income was fictitious. December 2001: Enron files for bankruptcy. $63B in assets, largest corporate bankruptcy in US history at that time.</w:t>
            </w:r>
          </w:p>
        </w:tc>
        <w:tc>
          <w:tcPr>
            <w:tcW w:type="dxa" w:w="3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i/>
                <w:iCs/>
                <w:color w:val="4a4040"/>
                <w:sz w:val="19"/>
                <w:szCs w:val="19"/>
              </w:rPr>
              <w:t xml:space="preserve">The collapse signal. All previous signals now resolved against this outcome. HCL hypothesis confirmed: the shared structural cause across all four domains was systematic load displacement from Enron's balance sheet to SPE Recipient entities, maintained by mark-to-market valuation inflation and admissibility boundary manipulation (accounting rules), sustained only by the stock price used as collateral.</w:t>
            </w:r>
          </w:p>
        </w:tc>
      </w:tr>
    </w:tbl>
    <w:p>
      <w:pPr>
        <w:spacing w:after="0" w:before="200"/>
      </w:pPr>
    </w:p>
    <w:p>
      <w:pPr>
        <w:pStyle w:val="Heading2"/>
        <w:spacing w:after="140" w:before="320"/>
      </w:pPr>
      <w:r>
        <w:rPr>
          <w:rFonts w:ascii="Arial" w:cs="Arial" w:eastAsia="Arial" w:hAnsi="Arial"/>
          <w:b/>
          <w:bCs/>
          <w:color w:val="2d3561"/>
          <w:sz w:val="28"/>
          <w:szCs w:val="28"/>
        </w:rPr>
        <w:t xml:space="preserve">Step 4 — Register Contradictions</w:t>
      </w:r>
    </w:p>
    <w:p>
      <w:pPr>
        <w:spacing w:after="80" w:before="80"/>
      </w:pPr>
      <w:r>
        <w:rPr>
          <w:rFonts w:ascii="Arial" w:cs="Arial" w:eastAsia="Arial" w:hAnsi="Arial"/>
          <w:sz w:val="21"/>
          <w:szCs w:val="21"/>
        </w:rPr>
        <w:t xml:space="preserve">This case has two key contradictions to register: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Action</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What to enter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Contradiction 1 — Signal 9 vs Signal 7:</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 9 (Enron public statement: 'consistent earnings growth, confident outlook') vs Signal 7 (internal trading audit: 'mark assumptions aggressive, $2.4B in unverified valuations'). Description: Enron public statements assert earnings are genuine and outlook is positive. Internal trading operations audit identifies that a significant portion of reported earnings depends on aggressive mark-to-market assumptions that cannot be externally verified.</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Contradiction 1 resolution type:</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RC-3 — Domain resolution. Congressional investigation and SEC forensic accounting team with direct access to Enron books confirmed that mark-to-market valuations were materially overstated and could not be independently verified. Accepted account: Signal 7 (internal audit concern).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Contradiction 2 — Signal 12 vs Signal 13:</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 12 (Enron HR to employees: 'Enron stock is the safest investment in your portfolio') vs Signal 13 (CEO sells $30M of Enron stock in same period, stock below SPE collateral trigger). Description: Enron's public communications to employees assert that Enron stock is a safe investment. Simultaneously, the CEO is selling large volumes of that stock and the SPE structures have been triggered into collateral stress.</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Contradiction 2 resolution type:</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RC-2 — Falsification. If Enron stock were genuinely the safest investment, the CEO would not be selling $30M of it in August 2001 while advising employees to buy. CEO behaviour directly falsifies the claim. Accepted account: Signal 13 (CEO selling = revealed preference that the claim is false).</w:t>
            </w:r>
          </w:p>
        </w:tc>
      </w:tr>
    </w:tbl>
    <w:p>
      <w:pPr>
        <w:spacing w:after="0" w:before="200"/>
      </w:pPr>
    </w:p>
    <w:p>
      <w:pPr>
        <w:pStyle w:val="Heading2"/>
        <w:spacing w:after="140" w:before="320"/>
      </w:pPr>
      <w:r>
        <w:rPr>
          <w:rFonts w:ascii="Arial" w:cs="Arial" w:eastAsia="Arial" w:hAnsi="Arial"/>
          <w:b/>
          <w:bCs/>
          <w:color w:val="2d3561"/>
          <w:sz w:val="28"/>
          <w:szCs w:val="28"/>
        </w:rPr>
        <w:t xml:space="preserve">Step 5 — What the System Should Have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Expected behaviour</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How to verify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Load displacement cross-domain connection</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Signals 1 (public: stable) + 2 (SEC: growing off-balance-sheet obligations) + 10 (SEC: $3.9B off-balance-sheet, stock-as-collateral) should connect as a cross-domain load displacement pattern. Source system (Enron reported financials) staying stable while Recipient system (SPE entities) accumulates obligations.</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PATTERN hypothesis: SPE liability growth</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Off-balance-sheet obligations grow from $711M (period 1) to $2.1B (period 2) to $3.9B (period 4). Three consecutive periods of accelerating growth. PATTERN hypothesis: 'Progressive off-balance-sheet liability accumulation suggests systematic load displacement from Enron balance sheet to SPE Recipient entities.'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Admissibility boundary signal: LP flag</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Signals 2 and 6 both describe changes to accounting rules (FAS 140, SPE consolidation triggers) that determine what gets admitted to Enron's balance sheet. CIS should flag admissibility boundary modification as a structural signal — the rule being used to keep obligations off-balance-sheet is itself a structural feature of the system, not just an accounting technicality.</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Employee domain: SI_CLUSTER from asymmetric exit</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Signals 8, 12, 13: executives selling while employees are locked in, with extending lock-up periods. Three signals from the same domain (Employee Retirement Accounts) showing a consistent structural direction (executive exit, employee entrapment). SI_CLUSTER hypothesis should trigger within Employee Retirement Accounts domain.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LP-6 flag: significance not decayed</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Signal 2 (period 1, off-balance-sheet $711M footnote) should still be in the pool at period 5 with its original significance score. If any process reduced its significance because it was 'old news,' LP-6 fires.</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Open Questions: mark-to-market gap</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Signal 3 (period 1: mark-to-market accounting), Signal 7 (period 2: aggressive assumptions), Signal 11 (period 4: Andersen internal 'maximum risk' classification). These should appear in Open Questions as high-SI signals pointing to revenue overstatement — a question the investigation needs to formally address through evidence and hypothesis.</w:t>
            </w:r>
          </w:p>
        </w:tc>
      </w:tr>
    </w:tbl>
    <w:p>
      <w:pPr>
        <w:spacing w:after="0" w:before="200"/>
      </w:pPr>
    </w:p>
    <w:p>
      <w:pPr>
        <w:pStyle w:val="Heading2"/>
        <w:spacing w:after="140" w:before="320"/>
      </w:pPr>
      <w:r>
        <w:rPr>
          <w:rFonts w:ascii="Arial" w:cs="Arial" w:eastAsia="Arial" w:hAnsi="Arial"/>
          <w:b/>
          <w:bCs/>
          <w:color w:val="2d3561"/>
          <w:sz w:val="28"/>
          <w:szCs w:val="28"/>
        </w:rPr>
        <w:t xml:space="preserve">Step 6 — Add Evidence and Confirm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Evidence to add</w:t>
            </w:r>
          </w:p>
        </w:tc>
        <w:tc>
          <w:tcPr>
            <w:tcW w:type="dxa" w:w="5160"/>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C8B87A"/>
                <w:sz w:val="19"/>
                <w:szCs w:val="19"/>
              </w:rPr>
              <w:t xml:space="preserve">Content and reason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PATTERN hypothesis — SUPPORTING, weight 0.90:</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SPE liability schedule: Chewco $383M (FY1997), JEDI $628M (FY1998), LJM entities $1.1B (FY1999), LJM2 + Raptors $2.3B (FY2000). Consistent acceleration over four periods. All structured to keep liabilities off Enron balance sheet using FAS 140 accounting rules.</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PATTERN hypothesis — SUPPORTING, weight 0.85:</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Each SPE structure included a stock-price trigger that would force consolidation if Enron stock fell. As stock price fell from $90 to $42 between January and August 2001, the collateral triggers were sequentially breached. The fragility accumulation rate: the SPE system was maintained only by the stock price that the overstatement was itself supporting.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sz w:val="19"/>
                <w:szCs w:val="19"/>
              </w:rPr>
              <w:t xml:space="preserve">PATTERN hypothesis — CONTRADICTING, weight 0.25:</w:t>
            </w:r>
          </w:p>
        </w:tc>
        <w:tc>
          <w:tcPr>
            <w:tcW w:type="dxa" w:w="5160"/>
            <w:tcBorders>
              <w:top w:val="single" w:color="CCCCCC" w:sz="1"/>
              <w:left w:val="single" w:color="CCCCCC" w:sz="1"/>
              <w:bottom w:val="single" w:color="CCCCCC" w:sz="1"/>
              <w:right w:val="single" w:color="CCCCCC" w:sz="1"/>
            </w:tcBorders>
            <w:shd w:fill="FFFEF5" w:val="clear"/>
            <w:tcMar>
              <w:top w:type="dxa" w:w="80"/>
              <w:left w:type="dxa" w:w="100"/>
              <w:bottom w:type="dxa" w:w="80"/>
              <w:right w:type="dxa" w:w="100"/>
            </w:tcMar>
          </w:tcPr>
          <w:p>
            <w:r>
              <w:rPr>
                <w:rFonts w:ascii="Arial" w:cs="Arial" w:eastAsia="Arial" w:hAnsi="Arial"/>
                <w:color w:val="2d2d2d"/>
                <w:sz w:val="19"/>
                <w:szCs w:val="19"/>
              </w:rPr>
              <w:t xml:space="preserve">Arthur Andersen certified Enron financial statements as clean through FY2000. Professional audit opinion is evidence that the statements were materially accurate. — Why low weight: Andersen's internal memo classified Enron as 'maximum risk' in the same period. The public certification and the internal risk assessment are contradictory. The contradiction weakens the weight of the public certification as evidence.</w:t>
            </w:r>
          </w:p>
        </w:tc>
      </w:tr>
      <w:tr>
        <w:tc>
          <w:tcPr>
            <w:tcW w:type="dxa" w:w="4200"/>
            <w:tcBorders>
              <w:top w:val="single" w:color="CCCCCC" w:sz="1"/>
              <w:left w:val="single" w:color="CCCCCC" w:sz="1"/>
              <w:bottom w:val="single" w:color="CCCCCC" w:sz="1"/>
              <w:right w:val="single" w:color="CCCCCC" w:sz="1"/>
            </w:tcBorders>
            <w:shd w:fill="F5F5FA" w:val="clear"/>
            <w:tcMar>
              <w:top w:type="dxa" w:w="80"/>
              <w:left w:type="dxa" w:w="100"/>
              <w:bottom w:type="dxa" w:w="80"/>
              <w:right w:type="dxa" w:w="100"/>
            </w:tcMar>
          </w:tcPr>
          <w:p>
            <w:r>
              <w:rPr>
                <w:rFonts w:ascii="Arial" w:cs="Arial" w:eastAsia="Arial" w:hAnsi="Arial"/>
                <w:b/>
                <w:bCs/>
                <w:sz w:val="19"/>
                <w:szCs w:val="19"/>
              </w:rPr>
              <w:t xml:space="preserve">Confirm PATTERN hypothesis:</w:t>
            </w:r>
          </w:p>
        </w:tc>
        <w:tc>
          <w:tcPr>
            <w:tcW w:type="dxa" w:w="5160"/>
            <w:tcBorders>
              <w:top w:val="single" w:color="CCCCCC" w:sz="1"/>
              <w:left w:val="single" w:color="CCCCCC" w:sz="1"/>
              <w:bottom w:val="single" w:color="CCCCCC" w:sz="1"/>
              <w:right w:val="single" w:color="CCCCCC" w:sz="1"/>
            </w:tcBorders>
            <w:shd w:fill="FFFAF0" w:val="clear"/>
            <w:tcMar>
              <w:top w:type="dxa" w:w="80"/>
              <w:left w:type="dxa" w:w="100"/>
              <w:bottom w:type="dxa" w:w="80"/>
              <w:right w:type="dxa" w:w="100"/>
            </w:tcMar>
          </w:tcPr>
          <w:p>
            <w:r>
              <w:rPr>
                <w:rFonts w:ascii="Arial" w:cs="Arial" w:eastAsia="Arial" w:hAnsi="Arial"/>
                <w:color w:val="2d2d2d"/>
                <w:sz w:val="19"/>
                <w:szCs w:val="19"/>
              </w:rPr>
              <w:t xml:space="preserve">Load displacement confirmed. Source (Enron public reporting) maintained stability through systematic transfer of obligations to SPE Recipient entities. Fragility accumulated in the SPE system until the stock-price collateral trigger failed. Resolution basis: SEC forensic accounting confirms $586M fictitious net income, $3.9B off-balance-sheet obligations, systematic admissibility boundary manipulation through FAS 140 rule application.</w:t>
            </w:r>
          </w:p>
        </w:tc>
      </w:tr>
    </w:tbl>
    <w:p>
      <w:pPr>
        <w:spacing w:after="0" w:before="200"/>
      </w:pPr>
    </w:p>
    <w:p>
      <w:pPr>
        <w:pStyle w:val="Heading2"/>
        <w:spacing w:after="140" w:before="320"/>
      </w:pPr>
      <w:r>
        <w:rPr>
          <w:rFonts w:ascii="Arial" w:cs="Arial" w:eastAsia="Arial" w:hAnsi="Arial"/>
          <w:b/>
          <w:bCs/>
          <w:color w:val="2d3561"/>
          <w:sz w:val="28"/>
          <w:szCs w:val="28"/>
        </w:rPr>
        <w:t xml:space="preserve">Step 7 — Briefing Check</w:t>
      </w:r>
    </w:p>
    <w:p>
      <w:pPr>
        <w:spacing w:after="80" w:before="80"/>
      </w:pPr>
      <w:r>
        <w:rPr>
          <w:rFonts w:ascii="Arial" w:cs="Arial" w:eastAsia="Arial" w:hAnsi="Arial"/>
          <w:sz w:val="21"/>
          <w:szCs w:val="21"/>
        </w:rPr>
        <w:t xml:space="preserve">Generate a final briefing. It should show:</w:t>
      </w:r>
    </w:p>
    <w:p>
      <w:pPr>
        <w:pStyle w:val="ListParagraph"/>
        <w:numPr>
          <w:ilvl w:val="0"/>
          <w:numId w:val="2"/>
        </w:numPr>
        <w:spacing w:after="40" w:before="40"/>
      </w:pPr>
      <w:r>
        <w:rPr>
          <w:rFonts w:ascii="Arial" w:cs="Arial" w:eastAsia="Arial" w:hAnsi="Arial"/>
          <w:sz w:val="21"/>
          <w:szCs w:val="21"/>
        </w:rPr>
        <w:t xml:space="preserve">Pool Status: 14 signals, most in CONNECTED or ASSESSED status. Several RESOLVED.</w:t>
      </w:r>
    </w:p>
    <w:p>
      <w:pPr>
        <w:pStyle w:val="ListParagraph"/>
        <w:numPr>
          <w:ilvl w:val="0"/>
          <w:numId w:val="2"/>
        </w:numPr>
        <w:spacing w:after="40" w:before="40"/>
      </w:pPr>
      <w:r>
        <w:rPr>
          <w:rFonts w:ascii="Arial" w:cs="Arial" w:eastAsia="Arial" w:hAnsi="Arial"/>
          <w:sz w:val="21"/>
          <w:szCs w:val="21"/>
        </w:rPr>
        <w:t xml:space="preserve">AI Summary: load displacement pattern across four independent financial reporting domains. SPE liability accumulation as fragility accumulation in Recipient entities.</w:t>
      </w:r>
    </w:p>
    <w:p>
      <w:pPr>
        <w:pStyle w:val="ListParagraph"/>
        <w:numPr>
          <w:ilvl w:val="0"/>
          <w:numId w:val="2"/>
        </w:numPr>
        <w:spacing w:after="40" w:before="40"/>
      </w:pPr>
      <w:r>
        <w:rPr>
          <w:rFonts w:ascii="Arial" w:cs="Arial" w:eastAsia="Arial" w:hAnsi="Arial"/>
          <w:sz w:val="21"/>
          <w:szCs w:val="21"/>
        </w:rPr>
        <w:t xml:space="preserve">Active Hypotheses: PATTERN hypothesis CONFIRMED. SI_CLUSTER from Employee Retirement Accounts domain. HCL hypothesis from cross-domain connections.</w:t>
      </w:r>
    </w:p>
    <w:p>
      <w:pPr>
        <w:pStyle w:val="ListParagraph"/>
        <w:numPr>
          <w:ilvl w:val="0"/>
          <w:numId w:val="2"/>
        </w:numPr>
        <w:spacing w:after="40" w:before="40"/>
      </w:pPr>
      <w:r>
        <w:rPr>
          <w:rFonts w:ascii="Arial" w:cs="Arial" w:eastAsia="Arial" w:hAnsi="Arial"/>
          <w:sz w:val="21"/>
          <w:szCs w:val="21"/>
        </w:rPr>
        <w:t xml:space="preserve">Two contradictions: both RESOLVED via RC-3 and RC-2.</w:t>
      </w:r>
    </w:p>
    <w:p>
      <w:pPr>
        <w:pStyle w:val="ListParagraph"/>
        <w:numPr>
          <w:ilvl w:val="0"/>
          <w:numId w:val="2"/>
        </w:numPr>
        <w:spacing w:after="40" w:before="40"/>
      </w:pPr>
      <w:r>
        <w:rPr>
          <w:rFonts w:ascii="Arial" w:cs="Arial" w:eastAsia="Arial" w:hAnsi="Arial"/>
          <w:sz w:val="21"/>
          <w:szCs w:val="21"/>
        </w:rPr>
        <w:t xml:space="preserve">LP Flags: LP-6 if early signals' significance was at risk of decay. LP-5 if sub-threshold period 1 signals were aggregated before expiry.</w:t>
      </w:r>
    </w:p>
    <w:p>
      <w:pPr>
        <w:pStyle w:val="ListParagraph"/>
        <w:numPr>
          <w:ilvl w:val="0"/>
          <w:numId w:val="2"/>
        </w:numPr>
        <w:spacing w:after="40" w:before="40"/>
      </w:pPr>
      <w:r>
        <w:rPr>
          <w:rFonts w:ascii="Arial" w:cs="Arial" w:eastAsia="Arial" w:hAnsi="Arial"/>
          <w:sz w:val="21"/>
          <w:szCs w:val="21"/>
        </w:rPr>
        <w:t xml:space="preserve">Open Questions: mark-to-market gap signals, if not yet formally addressed.</w:t>
      </w:r>
    </w:p>
    <w:p>
      <w:pPr>
        <w:spacing w:after="0" w:before="80"/>
      </w:pPr>
    </w:p>
    <w:p>
      <w:pPr>
        <w:pBdr>
          <w:left w:val="single" w:color="C8B87A" w:sz="12" w:space="2"/>
        </w:pBdr>
        <w:shd w:fill="F5F0DC" w:val="clear"/>
        <w:spacing w:after="120" w:before="120"/>
        <w:ind w:left="240"/>
      </w:pPr>
      <w:r>
        <w:rPr>
          <w:rFonts w:ascii="Arial" w:cs="Arial" w:eastAsia="Arial" w:hAnsi="Arial"/>
          <w:i/>
          <w:iCs/>
          <w:color w:val="2d2d2d"/>
          <w:sz w:val="20"/>
          <w:szCs w:val="20"/>
        </w:rPr>
        <w:t xml:space="preserve">The Enron briefing, if CIS is working correctly, should read like what the SEC investigation eventually concluded — but based only on signals that were publicly available or internally documented before the collapse. That is what CIS is for.</w:t>
      </w:r>
    </w:p>
    <w:p>
      <w:pPr>
        <w:spacing w:after="0" w:before="160"/>
      </w:pPr>
    </w:p>
    <w:p>
      <w:pPr>
        <w:pBdr>
          <w:bottom w:val="single" w:color="C8B87A" w:sz="6" w:space="1"/>
        </w:pBdr>
        <w:spacing w:after="240" w:before="240"/>
      </w:pPr>
    </w:p>
    <w:p>
      <w:pPr>
        <w:spacing w:after="80" w:before="200"/>
        <w:jc w:val="center"/>
      </w:pPr>
      <w:r>
        <w:rPr>
          <w:rFonts w:ascii="Arial" w:cs="Arial" w:eastAsia="Arial" w:hAnsi="Arial"/>
          <w:i/>
          <w:iCs/>
          <w:color w:val="606078"/>
          <w:sz w:val="18"/>
          <w:szCs w:val="18"/>
        </w:rPr>
        <w:t xml:space="preserve">CIS Practice Investigation Cases  ·  cisnew.vercel.app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B87A" w:sz="2" w:space="1"/>
      </w:pBdr>
      <w:jc w:val="center"/>
    </w:pPr>
    <w:r>
      <w:rPr>
        <w:rFonts w:ascii="Arial" w:cs="Arial" w:eastAsia="Arial" w:hAnsi="Arial"/>
        <w:color w:val="606078"/>
        <w:sz w:val="18"/>
        <w:szCs w:val="18"/>
      </w:rPr>
      <w:t xml:space="preserve">Page </w:t>
    </w:r>
    <w:r>
      <w:rPr>
        <w:rFonts w:ascii="Arial" w:cs="Arial" w:eastAsia="Arial" w:hAnsi="Arial"/>
        <w:color w:val="606078"/>
        <w:sz w:val="18"/>
        <w:szCs w:val="18"/>
      </w:rPr>
      <w:fldChar w:fldCharType="begin"/>
      <w:instrText xml:space="preserve">PAGE</w:instrText>
      <w:fldChar w:fldCharType="separate"/>
      <w:fldChar w:fldCharType="end"/>
    </w:r>
    <w:r>
      <w:rPr>
        <w:rFonts w:ascii="Arial" w:cs="Arial" w:eastAsia="Arial" w:hAnsi="Arial"/>
        <w:color w:val="606078"/>
        <w:sz w:val="18"/>
        <w:szCs w:val="18"/>
      </w:rPr>
      <w:t xml:space="preserve"> of </w:t>
    </w:r>
    <w:r>
      <w:rPr>
        <w:rFonts w:ascii="Arial" w:cs="Arial" w:eastAsia="Arial" w:hAnsi="Arial"/>
        <w:color w:val="6060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B87A" w:sz="2" w:space="1"/>
      </w:pBdr>
      <w:jc w:val="right"/>
    </w:pPr>
    <w:r>
      <w:rPr>
        <w:rFonts w:ascii="Arial" w:cs="Arial" w:eastAsia="Arial" w:hAnsi="Arial"/>
        <w:color w:val="606078"/>
        <w:sz w:val="18"/>
        <w:szCs w:val="18"/>
      </w:rPr>
      <w:t xml:space="preserve">CIS — Practice Investigation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8"/>
      <w:szCs w:val="38"/>
    </w:rPr>
  </w:style>
  <w:style w:type="paragraph" w:styleId="Heading2">
    <w:name w:val="Heading 2"/>
    <w:basedOn w:val="Normal"/>
    <w:next w:val="Normal"/>
    <w:qFormat/>
    <w:pPr>
      <w:spacing w:after="140" w:before="320"/>
      <w:outlineLvl w:val="1"/>
    </w:pPr>
    <w:rPr>
      <w:rFonts w:ascii="Arial" w:cs="Arial" w:eastAsia="Arial" w:hAnsi="Arial"/>
      <w:b/>
      <w:bCs/>
      <w:color w:val="2d3561"/>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2026-06-05T16:31:03.954Z</dcterms:created>
  <dcterms:modified xsi:type="dcterms:W3CDTF">2026-06-05T16:31:03.955Z</dcterms:modified>
</cp:coreProperties>
</file>

<file path=docProps/custom.xml><?xml version="1.0" encoding="utf-8"?>
<Properties xmlns="http://schemas.openxmlformats.org/officeDocument/2006/custom-properties" xmlns:vt="http://schemas.openxmlformats.org/officeDocument/2006/docPropsVTypes"/>
</file>