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94CCF" w14:textId="77777777" w:rsidR="00880EF6" w:rsidRDefault="00880EF6">
      <w:pPr>
        <w:spacing w:before="3000"/>
      </w:pPr>
    </w:p>
    <w:p w14:paraId="23247C8A" w14:textId="77777777" w:rsidR="00880EF6" w:rsidRDefault="008E6519">
      <w:pPr>
        <w:spacing w:after="160"/>
        <w:jc w:val="center"/>
      </w:pPr>
      <w:r>
        <w:rPr>
          <w:b/>
          <w:bCs/>
          <w:color w:val="1A1A2E"/>
          <w:sz w:val="96"/>
          <w:szCs w:val="96"/>
        </w:rPr>
        <w:t>CIS</w:t>
      </w:r>
    </w:p>
    <w:p w14:paraId="49CA7DB8" w14:textId="77777777" w:rsidR="00880EF6" w:rsidRDefault="008E6519">
      <w:pPr>
        <w:spacing w:after="120"/>
        <w:jc w:val="center"/>
      </w:pPr>
      <w:r>
        <w:rPr>
          <w:b/>
          <w:bCs/>
          <w:color w:val="4A4A6A"/>
          <w:sz w:val="38"/>
          <w:szCs w:val="38"/>
        </w:rPr>
        <w:t>Cognitive Intelligence System</w:t>
      </w:r>
    </w:p>
    <w:p w14:paraId="7845CF89" w14:textId="77777777" w:rsidR="00880EF6" w:rsidRDefault="00880EF6">
      <w:pPr>
        <w:pBdr>
          <w:bottom w:val="single" w:sz="6" w:space="1" w:color="C8B87A"/>
        </w:pBdr>
        <w:spacing w:before="240" w:after="240"/>
      </w:pPr>
    </w:p>
    <w:p w14:paraId="2937B6DA" w14:textId="77777777" w:rsidR="00880EF6" w:rsidRDefault="008E6519">
      <w:pPr>
        <w:spacing w:before="200" w:after="120"/>
        <w:jc w:val="center"/>
      </w:pPr>
      <w:r>
        <w:rPr>
          <w:b/>
          <w:bCs/>
          <w:color w:val="C8B87A"/>
          <w:sz w:val="34"/>
          <w:szCs w:val="34"/>
        </w:rPr>
        <w:t>PRACTICE INVESTIGATION CASES</w:t>
      </w:r>
    </w:p>
    <w:p w14:paraId="596E9B3E" w14:textId="77777777" w:rsidR="00880EF6" w:rsidRDefault="008E6519">
      <w:pPr>
        <w:spacing w:before="80" w:after="80"/>
        <w:jc w:val="center"/>
      </w:pPr>
      <w:r>
        <w:rPr>
          <w:i/>
          <w:iCs/>
          <w:color w:val="606078"/>
          <w:sz w:val="22"/>
          <w:szCs w:val="22"/>
        </w:rPr>
        <w:t>Three real investigations — every signal, every entry, every reason.</w:t>
      </w:r>
    </w:p>
    <w:p w14:paraId="03466F65" w14:textId="77777777" w:rsidR="00880EF6" w:rsidRDefault="008E6519">
      <w:pPr>
        <w:spacing w:before="80" w:after="80"/>
        <w:jc w:val="center"/>
      </w:pPr>
      <w:r>
        <w:rPr>
          <w:color w:val="606078"/>
          <w:sz w:val="22"/>
          <w:szCs w:val="22"/>
        </w:rPr>
        <w:t>You practise. The system gets tested. Both things happen at once.</w:t>
      </w:r>
    </w:p>
    <w:p w14:paraId="402C2F50" w14:textId="77777777" w:rsidR="00880EF6" w:rsidRDefault="008E6519">
      <w:r>
        <w:br w:type="page"/>
      </w:r>
    </w:p>
    <w:p w14:paraId="7A1FDDB0" w14:textId="77777777" w:rsidR="00880EF6" w:rsidRDefault="00880EF6">
      <w:pPr>
        <w:sectPr w:rsidR="00880EF6">
          <w:pgSz w:w="12240" w:h="15840"/>
          <w:pgMar w:top="1440" w:right="1440" w:bottom="1440" w:left="1440" w:header="708" w:footer="708" w:gutter="0"/>
          <w:cols w:space="720"/>
          <w:docGrid w:linePitch="360"/>
        </w:sectPr>
      </w:pPr>
    </w:p>
    <w:p w14:paraId="3388A0AD" w14:textId="77777777" w:rsidR="00880EF6" w:rsidRDefault="008E6519">
      <w:pPr>
        <w:pStyle w:val="Ttulo1"/>
      </w:pPr>
      <w:r>
        <w:lastRenderedPageBreak/>
        <w:t>How to Use This Document</w:t>
      </w:r>
    </w:p>
    <w:p w14:paraId="1B88CA84" w14:textId="77777777" w:rsidR="00880EF6" w:rsidRDefault="008E6519">
      <w:pPr>
        <w:spacing w:before="80" w:after="80"/>
      </w:pPr>
      <w:r>
        <w:t>Each case in this document is a real investigation that you will run inside CIS from scratch. You will create the case, set up its domains, enter every signal, register contradictions, add evidence, and generate briefings — exactly as described.</w:t>
      </w:r>
    </w:p>
    <w:p w14:paraId="69CDF03C" w14:textId="77777777" w:rsidR="00880EF6" w:rsidRDefault="008E6519">
      <w:pPr>
        <w:spacing w:before="80" w:after="80"/>
      </w:pPr>
      <w:r>
        <w:t>The point is double: you learn how CIS works by doing real work. The system gets tested because you are running every feature against content it was designed for.</w:t>
      </w:r>
    </w:p>
    <w:p w14:paraId="1C86162D" w14:textId="77777777" w:rsidR="00880EF6" w:rsidRDefault="00880EF6">
      <w:pPr>
        <w:spacing w:before="120"/>
      </w:pPr>
    </w:p>
    <w:p w14:paraId="5F0D70CC" w14:textId="77777777" w:rsidR="00880EF6" w:rsidRDefault="008E6519">
      <w:pPr>
        <w:spacing w:before="80" w:after="80"/>
      </w:pPr>
      <w:r>
        <w:rPr>
          <w:b/>
          <w:bCs/>
        </w:rPr>
        <w:t>Each case tells you:</w:t>
      </w:r>
    </w:p>
    <w:p w14:paraId="21AD21A5" w14:textId="77777777" w:rsidR="00880EF6" w:rsidRDefault="008E6519">
      <w:pPr>
        <w:pStyle w:val="PargrafodaLista"/>
        <w:numPr>
          <w:ilvl w:val="0"/>
          <w:numId w:val="2"/>
        </w:numPr>
        <w:spacing w:before="40" w:after="40"/>
      </w:pPr>
      <w:r>
        <w:t>What the investigation is and why CIS is the right tool for it</w:t>
      </w:r>
    </w:p>
    <w:p w14:paraId="09F08120" w14:textId="77777777" w:rsidR="00880EF6" w:rsidRDefault="008E6519">
      <w:pPr>
        <w:pStyle w:val="PargrafodaLista"/>
        <w:numPr>
          <w:ilvl w:val="0"/>
          <w:numId w:val="2"/>
        </w:numPr>
        <w:spacing w:before="40" w:after="40"/>
      </w:pPr>
      <w:r>
        <w:t>What domains to create and how to declare their independence</w:t>
      </w:r>
    </w:p>
    <w:p w14:paraId="6A96555B" w14:textId="77777777" w:rsidR="00880EF6" w:rsidRDefault="008E6519">
      <w:pPr>
        <w:pStyle w:val="PargrafodaLista"/>
        <w:numPr>
          <w:ilvl w:val="0"/>
          <w:numId w:val="2"/>
        </w:numPr>
        <w:spacing w:before="40" w:after="40"/>
      </w:pPr>
      <w:r>
        <w:t>Every signal to enter — exact text, domain, observation period, and the reason for that entry</w:t>
      </w:r>
    </w:p>
    <w:p w14:paraId="24556EC2" w14:textId="77777777" w:rsidR="00880EF6" w:rsidRDefault="008E6519">
      <w:pPr>
        <w:pStyle w:val="PargrafodaLista"/>
        <w:numPr>
          <w:ilvl w:val="0"/>
          <w:numId w:val="2"/>
        </w:numPr>
        <w:spacing w:before="40" w:after="40"/>
      </w:pPr>
      <w:r>
        <w:t>What contradictions exist and which resolution code (RC-1, RC-2, RC-3) applies</w:t>
      </w:r>
    </w:p>
    <w:p w14:paraId="7C86D520" w14:textId="77777777" w:rsidR="00880EF6" w:rsidRDefault="008E6519">
      <w:pPr>
        <w:pStyle w:val="PargrafodaLista"/>
        <w:numPr>
          <w:ilvl w:val="0"/>
          <w:numId w:val="2"/>
        </w:numPr>
        <w:spacing w:before="40" w:after="40"/>
      </w:pPr>
      <w:r>
        <w:t>What hypotheses the system should generate automatically — and what evidence to add manually</w:t>
      </w:r>
    </w:p>
    <w:p w14:paraId="5BAB25DC" w14:textId="77777777" w:rsidR="00880EF6" w:rsidRDefault="008E6519">
      <w:pPr>
        <w:pStyle w:val="PargrafodaLista"/>
        <w:numPr>
          <w:ilvl w:val="0"/>
          <w:numId w:val="2"/>
        </w:numPr>
        <w:spacing w:before="40" w:after="40"/>
      </w:pPr>
      <w:r>
        <w:t>What the system should produce: connections, LP flags, briefings, plausibility scores</w:t>
      </w:r>
    </w:p>
    <w:p w14:paraId="4FD83EDD" w14:textId="77777777" w:rsidR="00880EF6" w:rsidRDefault="00880EF6">
      <w:pPr>
        <w:spacing w:before="120"/>
      </w:pPr>
    </w:p>
    <w:p w14:paraId="35F08B3D" w14:textId="77777777" w:rsidR="00880EF6" w:rsidRDefault="008E6519">
      <w:pPr>
        <w:pBdr>
          <w:left w:val="single" w:sz="12" w:space="2" w:color="C8B87A"/>
        </w:pBdr>
        <w:shd w:val="clear" w:color="auto" w:fill="F5F0DC"/>
        <w:spacing w:before="120" w:after="120"/>
        <w:ind w:left="240"/>
      </w:pPr>
      <w:r>
        <w:rPr>
          <w:i/>
          <w:iCs/>
          <w:color w:val="2D2D2D"/>
          <w:sz w:val="20"/>
          <w:szCs w:val="20"/>
        </w:rPr>
        <w:t>The WHY column is the most important column. It tells you what CIS feature is being exercised. If you understand the WHY, you understand CIS.</w:t>
      </w:r>
    </w:p>
    <w:p w14:paraId="681A6CAA" w14:textId="77777777" w:rsidR="00880EF6" w:rsidRDefault="00880EF6">
      <w:pPr>
        <w:spacing w:before="120"/>
      </w:pPr>
    </w:p>
    <w:p w14:paraId="58C796DD" w14:textId="77777777" w:rsidR="00880EF6" w:rsidRDefault="008E6519">
      <w:pPr>
        <w:spacing w:before="80" w:after="80"/>
      </w:pPr>
      <w:r>
        <w:rPr>
          <w:b/>
          <w:bCs/>
        </w:rPr>
        <w:t>Three cases are included:</w:t>
      </w:r>
    </w:p>
    <w:p w14:paraId="7BF385B5" w14:textId="77777777" w:rsidR="00880EF6" w:rsidRDefault="008E6519">
      <w:pPr>
        <w:pStyle w:val="PargrafodaLista"/>
        <w:numPr>
          <w:ilvl w:val="0"/>
          <w:numId w:val="2"/>
        </w:numPr>
        <w:spacing w:before="40" w:after="40"/>
      </w:pPr>
      <w:r>
        <w:t>Case 1 — Mars Climate Orbiter (1999): the classic hidden common link. Two independent navigation systems, one shared unit convention error that neither team could see from inside their own domain.</w:t>
      </w:r>
    </w:p>
    <w:p w14:paraId="485D6066" w14:textId="77777777" w:rsidR="00880EF6" w:rsidRDefault="008E6519">
      <w:pPr>
        <w:pStyle w:val="PargrafodaLista"/>
        <w:numPr>
          <w:ilvl w:val="0"/>
          <w:numId w:val="2"/>
        </w:numPr>
        <w:spacing w:before="40" w:after="40"/>
      </w:pPr>
      <w:r>
        <w:t>Case 2 — Therac-25 (1985–1987): four hospitals across two countries, each reporting a single radiation overdose. Individually sub-threshold. Together: a pattern that kills.</w:t>
      </w:r>
    </w:p>
    <w:p w14:paraId="4147F568" w14:textId="77777777" w:rsidR="00880EF6" w:rsidRDefault="008E6519">
      <w:pPr>
        <w:pStyle w:val="PargrafodaLista"/>
        <w:numPr>
          <w:ilvl w:val="0"/>
          <w:numId w:val="2"/>
        </w:numPr>
        <w:spacing w:before="40" w:after="40"/>
      </w:pPr>
      <w:r>
        <w:t>Case 3 — Enron (1997–2001): slow fragility accumulation, load displacement to off-balance-sheet entities, admissibility boundary manipulation in accounting. The signals were all there.</w:t>
      </w:r>
    </w:p>
    <w:p w14:paraId="009E7425" w14:textId="77777777" w:rsidR="00880EF6" w:rsidRDefault="008E6519">
      <w:r>
        <w:br w:type="page"/>
      </w:r>
    </w:p>
    <w:p w14:paraId="59DA6F5B" w14:textId="77777777" w:rsidR="00880EF6" w:rsidRDefault="008E6519">
      <w:pPr>
        <w:shd w:val="clear" w:color="auto" w:fill="1A1A2E"/>
        <w:spacing w:after="80"/>
      </w:pPr>
      <w:r>
        <w:rPr>
          <w:b/>
          <w:bCs/>
          <w:color w:val="C8B87A"/>
          <w:sz w:val="26"/>
          <w:szCs w:val="26"/>
        </w:rPr>
        <w:lastRenderedPageBreak/>
        <w:t xml:space="preserve">  CASE 1</w:t>
      </w:r>
    </w:p>
    <w:p w14:paraId="2BEECD94" w14:textId="77777777" w:rsidR="00880EF6" w:rsidRDefault="008E6519">
      <w:pPr>
        <w:shd w:val="clear" w:color="auto" w:fill="1A1A2E"/>
      </w:pPr>
      <w:r>
        <w:rPr>
          <w:b/>
          <w:bCs/>
          <w:color w:val="FFFFFF"/>
          <w:sz w:val="38"/>
          <w:szCs w:val="38"/>
        </w:rPr>
        <w:t xml:space="preserve">  Mars Climate Orbiter</w:t>
      </w:r>
    </w:p>
    <w:p w14:paraId="03516BB4" w14:textId="77777777" w:rsidR="00880EF6" w:rsidRDefault="008E6519">
      <w:pPr>
        <w:shd w:val="clear" w:color="auto" w:fill="1A1A2E"/>
        <w:spacing w:after="200"/>
      </w:pPr>
      <w:r>
        <w:rPr>
          <w:color w:val="9090B0"/>
          <w:sz w:val="22"/>
          <w:szCs w:val="22"/>
        </w:rPr>
        <w:t xml:space="preserve">  NASA / JPL — 1999</w:t>
      </w:r>
    </w:p>
    <w:p w14:paraId="659D900F" w14:textId="77777777" w:rsidR="00880EF6" w:rsidRDefault="00880EF6">
      <w:pPr>
        <w:spacing w:before="80"/>
      </w:pPr>
    </w:p>
    <w:p w14:paraId="68AC8E14" w14:textId="77777777" w:rsidR="00880EF6" w:rsidRDefault="008E6519">
      <w:pPr>
        <w:pStyle w:val="Ttulo2"/>
      </w:pPr>
      <w:r>
        <w:t>Background</w:t>
      </w:r>
    </w:p>
    <w:p w14:paraId="3ED3850F" w14:textId="77777777" w:rsidR="00880EF6" w:rsidRDefault="008E6519">
      <w:pPr>
        <w:spacing w:before="80" w:after="80"/>
      </w:pPr>
      <w:r>
        <w:t xml:space="preserve">On 23 September 1999, the Mars Climate Orbiter fired its main engine to enter Mars orbit. It entered at the wrong angle and was destroyed. The cause, identified after the fact: Lockheed Martin's AMD (Attitude and Manoeuvre Design) software produced thruster output data in imperial units (pound-force seconds). NASA's JPL navigation software expected SI units (newton seconds). The two teams operated as independent navigation domains — each one internally consistent, each one producing </w:t>
      </w:r>
      <w:proofErr w:type="gramStart"/>
      <w:r>
        <w:t>signals</w:t>
      </w:r>
      <w:proofErr w:type="gramEnd"/>
      <w:r>
        <w:t xml:space="preserve"> that were anomalous in the context of the other.</w:t>
      </w:r>
    </w:p>
    <w:p w14:paraId="53A46A96" w14:textId="77777777" w:rsidR="00880EF6" w:rsidRDefault="00880EF6">
      <w:pPr>
        <w:spacing w:before="80"/>
      </w:pPr>
    </w:p>
    <w:p w14:paraId="6599EA09" w14:textId="77777777" w:rsidR="00880EF6" w:rsidRDefault="008E6519">
      <w:pPr>
        <w:pBdr>
          <w:left w:val="single" w:sz="12" w:space="2" w:color="C8B87A"/>
        </w:pBdr>
        <w:shd w:val="clear" w:color="auto" w:fill="F5F0DC"/>
        <w:spacing w:before="120" w:after="120"/>
        <w:ind w:left="240"/>
      </w:pPr>
      <w:r>
        <w:rPr>
          <w:i/>
          <w:iCs/>
          <w:color w:val="2D2D2D"/>
          <w:sz w:val="20"/>
          <w:szCs w:val="20"/>
        </w:rPr>
        <w:t>Why CIS: This is the canonical Hidden Common Link case. Two independent domains (AMD and JPL navigation) each show anomalies that are structurally incongruent with mission parameters. Neither anomaly is conclusive on its own. Together they point to a shared structural cause neither team could see from inside their domain. CIS exists precisely to detect this.</w:t>
      </w:r>
    </w:p>
    <w:p w14:paraId="5CB44A89" w14:textId="77777777" w:rsidR="00880EF6" w:rsidRDefault="00880EF6">
      <w:pPr>
        <w:spacing w:before="80"/>
      </w:pPr>
    </w:p>
    <w:p w14:paraId="0B9C5FDC" w14:textId="77777777" w:rsidR="00880EF6" w:rsidRDefault="008E6519">
      <w:pPr>
        <w:spacing w:before="80" w:after="80"/>
      </w:pPr>
      <w:r>
        <w:rPr>
          <w:b/>
          <w:bCs/>
        </w:rPr>
        <w:t>Features this case exercises:</w:t>
      </w:r>
      <w:r>
        <w:t xml:space="preserve"> Cross-domain connection (CDA), HCL hypothesis auto-generation (SHG), contradiction handling (AMD self-test passes while AMD trajectory deviates), loss point LP-3 (cross-domain boundary), LP-4 (signal not discarded by explanation), cognitive briefing with open questions, plausibility tracking.</w:t>
      </w:r>
    </w:p>
    <w:p w14:paraId="09163897" w14:textId="77777777" w:rsidR="00880EF6" w:rsidRDefault="00880EF6">
      <w:pPr>
        <w:spacing w:before="160"/>
      </w:pPr>
    </w:p>
    <w:p w14:paraId="3485BF24" w14:textId="77777777" w:rsidR="00880EF6" w:rsidRDefault="008E6519">
      <w:pPr>
        <w:pStyle w:val="Ttulo2"/>
      </w:pPr>
      <w:r>
        <w:t>Step 1 — Create the Case</w:t>
      </w:r>
    </w:p>
    <w:p w14:paraId="0A028A18" w14:textId="77777777" w:rsidR="00880EF6" w:rsidRDefault="008E6519">
      <w:pPr>
        <w:spacing w:before="80" w:after="80"/>
      </w:pPr>
      <w:r>
        <w:t xml:space="preserve">Go to </w:t>
      </w:r>
      <w:proofErr w:type="spellStart"/>
      <w:r>
        <w:t>cisnew.vercel.app</w:t>
      </w:r>
      <w:proofErr w:type="spellEnd"/>
      <w:r>
        <w:t>. Create a new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3B29D8C0" w14:textId="77777777">
        <w:trPr>
          <w:tblHeader/>
        </w:trPr>
        <w:tc>
          <w:tcPr>
            <w:tcW w:w="4200" w:type="dxa"/>
            <w:shd w:val="clear" w:color="auto" w:fill="1A1A2E"/>
            <w:tcMar>
              <w:top w:w="80" w:type="dxa"/>
              <w:left w:w="100" w:type="dxa"/>
              <w:bottom w:w="80" w:type="dxa"/>
              <w:right w:w="100" w:type="dxa"/>
            </w:tcMar>
          </w:tcPr>
          <w:p w14:paraId="1E786F2C" w14:textId="77777777" w:rsidR="00880EF6" w:rsidRDefault="008E6519">
            <w:r>
              <w:rPr>
                <w:b/>
                <w:bCs/>
                <w:color w:val="C8B87A"/>
                <w:sz w:val="19"/>
                <w:szCs w:val="19"/>
              </w:rPr>
              <w:t>Field</w:t>
            </w:r>
          </w:p>
        </w:tc>
        <w:tc>
          <w:tcPr>
            <w:tcW w:w="5160" w:type="dxa"/>
            <w:shd w:val="clear" w:color="auto" w:fill="1A1A2E"/>
            <w:tcMar>
              <w:top w:w="80" w:type="dxa"/>
              <w:left w:w="100" w:type="dxa"/>
              <w:bottom w:w="80" w:type="dxa"/>
              <w:right w:w="100" w:type="dxa"/>
            </w:tcMar>
          </w:tcPr>
          <w:p w14:paraId="0D4DA428" w14:textId="77777777" w:rsidR="00880EF6" w:rsidRDefault="008E6519">
            <w:r>
              <w:rPr>
                <w:b/>
                <w:bCs/>
                <w:color w:val="C8B87A"/>
                <w:sz w:val="19"/>
                <w:szCs w:val="19"/>
              </w:rPr>
              <w:t>Your entry / what happens</w:t>
            </w:r>
          </w:p>
        </w:tc>
      </w:tr>
      <w:tr w:rsidR="006C5E57" w14:paraId="28BE5B8E" w14:textId="77777777">
        <w:tc>
          <w:tcPr>
            <w:tcW w:w="4200" w:type="dxa"/>
            <w:shd w:val="clear" w:color="auto" w:fill="FFFFFF"/>
            <w:tcMar>
              <w:top w:w="80" w:type="dxa"/>
              <w:left w:w="100" w:type="dxa"/>
              <w:bottom w:w="80" w:type="dxa"/>
              <w:right w:w="100" w:type="dxa"/>
            </w:tcMar>
          </w:tcPr>
          <w:p w14:paraId="5AB48536" w14:textId="77777777" w:rsidR="00880EF6" w:rsidRDefault="008E6519">
            <w:r>
              <w:rPr>
                <w:b/>
                <w:bCs/>
                <w:sz w:val="19"/>
                <w:szCs w:val="19"/>
              </w:rPr>
              <w:t>Case title to enter:</w:t>
            </w:r>
          </w:p>
        </w:tc>
        <w:tc>
          <w:tcPr>
            <w:tcW w:w="5160" w:type="dxa"/>
            <w:shd w:val="clear" w:color="auto" w:fill="FFFEF5"/>
            <w:tcMar>
              <w:top w:w="80" w:type="dxa"/>
              <w:left w:w="100" w:type="dxa"/>
              <w:bottom w:w="80" w:type="dxa"/>
              <w:right w:w="100" w:type="dxa"/>
            </w:tcMar>
          </w:tcPr>
          <w:p w14:paraId="5A675364" w14:textId="77777777" w:rsidR="00880EF6" w:rsidRDefault="008E6519">
            <w:r>
              <w:rPr>
                <w:color w:val="2D2D2D"/>
                <w:sz w:val="19"/>
                <w:szCs w:val="19"/>
              </w:rPr>
              <w:t>Mars Climate Orbiter — Navigation Anomaly Investigation</w:t>
            </w:r>
          </w:p>
        </w:tc>
      </w:tr>
      <w:tr w:rsidR="006C5E57" w14:paraId="6DA135BB" w14:textId="77777777">
        <w:tc>
          <w:tcPr>
            <w:tcW w:w="4200" w:type="dxa"/>
            <w:shd w:val="clear" w:color="auto" w:fill="F5F5FA"/>
            <w:tcMar>
              <w:top w:w="80" w:type="dxa"/>
              <w:left w:w="100" w:type="dxa"/>
              <w:bottom w:w="80" w:type="dxa"/>
              <w:right w:w="100" w:type="dxa"/>
            </w:tcMar>
          </w:tcPr>
          <w:p w14:paraId="456C9707" w14:textId="77777777" w:rsidR="00880EF6" w:rsidRDefault="008E6519">
            <w:r>
              <w:rPr>
                <w:b/>
                <w:bCs/>
                <w:sz w:val="19"/>
                <w:szCs w:val="19"/>
              </w:rPr>
              <w:t>Access code:</w:t>
            </w:r>
          </w:p>
        </w:tc>
        <w:tc>
          <w:tcPr>
            <w:tcW w:w="5160" w:type="dxa"/>
            <w:shd w:val="clear" w:color="auto" w:fill="FFFAF0"/>
            <w:tcMar>
              <w:top w:w="80" w:type="dxa"/>
              <w:left w:w="100" w:type="dxa"/>
              <w:bottom w:w="80" w:type="dxa"/>
              <w:right w:w="100" w:type="dxa"/>
            </w:tcMar>
          </w:tcPr>
          <w:p w14:paraId="71EABDB5" w14:textId="77777777" w:rsidR="00880EF6" w:rsidRDefault="008E6519">
            <w:r>
              <w:rPr>
                <w:color w:val="2D2D2D"/>
                <w:sz w:val="19"/>
                <w:szCs w:val="19"/>
              </w:rPr>
              <w:t>Write it down. You will need it to return to this case.</w:t>
            </w:r>
          </w:p>
        </w:tc>
      </w:tr>
      <w:tr w:rsidR="006C5E57" w14:paraId="31D603F2" w14:textId="77777777">
        <w:tc>
          <w:tcPr>
            <w:tcW w:w="4200" w:type="dxa"/>
            <w:shd w:val="clear" w:color="auto" w:fill="FFFFFF"/>
            <w:tcMar>
              <w:top w:w="80" w:type="dxa"/>
              <w:left w:w="100" w:type="dxa"/>
              <w:bottom w:w="80" w:type="dxa"/>
              <w:right w:w="100" w:type="dxa"/>
            </w:tcMar>
          </w:tcPr>
          <w:p w14:paraId="2E8F7841" w14:textId="77777777" w:rsidR="00880EF6" w:rsidRDefault="008E6519">
            <w:r>
              <w:rPr>
                <w:b/>
                <w:bCs/>
                <w:sz w:val="19"/>
                <w:szCs w:val="19"/>
              </w:rPr>
              <w:t>What to expect:</w:t>
            </w:r>
          </w:p>
        </w:tc>
        <w:tc>
          <w:tcPr>
            <w:tcW w:w="5160" w:type="dxa"/>
            <w:shd w:val="clear" w:color="auto" w:fill="FFFEF5"/>
            <w:tcMar>
              <w:top w:w="80" w:type="dxa"/>
              <w:left w:w="100" w:type="dxa"/>
              <w:bottom w:w="80" w:type="dxa"/>
              <w:right w:w="100" w:type="dxa"/>
            </w:tcMar>
          </w:tcPr>
          <w:p w14:paraId="51051873" w14:textId="77777777" w:rsidR="00880EF6" w:rsidRDefault="008E6519">
            <w:r>
              <w:rPr>
                <w:color w:val="2D2D2D"/>
                <w:sz w:val="19"/>
                <w:szCs w:val="19"/>
              </w:rPr>
              <w:t>Dashboard loads showing empty pool. All signal counts = 0.</w:t>
            </w:r>
          </w:p>
        </w:tc>
      </w:tr>
    </w:tbl>
    <w:p w14:paraId="340A7685" w14:textId="1C29ACE5" w:rsidR="00880EF6" w:rsidRDefault="00224E78">
      <w:pPr>
        <w:spacing w:before="160"/>
      </w:pPr>
      <w:r w:rsidRPr="00224E78">
        <w:t>CIS-MQ20UXK1-M6PV</w:t>
      </w:r>
    </w:p>
    <w:p w14:paraId="10719A9F" w14:textId="77777777" w:rsidR="00880EF6" w:rsidRDefault="008E6519">
      <w:pPr>
        <w:pStyle w:val="Ttulo2"/>
      </w:pPr>
      <w:r>
        <w:t>Step 2 — Create Domains and Declare Independence</w:t>
      </w:r>
    </w:p>
    <w:p w14:paraId="7145721E" w14:textId="77777777" w:rsidR="00880EF6" w:rsidRDefault="008E6519">
      <w:pPr>
        <w:spacing w:before="80" w:after="80"/>
      </w:pPr>
      <w:r>
        <w:t>MCO had exactly two independent navigation domains. AMD was Lockheed Martin's onboard software. JPL was NASA's ground navigation team. They had separate facilities, separate codebases, and no shared data pipeline. That independence is what makes cross-domain analysis valid here.</w:t>
      </w:r>
    </w:p>
    <w:p w14:paraId="1037D71F"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20BA6DE3" w14:textId="77777777">
        <w:trPr>
          <w:tblHeader/>
        </w:trPr>
        <w:tc>
          <w:tcPr>
            <w:tcW w:w="4200" w:type="dxa"/>
            <w:shd w:val="clear" w:color="auto" w:fill="1A1A2E"/>
            <w:tcMar>
              <w:top w:w="80" w:type="dxa"/>
              <w:left w:w="100" w:type="dxa"/>
              <w:bottom w:w="80" w:type="dxa"/>
              <w:right w:w="100" w:type="dxa"/>
            </w:tcMar>
          </w:tcPr>
          <w:p w14:paraId="49447B3B" w14:textId="77777777" w:rsidR="00880EF6" w:rsidRDefault="008E6519">
            <w:r>
              <w:rPr>
                <w:b/>
                <w:bCs/>
                <w:color w:val="C8B87A"/>
                <w:sz w:val="19"/>
                <w:szCs w:val="19"/>
              </w:rPr>
              <w:lastRenderedPageBreak/>
              <w:t>Action</w:t>
            </w:r>
          </w:p>
        </w:tc>
        <w:tc>
          <w:tcPr>
            <w:tcW w:w="5160" w:type="dxa"/>
            <w:shd w:val="clear" w:color="auto" w:fill="1A1A2E"/>
            <w:tcMar>
              <w:top w:w="80" w:type="dxa"/>
              <w:left w:w="100" w:type="dxa"/>
              <w:bottom w:w="80" w:type="dxa"/>
              <w:right w:w="100" w:type="dxa"/>
            </w:tcMar>
          </w:tcPr>
          <w:p w14:paraId="63385E66" w14:textId="77777777" w:rsidR="00880EF6" w:rsidRDefault="008E6519">
            <w:r>
              <w:rPr>
                <w:b/>
                <w:bCs/>
                <w:color w:val="C8B87A"/>
                <w:sz w:val="19"/>
                <w:szCs w:val="19"/>
              </w:rPr>
              <w:t>What to do</w:t>
            </w:r>
          </w:p>
        </w:tc>
      </w:tr>
      <w:tr w:rsidR="006C5E57" w14:paraId="15BE161A" w14:textId="77777777">
        <w:tc>
          <w:tcPr>
            <w:tcW w:w="4200" w:type="dxa"/>
            <w:shd w:val="clear" w:color="auto" w:fill="FFFFFF"/>
            <w:tcMar>
              <w:top w:w="80" w:type="dxa"/>
              <w:left w:w="100" w:type="dxa"/>
              <w:bottom w:w="80" w:type="dxa"/>
              <w:right w:w="100" w:type="dxa"/>
            </w:tcMar>
          </w:tcPr>
          <w:p w14:paraId="49857A91" w14:textId="77777777" w:rsidR="00880EF6" w:rsidRDefault="008E6519">
            <w:r>
              <w:rPr>
                <w:b/>
                <w:bCs/>
                <w:sz w:val="19"/>
                <w:szCs w:val="19"/>
              </w:rPr>
              <w:t>Domain 1 name:</w:t>
            </w:r>
          </w:p>
        </w:tc>
        <w:tc>
          <w:tcPr>
            <w:tcW w:w="5160" w:type="dxa"/>
            <w:shd w:val="clear" w:color="auto" w:fill="FFFEF5"/>
            <w:tcMar>
              <w:top w:w="80" w:type="dxa"/>
              <w:left w:w="100" w:type="dxa"/>
              <w:bottom w:w="80" w:type="dxa"/>
              <w:right w:w="100" w:type="dxa"/>
            </w:tcMar>
          </w:tcPr>
          <w:p w14:paraId="20BBF7E7" w14:textId="77777777" w:rsidR="00880EF6" w:rsidRDefault="008E6519">
            <w:r>
              <w:rPr>
                <w:color w:val="2D2D2D"/>
                <w:sz w:val="19"/>
                <w:szCs w:val="19"/>
              </w:rPr>
              <w:t>AMD Navigation Unit</w:t>
            </w:r>
          </w:p>
        </w:tc>
      </w:tr>
      <w:tr w:rsidR="006C5E57" w14:paraId="3847B8CA" w14:textId="77777777">
        <w:tc>
          <w:tcPr>
            <w:tcW w:w="4200" w:type="dxa"/>
            <w:shd w:val="clear" w:color="auto" w:fill="F5F5FA"/>
            <w:tcMar>
              <w:top w:w="80" w:type="dxa"/>
              <w:left w:w="100" w:type="dxa"/>
              <w:bottom w:w="80" w:type="dxa"/>
              <w:right w:w="100" w:type="dxa"/>
            </w:tcMar>
          </w:tcPr>
          <w:p w14:paraId="42D7F526" w14:textId="77777777" w:rsidR="00880EF6" w:rsidRDefault="008E6519">
            <w:r>
              <w:rPr>
                <w:b/>
                <w:bCs/>
                <w:sz w:val="19"/>
                <w:szCs w:val="19"/>
              </w:rPr>
              <w:t>Domain 1 description:</w:t>
            </w:r>
          </w:p>
        </w:tc>
        <w:tc>
          <w:tcPr>
            <w:tcW w:w="5160" w:type="dxa"/>
            <w:shd w:val="clear" w:color="auto" w:fill="FFFAF0"/>
            <w:tcMar>
              <w:top w:w="80" w:type="dxa"/>
              <w:left w:w="100" w:type="dxa"/>
              <w:bottom w:w="80" w:type="dxa"/>
              <w:right w:w="100" w:type="dxa"/>
            </w:tcMar>
          </w:tcPr>
          <w:p w14:paraId="71E48B38" w14:textId="77777777" w:rsidR="00880EF6" w:rsidRDefault="008E6519">
            <w:r>
              <w:rPr>
                <w:color w:val="2D2D2D"/>
                <w:sz w:val="19"/>
                <w:szCs w:val="19"/>
              </w:rPr>
              <w:t>Lockheed Martin onboard attitude and manoeuvre design software. Produces thruster output data from onboard sensors.</w:t>
            </w:r>
          </w:p>
        </w:tc>
      </w:tr>
      <w:tr w:rsidR="006C5E57" w14:paraId="484AFC5E" w14:textId="77777777">
        <w:tc>
          <w:tcPr>
            <w:tcW w:w="4200" w:type="dxa"/>
            <w:shd w:val="clear" w:color="auto" w:fill="FFFFFF"/>
            <w:tcMar>
              <w:top w:w="80" w:type="dxa"/>
              <w:left w:w="100" w:type="dxa"/>
              <w:bottom w:w="80" w:type="dxa"/>
              <w:right w:w="100" w:type="dxa"/>
            </w:tcMar>
          </w:tcPr>
          <w:p w14:paraId="76FDEF93" w14:textId="77777777" w:rsidR="00880EF6" w:rsidRDefault="008E6519">
            <w:r>
              <w:rPr>
                <w:b/>
                <w:bCs/>
                <w:sz w:val="19"/>
                <w:szCs w:val="19"/>
              </w:rPr>
              <w:t>Domain 2 name:</w:t>
            </w:r>
          </w:p>
        </w:tc>
        <w:tc>
          <w:tcPr>
            <w:tcW w:w="5160" w:type="dxa"/>
            <w:shd w:val="clear" w:color="auto" w:fill="FFFEF5"/>
            <w:tcMar>
              <w:top w:w="80" w:type="dxa"/>
              <w:left w:w="100" w:type="dxa"/>
              <w:bottom w:w="80" w:type="dxa"/>
              <w:right w:w="100" w:type="dxa"/>
            </w:tcMar>
          </w:tcPr>
          <w:p w14:paraId="06DCCED8" w14:textId="77777777" w:rsidR="00880EF6" w:rsidRDefault="008E6519">
            <w:r>
              <w:rPr>
                <w:color w:val="2D2D2D"/>
                <w:sz w:val="19"/>
                <w:szCs w:val="19"/>
              </w:rPr>
              <w:t>JPL Ground Navigation</w:t>
            </w:r>
          </w:p>
        </w:tc>
      </w:tr>
      <w:tr w:rsidR="006C5E57" w14:paraId="14B7FDBA" w14:textId="77777777">
        <w:tc>
          <w:tcPr>
            <w:tcW w:w="4200" w:type="dxa"/>
            <w:shd w:val="clear" w:color="auto" w:fill="F5F5FA"/>
            <w:tcMar>
              <w:top w:w="80" w:type="dxa"/>
              <w:left w:w="100" w:type="dxa"/>
              <w:bottom w:w="80" w:type="dxa"/>
              <w:right w:w="100" w:type="dxa"/>
            </w:tcMar>
          </w:tcPr>
          <w:p w14:paraId="461C6E7B" w14:textId="77777777" w:rsidR="00880EF6" w:rsidRDefault="008E6519">
            <w:r>
              <w:rPr>
                <w:b/>
                <w:bCs/>
                <w:sz w:val="19"/>
                <w:szCs w:val="19"/>
              </w:rPr>
              <w:t>Domain 2 description:</w:t>
            </w:r>
          </w:p>
        </w:tc>
        <w:tc>
          <w:tcPr>
            <w:tcW w:w="5160" w:type="dxa"/>
            <w:shd w:val="clear" w:color="auto" w:fill="FFFAF0"/>
            <w:tcMar>
              <w:top w:w="80" w:type="dxa"/>
              <w:left w:w="100" w:type="dxa"/>
              <w:bottom w:w="80" w:type="dxa"/>
              <w:right w:w="100" w:type="dxa"/>
            </w:tcMar>
          </w:tcPr>
          <w:p w14:paraId="4BC73C93" w14:textId="77777777" w:rsidR="00880EF6" w:rsidRDefault="008E6519">
            <w:r>
              <w:rPr>
                <w:color w:val="2D2D2D"/>
                <w:sz w:val="19"/>
                <w:szCs w:val="19"/>
              </w:rPr>
              <w:t>NASA Jet Propulsion Laboratory ground-based navigation team. Receives telemetry, computes trajectory independently.</w:t>
            </w:r>
          </w:p>
        </w:tc>
      </w:tr>
      <w:tr w:rsidR="006C5E57" w14:paraId="5B3BB146" w14:textId="77777777">
        <w:tc>
          <w:tcPr>
            <w:tcW w:w="4200" w:type="dxa"/>
            <w:shd w:val="clear" w:color="auto" w:fill="FFFFFF"/>
            <w:tcMar>
              <w:top w:w="80" w:type="dxa"/>
              <w:left w:w="100" w:type="dxa"/>
              <w:bottom w:w="80" w:type="dxa"/>
              <w:right w:w="100" w:type="dxa"/>
            </w:tcMar>
          </w:tcPr>
          <w:p w14:paraId="7F40D0ED" w14:textId="77777777" w:rsidR="00880EF6" w:rsidRDefault="008E6519">
            <w:r>
              <w:rPr>
                <w:b/>
                <w:bCs/>
                <w:sz w:val="19"/>
                <w:szCs w:val="19"/>
              </w:rPr>
              <w:t>Independence declaration:</w:t>
            </w:r>
          </w:p>
        </w:tc>
        <w:tc>
          <w:tcPr>
            <w:tcW w:w="5160" w:type="dxa"/>
            <w:shd w:val="clear" w:color="auto" w:fill="FFFEF5"/>
            <w:tcMar>
              <w:top w:w="80" w:type="dxa"/>
              <w:left w:w="100" w:type="dxa"/>
              <w:bottom w:w="80" w:type="dxa"/>
              <w:right w:w="100" w:type="dxa"/>
            </w:tcMar>
          </w:tcPr>
          <w:p w14:paraId="749BFEF1" w14:textId="77777777" w:rsidR="00880EF6" w:rsidRDefault="008E6519">
            <w:r>
              <w:rPr>
                <w:color w:val="2D2D2D"/>
                <w:sz w:val="19"/>
                <w:szCs w:val="19"/>
              </w:rPr>
              <w:t>Go to Domain Manager. Set AMD Navigation Unit ↔ JPL Ground Navigation = INDEPENDENT.</w:t>
            </w:r>
          </w:p>
        </w:tc>
      </w:tr>
      <w:tr w:rsidR="006C5E57" w14:paraId="2C123C39" w14:textId="77777777">
        <w:tc>
          <w:tcPr>
            <w:tcW w:w="4200" w:type="dxa"/>
            <w:shd w:val="clear" w:color="auto" w:fill="F5F5FA"/>
            <w:tcMar>
              <w:top w:w="80" w:type="dxa"/>
              <w:left w:w="100" w:type="dxa"/>
              <w:bottom w:w="80" w:type="dxa"/>
              <w:right w:w="100" w:type="dxa"/>
            </w:tcMar>
          </w:tcPr>
          <w:p w14:paraId="01723350" w14:textId="77777777" w:rsidR="00880EF6" w:rsidRDefault="008E6519">
            <w:r>
              <w:rPr>
                <w:b/>
                <w:bCs/>
                <w:sz w:val="19"/>
                <w:szCs w:val="19"/>
              </w:rPr>
              <w:t>Independence basis to enter:</w:t>
            </w:r>
          </w:p>
        </w:tc>
        <w:tc>
          <w:tcPr>
            <w:tcW w:w="5160" w:type="dxa"/>
            <w:shd w:val="clear" w:color="auto" w:fill="FFFAF0"/>
            <w:tcMar>
              <w:top w:w="80" w:type="dxa"/>
              <w:left w:w="100" w:type="dxa"/>
              <w:bottom w:w="80" w:type="dxa"/>
              <w:right w:w="100" w:type="dxa"/>
            </w:tcMar>
          </w:tcPr>
          <w:p w14:paraId="152732F8" w14:textId="77777777" w:rsidR="00880EF6" w:rsidRDefault="008E6519">
            <w:r>
              <w:rPr>
                <w:color w:val="2D2D2D"/>
                <w:sz w:val="19"/>
                <w:szCs w:val="19"/>
              </w:rPr>
              <w:t>Separate organisations (Lockheed Martin and NASA JPL), separate codebases, separate facilities, no shared data pipeline between the two navigation computations.</w:t>
            </w:r>
          </w:p>
        </w:tc>
      </w:tr>
      <w:tr w:rsidR="006C5E57" w14:paraId="70D299C2" w14:textId="77777777">
        <w:tc>
          <w:tcPr>
            <w:tcW w:w="4200" w:type="dxa"/>
            <w:shd w:val="clear" w:color="auto" w:fill="FFFFFF"/>
            <w:tcMar>
              <w:top w:w="80" w:type="dxa"/>
              <w:left w:w="100" w:type="dxa"/>
              <w:bottom w:w="80" w:type="dxa"/>
              <w:right w:w="100" w:type="dxa"/>
            </w:tcMar>
          </w:tcPr>
          <w:p w14:paraId="40CEDA66" w14:textId="77777777" w:rsidR="00880EF6" w:rsidRDefault="008E6519">
            <w:r>
              <w:rPr>
                <w:b/>
                <w:bCs/>
                <w:sz w:val="19"/>
                <w:szCs w:val="19"/>
              </w:rPr>
              <w:t>Why this matters:</w:t>
            </w:r>
          </w:p>
        </w:tc>
        <w:tc>
          <w:tcPr>
            <w:tcW w:w="5160" w:type="dxa"/>
            <w:shd w:val="clear" w:color="auto" w:fill="FFFEF5"/>
            <w:tcMar>
              <w:top w:w="80" w:type="dxa"/>
              <w:left w:w="100" w:type="dxa"/>
              <w:bottom w:w="80" w:type="dxa"/>
              <w:right w:w="100" w:type="dxa"/>
            </w:tcMar>
          </w:tcPr>
          <w:p w14:paraId="5A9D4113" w14:textId="77777777" w:rsidR="00880EF6" w:rsidRDefault="008E6519">
            <w:r>
              <w:rPr>
                <w:color w:val="2D2D2D"/>
                <w:sz w:val="19"/>
                <w:szCs w:val="19"/>
              </w:rPr>
              <w:t>Without declaring independence, CDA is disabled and no cross-domain connections will fire. This directly tests the independence matrix and LP-3 protection.</w:t>
            </w:r>
          </w:p>
        </w:tc>
      </w:tr>
    </w:tbl>
    <w:p w14:paraId="03254D89" w14:textId="77777777" w:rsidR="00880EF6" w:rsidRDefault="00880EF6">
      <w:pPr>
        <w:spacing w:before="160"/>
      </w:pPr>
    </w:p>
    <w:p w14:paraId="491C2363" w14:textId="77777777" w:rsidR="00880EF6" w:rsidRDefault="008E6519">
      <w:pPr>
        <w:pStyle w:val="Ttulo2"/>
      </w:pPr>
      <w:r>
        <w:t>Step 3 — Enter Signals</w:t>
      </w:r>
    </w:p>
    <w:p w14:paraId="578663A8" w14:textId="77777777" w:rsidR="00880EF6" w:rsidRDefault="008E6519">
      <w:pPr>
        <w:spacing w:before="80" w:after="80"/>
      </w:pPr>
      <w:r>
        <w:t>Enter every signal below in the order shown. Use Signal Intake (/cases/:id/intake). Select the domain from the dropdown. Set the observation period as shown. Enter the exact text in the content field — or something close to it. The WHY column explains what each entry is testing.</w:t>
      </w:r>
    </w:p>
    <w:p w14:paraId="59AA1AF1" w14:textId="77777777" w:rsidR="00880EF6" w:rsidRDefault="00880EF6">
      <w:pPr>
        <w:spacing w:before="80"/>
      </w:pPr>
    </w:p>
    <w:p w14:paraId="6DD87381" w14:textId="77777777" w:rsidR="00880EF6" w:rsidRDefault="008E6519">
      <w:pPr>
        <w:pBdr>
          <w:left w:val="single" w:sz="12" w:space="2" w:color="C8B87A"/>
        </w:pBdr>
        <w:shd w:val="clear" w:color="auto" w:fill="F5F0DC"/>
        <w:spacing w:before="120" w:after="120"/>
        <w:ind w:left="240"/>
      </w:pPr>
      <w:r>
        <w:rPr>
          <w:i/>
          <w:iCs/>
          <w:color w:val="2D2D2D"/>
          <w:sz w:val="20"/>
          <w:szCs w:val="20"/>
        </w:rPr>
        <w:t>Observation periods here represent navigation review windows during the 9.5-month cruise phase. Period 1 = cruise week 2. Period 2 = cruise week 8. Period 3 = cruise week 16. Period 4 = final approach. Period 5 = Mars orbit insertion.</w:t>
      </w:r>
    </w:p>
    <w:p w14:paraId="23D4018B" w14:textId="77777777" w:rsidR="00880EF6" w:rsidRDefault="00880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1388"/>
        <w:gridCol w:w="792"/>
        <w:gridCol w:w="3682"/>
        <w:gridCol w:w="3069"/>
      </w:tblGrid>
      <w:tr w:rsidR="006C5E57" w14:paraId="6B31C095" w14:textId="77777777">
        <w:trPr>
          <w:tblHeader/>
        </w:trPr>
        <w:tc>
          <w:tcPr>
            <w:tcW w:w="400" w:type="dxa"/>
            <w:shd w:val="clear" w:color="auto" w:fill="1A1A2E"/>
            <w:tcMar>
              <w:top w:w="80" w:type="dxa"/>
              <w:left w:w="100" w:type="dxa"/>
              <w:bottom w:w="80" w:type="dxa"/>
              <w:right w:w="100" w:type="dxa"/>
            </w:tcMar>
          </w:tcPr>
          <w:p w14:paraId="174BF7B5" w14:textId="77777777" w:rsidR="00880EF6" w:rsidRDefault="008E6519">
            <w:r>
              <w:rPr>
                <w:b/>
                <w:bCs/>
                <w:color w:val="C8B87A"/>
                <w:sz w:val="19"/>
                <w:szCs w:val="19"/>
              </w:rPr>
              <w:t>#</w:t>
            </w:r>
          </w:p>
        </w:tc>
        <w:tc>
          <w:tcPr>
            <w:tcW w:w="1400" w:type="dxa"/>
            <w:shd w:val="clear" w:color="auto" w:fill="1A1A2E"/>
            <w:tcMar>
              <w:top w:w="80" w:type="dxa"/>
              <w:left w:w="100" w:type="dxa"/>
              <w:bottom w:w="80" w:type="dxa"/>
              <w:right w:w="100" w:type="dxa"/>
            </w:tcMar>
          </w:tcPr>
          <w:p w14:paraId="586A95CC" w14:textId="77777777" w:rsidR="00880EF6" w:rsidRDefault="008E6519">
            <w:r>
              <w:rPr>
                <w:b/>
                <w:bCs/>
                <w:color w:val="C8B87A"/>
                <w:sz w:val="19"/>
                <w:szCs w:val="19"/>
              </w:rPr>
              <w:t>Domain</w:t>
            </w:r>
          </w:p>
        </w:tc>
        <w:tc>
          <w:tcPr>
            <w:tcW w:w="600" w:type="dxa"/>
            <w:shd w:val="clear" w:color="auto" w:fill="1A1A2E"/>
            <w:tcMar>
              <w:top w:w="80" w:type="dxa"/>
              <w:left w:w="100" w:type="dxa"/>
              <w:bottom w:w="80" w:type="dxa"/>
              <w:right w:w="100" w:type="dxa"/>
            </w:tcMar>
          </w:tcPr>
          <w:p w14:paraId="0C01920C" w14:textId="77777777" w:rsidR="00880EF6" w:rsidRDefault="008E6519">
            <w:r>
              <w:rPr>
                <w:b/>
                <w:bCs/>
                <w:color w:val="C8B87A"/>
                <w:sz w:val="19"/>
                <w:szCs w:val="19"/>
              </w:rPr>
              <w:t>Period</w:t>
            </w:r>
          </w:p>
        </w:tc>
        <w:tc>
          <w:tcPr>
            <w:tcW w:w="3800" w:type="dxa"/>
            <w:shd w:val="clear" w:color="auto" w:fill="1A1A2E"/>
            <w:tcMar>
              <w:top w:w="80" w:type="dxa"/>
              <w:left w:w="100" w:type="dxa"/>
              <w:bottom w:w="80" w:type="dxa"/>
              <w:right w:w="100" w:type="dxa"/>
            </w:tcMar>
          </w:tcPr>
          <w:p w14:paraId="334C8F28" w14:textId="77777777" w:rsidR="00880EF6" w:rsidRDefault="008E6519">
            <w:r>
              <w:rPr>
                <w:b/>
                <w:bCs/>
                <w:color w:val="C8B87A"/>
                <w:sz w:val="19"/>
                <w:szCs w:val="19"/>
              </w:rPr>
              <w:t>What to enter in the Content field</w:t>
            </w:r>
          </w:p>
        </w:tc>
        <w:tc>
          <w:tcPr>
            <w:tcW w:w="3160" w:type="dxa"/>
            <w:shd w:val="clear" w:color="auto" w:fill="1A1A2E"/>
            <w:tcMar>
              <w:top w:w="80" w:type="dxa"/>
              <w:left w:w="100" w:type="dxa"/>
              <w:bottom w:w="80" w:type="dxa"/>
              <w:right w:w="100" w:type="dxa"/>
            </w:tcMar>
          </w:tcPr>
          <w:p w14:paraId="1B1CBF3C" w14:textId="77777777" w:rsidR="00880EF6" w:rsidRDefault="008E6519">
            <w:r>
              <w:rPr>
                <w:b/>
                <w:bCs/>
                <w:color w:val="C8B87A"/>
                <w:sz w:val="19"/>
                <w:szCs w:val="19"/>
              </w:rPr>
              <w:t xml:space="preserve">Why — what </w:t>
            </w:r>
            <w:proofErr w:type="gramStart"/>
            <w:r>
              <w:rPr>
                <w:b/>
                <w:bCs/>
                <w:color w:val="C8B87A"/>
                <w:sz w:val="19"/>
                <w:szCs w:val="19"/>
              </w:rPr>
              <w:t>this tests</w:t>
            </w:r>
            <w:proofErr w:type="gramEnd"/>
          </w:p>
        </w:tc>
      </w:tr>
      <w:tr w:rsidR="006C5E57" w14:paraId="57B00FCC" w14:textId="77777777">
        <w:tc>
          <w:tcPr>
            <w:tcW w:w="400" w:type="dxa"/>
            <w:shd w:val="clear" w:color="auto" w:fill="FFFFFF"/>
            <w:tcMar>
              <w:top w:w="80" w:type="dxa"/>
              <w:left w:w="100" w:type="dxa"/>
              <w:bottom w:w="80" w:type="dxa"/>
              <w:right w:w="100" w:type="dxa"/>
            </w:tcMar>
          </w:tcPr>
          <w:p w14:paraId="2FE75B2D" w14:textId="77777777" w:rsidR="00880EF6" w:rsidRDefault="008E6519">
            <w:r>
              <w:rPr>
                <w:rFonts w:ascii="Courier New" w:eastAsia="Courier New" w:hAnsi="Courier New" w:cs="Courier New"/>
                <w:b/>
                <w:bCs/>
                <w:color w:val="4A4A6A"/>
                <w:sz w:val="19"/>
                <w:szCs w:val="19"/>
              </w:rPr>
              <w:t>1</w:t>
            </w:r>
          </w:p>
        </w:tc>
        <w:tc>
          <w:tcPr>
            <w:tcW w:w="1400" w:type="dxa"/>
            <w:shd w:val="clear" w:color="auto" w:fill="FFFFFF"/>
            <w:tcMar>
              <w:top w:w="80" w:type="dxa"/>
              <w:left w:w="100" w:type="dxa"/>
              <w:bottom w:w="80" w:type="dxa"/>
              <w:right w:w="100" w:type="dxa"/>
            </w:tcMar>
          </w:tcPr>
          <w:p w14:paraId="59A1AB9B" w14:textId="77777777" w:rsidR="00880EF6" w:rsidRDefault="008E6519">
            <w:r>
              <w:rPr>
                <w:b/>
                <w:bCs/>
                <w:color w:val="2D3561"/>
                <w:sz w:val="19"/>
                <w:szCs w:val="19"/>
              </w:rPr>
              <w:t>AMD Navigation Unit</w:t>
            </w:r>
          </w:p>
        </w:tc>
        <w:tc>
          <w:tcPr>
            <w:tcW w:w="600" w:type="dxa"/>
            <w:shd w:val="clear" w:color="auto" w:fill="FFFFFF"/>
            <w:tcMar>
              <w:top w:w="80" w:type="dxa"/>
              <w:left w:w="100" w:type="dxa"/>
              <w:bottom w:w="80" w:type="dxa"/>
              <w:right w:w="100" w:type="dxa"/>
            </w:tcMar>
          </w:tcPr>
          <w:p w14:paraId="2A41467B"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FFFFF"/>
            <w:tcMar>
              <w:top w:w="80" w:type="dxa"/>
              <w:left w:w="100" w:type="dxa"/>
              <w:bottom w:w="80" w:type="dxa"/>
              <w:right w:w="100" w:type="dxa"/>
            </w:tcMar>
          </w:tcPr>
          <w:p w14:paraId="2539A91D" w14:textId="77777777" w:rsidR="00880EF6" w:rsidRDefault="008E6519">
            <w:r>
              <w:rPr>
                <w:sz w:val="19"/>
                <w:szCs w:val="19"/>
              </w:rPr>
              <w:t>Thruster output telemetry nominal. All AMD sensors reporting within expected range. No anomalous readings at period 1 review.</w:t>
            </w:r>
          </w:p>
        </w:tc>
        <w:tc>
          <w:tcPr>
            <w:tcW w:w="3160" w:type="dxa"/>
            <w:shd w:val="clear" w:color="auto" w:fill="FFFEF5"/>
            <w:tcMar>
              <w:top w:w="80" w:type="dxa"/>
              <w:left w:w="100" w:type="dxa"/>
              <w:bottom w:w="80" w:type="dxa"/>
              <w:right w:w="100" w:type="dxa"/>
            </w:tcMar>
          </w:tcPr>
          <w:p w14:paraId="30197B81" w14:textId="77777777" w:rsidR="00880EF6" w:rsidRDefault="008E6519">
            <w:r>
              <w:rPr>
                <w:i/>
                <w:iCs/>
                <w:color w:val="4A4040"/>
                <w:sz w:val="19"/>
                <w:szCs w:val="19"/>
              </w:rPr>
              <w:t>Low SI — this is the baseline. CIS should admit it as sub-threshold or low significance. You are establishing what 'normal' looks like in AMD data before the anomaly appears. Watch the SI preview as you type: it should stay low.</w:t>
            </w:r>
          </w:p>
        </w:tc>
      </w:tr>
      <w:tr w:rsidR="006C5E57" w14:paraId="742A3F49" w14:textId="77777777">
        <w:tc>
          <w:tcPr>
            <w:tcW w:w="400" w:type="dxa"/>
            <w:shd w:val="clear" w:color="auto" w:fill="F5F5FA"/>
            <w:tcMar>
              <w:top w:w="80" w:type="dxa"/>
              <w:left w:w="100" w:type="dxa"/>
              <w:bottom w:w="80" w:type="dxa"/>
              <w:right w:w="100" w:type="dxa"/>
            </w:tcMar>
          </w:tcPr>
          <w:p w14:paraId="10FC67ED" w14:textId="77777777" w:rsidR="00880EF6" w:rsidRDefault="008E6519">
            <w:r>
              <w:rPr>
                <w:rFonts w:ascii="Courier New" w:eastAsia="Courier New" w:hAnsi="Courier New" w:cs="Courier New"/>
                <w:b/>
                <w:bCs/>
                <w:color w:val="4A4A6A"/>
                <w:sz w:val="19"/>
                <w:szCs w:val="19"/>
              </w:rPr>
              <w:t>2</w:t>
            </w:r>
          </w:p>
        </w:tc>
        <w:tc>
          <w:tcPr>
            <w:tcW w:w="1400" w:type="dxa"/>
            <w:shd w:val="clear" w:color="auto" w:fill="F5F5FA"/>
            <w:tcMar>
              <w:top w:w="80" w:type="dxa"/>
              <w:left w:w="100" w:type="dxa"/>
              <w:bottom w:w="80" w:type="dxa"/>
              <w:right w:w="100" w:type="dxa"/>
            </w:tcMar>
          </w:tcPr>
          <w:p w14:paraId="3E2BA50C" w14:textId="77777777" w:rsidR="00880EF6" w:rsidRDefault="008E6519">
            <w:r>
              <w:rPr>
                <w:b/>
                <w:bCs/>
                <w:color w:val="2D3561"/>
                <w:sz w:val="19"/>
                <w:szCs w:val="19"/>
              </w:rPr>
              <w:t>JPL Ground Navigation</w:t>
            </w:r>
          </w:p>
        </w:tc>
        <w:tc>
          <w:tcPr>
            <w:tcW w:w="600" w:type="dxa"/>
            <w:shd w:val="clear" w:color="auto" w:fill="F5F5FA"/>
            <w:tcMar>
              <w:top w:w="80" w:type="dxa"/>
              <w:left w:w="100" w:type="dxa"/>
              <w:bottom w:w="80" w:type="dxa"/>
              <w:right w:w="100" w:type="dxa"/>
            </w:tcMar>
          </w:tcPr>
          <w:p w14:paraId="2B678ECF"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5F5FA"/>
            <w:tcMar>
              <w:top w:w="80" w:type="dxa"/>
              <w:left w:w="100" w:type="dxa"/>
              <w:bottom w:w="80" w:type="dxa"/>
              <w:right w:w="100" w:type="dxa"/>
            </w:tcMar>
          </w:tcPr>
          <w:p w14:paraId="3EDE5FAF" w14:textId="77777777" w:rsidR="00880EF6" w:rsidRDefault="008E6519">
            <w:r>
              <w:rPr>
                <w:sz w:val="19"/>
                <w:szCs w:val="19"/>
              </w:rPr>
              <w:t>Navigation residuals within tolerance at period 1. Trajectory tracking nominal against projected cruise path. No correction manoeuvre required.</w:t>
            </w:r>
          </w:p>
        </w:tc>
        <w:tc>
          <w:tcPr>
            <w:tcW w:w="3160" w:type="dxa"/>
            <w:shd w:val="clear" w:color="auto" w:fill="FFFAF0"/>
            <w:tcMar>
              <w:top w:w="80" w:type="dxa"/>
              <w:left w:w="100" w:type="dxa"/>
              <w:bottom w:w="80" w:type="dxa"/>
              <w:right w:w="100" w:type="dxa"/>
            </w:tcMar>
          </w:tcPr>
          <w:p w14:paraId="74099729" w14:textId="77777777" w:rsidR="00880EF6" w:rsidRDefault="008E6519">
            <w:r>
              <w:rPr>
                <w:i/>
                <w:iCs/>
                <w:color w:val="4A4040"/>
                <w:sz w:val="19"/>
                <w:szCs w:val="19"/>
              </w:rPr>
              <w:t>Low SI — same baseline from JPL's side. Two independent domains both reporting nominal at period 1 confirms the independence declaration is working. No cross-domain connection should fire yet.</w:t>
            </w:r>
          </w:p>
        </w:tc>
      </w:tr>
      <w:tr w:rsidR="006C5E57" w14:paraId="684E64C3" w14:textId="77777777">
        <w:tc>
          <w:tcPr>
            <w:tcW w:w="400" w:type="dxa"/>
            <w:shd w:val="clear" w:color="auto" w:fill="FFFFFF"/>
            <w:tcMar>
              <w:top w:w="80" w:type="dxa"/>
              <w:left w:w="100" w:type="dxa"/>
              <w:bottom w:w="80" w:type="dxa"/>
              <w:right w:w="100" w:type="dxa"/>
            </w:tcMar>
          </w:tcPr>
          <w:p w14:paraId="1F3E0B02" w14:textId="77777777" w:rsidR="00880EF6" w:rsidRDefault="008E6519">
            <w:r>
              <w:rPr>
                <w:rFonts w:ascii="Courier New" w:eastAsia="Courier New" w:hAnsi="Courier New" w:cs="Courier New"/>
                <w:b/>
                <w:bCs/>
                <w:color w:val="4A4A6A"/>
                <w:sz w:val="19"/>
                <w:szCs w:val="19"/>
              </w:rPr>
              <w:lastRenderedPageBreak/>
              <w:t>3</w:t>
            </w:r>
          </w:p>
        </w:tc>
        <w:tc>
          <w:tcPr>
            <w:tcW w:w="1400" w:type="dxa"/>
            <w:shd w:val="clear" w:color="auto" w:fill="FFFFFF"/>
            <w:tcMar>
              <w:top w:w="80" w:type="dxa"/>
              <w:left w:w="100" w:type="dxa"/>
              <w:bottom w:w="80" w:type="dxa"/>
              <w:right w:w="100" w:type="dxa"/>
            </w:tcMar>
          </w:tcPr>
          <w:p w14:paraId="2A391DB3" w14:textId="77777777" w:rsidR="00880EF6" w:rsidRDefault="008E6519">
            <w:r>
              <w:rPr>
                <w:b/>
                <w:bCs/>
                <w:color w:val="2D3561"/>
                <w:sz w:val="19"/>
                <w:szCs w:val="19"/>
              </w:rPr>
              <w:t>AMD Navigation Unit</w:t>
            </w:r>
          </w:p>
        </w:tc>
        <w:tc>
          <w:tcPr>
            <w:tcW w:w="600" w:type="dxa"/>
            <w:shd w:val="clear" w:color="auto" w:fill="FFFFFF"/>
            <w:tcMar>
              <w:top w:w="80" w:type="dxa"/>
              <w:left w:w="100" w:type="dxa"/>
              <w:bottom w:w="80" w:type="dxa"/>
              <w:right w:w="100" w:type="dxa"/>
            </w:tcMar>
          </w:tcPr>
          <w:p w14:paraId="6C352AED"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FFFFF"/>
            <w:tcMar>
              <w:top w:w="80" w:type="dxa"/>
              <w:left w:w="100" w:type="dxa"/>
              <w:bottom w:w="80" w:type="dxa"/>
              <w:right w:w="100" w:type="dxa"/>
            </w:tcMar>
          </w:tcPr>
          <w:p w14:paraId="4EBCAA34" w14:textId="77777777" w:rsidR="00880EF6" w:rsidRDefault="008E6519">
            <w:r>
              <w:rPr>
                <w:sz w:val="19"/>
                <w:szCs w:val="19"/>
              </w:rPr>
              <w:t>Thruster output data for TCM-1 manoeuvre: 0.26 lb-force seconds per pulse. Manoeuvre executed as commanded by AMD software. No fault flags raised by AMD unit.</w:t>
            </w:r>
          </w:p>
        </w:tc>
        <w:tc>
          <w:tcPr>
            <w:tcW w:w="3160" w:type="dxa"/>
            <w:shd w:val="clear" w:color="auto" w:fill="FFFEF5"/>
            <w:tcMar>
              <w:top w:w="80" w:type="dxa"/>
              <w:left w:w="100" w:type="dxa"/>
              <w:bottom w:w="80" w:type="dxa"/>
              <w:right w:w="100" w:type="dxa"/>
            </w:tcMar>
          </w:tcPr>
          <w:p w14:paraId="36DA5A25" w14:textId="77777777" w:rsidR="00880EF6" w:rsidRDefault="008E6519">
            <w:r>
              <w:rPr>
                <w:i/>
                <w:iCs/>
                <w:color w:val="4A4040"/>
                <w:sz w:val="19"/>
                <w:szCs w:val="19"/>
              </w:rPr>
              <w:t>Medium SI — the number itself is technically correct in AMD's frame. But 0.26 lb-force seconds is structurally incongruent with the SI-unit mission parameter baseline. Watch whether CIS scores this as incongruent. This is the unit error signal — AMD has no idea anything is wrong.</w:t>
            </w:r>
          </w:p>
        </w:tc>
      </w:tr>
      <w:tr w:rsidR="006C5E57" w14:paraId="1AB544CA" w14:textId="77777777">
        <w:tc>
          <w:tcPr>
            <w:tcW w:w="400" w:type="dxa"/>
            <w:shd w:val="clear" w:color="auto" w:fill="F5F5FA"/>
            <w:tcMar>
              <w:top w:w="80" w:type="dxa"/>
              <w:left w:w="100" w:type="dxa"/>
              <w:bottom w:w="80" w:type="dxa"/>
              <w:right w:w="100" w:type="dxa"/>
            </w:tcMar>
          </w:tcPr>
          <w:p w14:paraId="1376C712" w14:textId="77777777" w:rsidR="00880EF6" w:rsidRDefault="008E6519">
            <w:r>
              <w:rPr>
                <w:rFonts w:ascii="Courier New" w:eastAsia="Courier New" w:hAnsi="Courier New" w:cs="Courier New"/>
                <w:b/>
                <w:bCs/>
                <w:color w:val="4A4A6A"/>
                <w:sz w:val="19"/>
                <w:szCs w:val="19"/>
              </w:rPr>
              <w:t>4</w:t>
            </w:r>
          </w:p>
        </w:tc>
        <w:tc>
          <w:tcPr>
            <w:tcW w:w="1400" w:type="dxa"/>
            <w:shd w:val="clear" w:color="auto" w:fill="F5F5FA"/>
            <w:tcMar>
              <w:top w:w="80" w:type="dxa"/>
              <w:left w:w="100" w:type="dxa"/>
              <w:bottom w:w="80" w:type="dxa"/>
              <w:right w:w="100" w:type="dxa"/>
            </w:tcMar>
          </w:tcPr>
          <w:p w14:paraId="4EBFB343" w14:textId="77777777" w:rsidR="00880EF6" w:rsidRDefault="008E6519">
            <w:r>
              <w:rPr>
                <w:b/>
                <w:bCs/>
                <w:color w:val="2D3561"/>
                <w:sz w:val="19"/>
                <w:szCs w:val="19"/>
              </w:rPr>
              <w:t>JPL Ground Navigation</w:t>
            </w:r>
          </w:p>
        </w:tc>
        <w:tc>
          <w:tcPr>
            <w:tcW w:w="600" w:type="dxa"/>
            <w:shd w:val="clear" w:color="auto" w:fill="F5F5FA"/>
            <w:tcMar>
              <w:top w:w="80" w:type="dxa"/>
              <w:left w:w="100" w:type="dxa"/>
              <w:bottom w:w="80" w:type="dxa"/>
              <w:right w:w="100" w:type="dxa"/>
            </w:tcMar>
          </w:tcPr>
          <w:p w14:paraId="2B4CF43F"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5F5FA"/>
            <w:tcMar>
              <w:top w:w="80" w:type="dxa"/>
              <w:left w:w="100" w:type="dxa"/>
              <w:bottom w:w="80" w:type="dxa"/>
              <w:right w:w="100" w:type="dxa"/>
            </w:tcMar>
          </w:tcPr>
          <w:p w14:paraId="4242E5BC" w14:textId="77777777" w:rsidR="00880EF6" w:rsidRDefault="008E6519">
            <w:r>
              <w:rPr>
                <w:sz w:val="19"/>
                <w:szCs w:val="19"/>
              </w:rPr>
              <w:t>Navigation residuals show 2.1 km/s deviation from expected trajectory following TCM-1. Residuals direction consistent with under-thrusting. JPL computed expected delta-V from AMD thruster data and found it inconsistent with observed trajectory change.</w:t>
            </w:r>
          </w:p>
        </w:tc>
        <w:tc>
          <w:tcPr>
            <w:tcW w:w="3160" w:type="dxa"/>
            <w:shd w:val="clear" w:color="auto" w:fill="FFFAF0"/>
            <w:tcMar>
              <w:top w:w="80" w:type="dxa"/>
              <w:left w:w="100" w:type="dxa"/>
              <w:bottom w:w="80" w:type="dxa"/>
              <w:right w:w="100" w:type="dxa"/>
            </w:tcMar>
          </w:tcPr>
          <w:p w14:paraId="1B7436C4" w14:textId="77777777" w:rsidR="00880EF6" w:rsidRDefault="008E6519">
            <w:r>
              <w:rPr>
                <w:i/>
                <w:iCs/>
                <w:color w:val="4A4040"/>
                <w:sz w:val="19"/>
                <w:szCs w:val="19"/>
              </w:rPr>
              <w:t>High SI — JPL is seeing the downstream effect of the unit error without knowing the cause. The structural incongruence: AMD reports successful manoeuvre execution, JPL observes trajectory inconsistent with that execution. Watch for a cross-domain connection attempt between Signal 3 (AMD, period 2) and this signal.</w:t>
            </w:r>
          </w:p>
        </w:tc>
      </w:tr>
      <w:tr w:rsidR="006C5E57" w14:paraId="63BB5319" w14:textId="77777777">
        <w:tc>
          <w:tcPr>
            <w:tcW w:w="400" w:type="dxa"/>
            <w:shd w:val="clear" w:color="auto" w:fill="FFFFFF"/>
            <w:tcMar>
              <w:top w:w="80" w:type="dxa"/>
              <w:left w:w="100" w:type="dxa"/>
              <w:bottom w:w="80" w:type="dxa"/>
              <w:right w:w="100" w:type="dxa"/>
            </w:tcMar>
          </w:tcPr>
          <w:p w14:paraId="5B859CE6" w14:textId="77777777" w:rsidR="00880EF6" w:rsidRDefault="008E6519">
            <w:r>
              <w:rPr>
                <w:rFonts w:ascii="Courier New" w:eastAsia="Courier New" w:hAnsi="Courier New" w:cs="Courier New"/>
                <w:b/>
                <w:bCs/>
                <w:color w:val="4A4A6A"/>
                <w:sz w:val="19"/>
                <w:szCs w:val="19"/>
              </w:rPr>
              <w:t>5</w:t>
            </w:r>
          </w:p>
        </w:tc>
        <w:tc>
          <w:tcPr>
            <w:tcW w:w="1400" w:type="dxa"/>
            <w:shd w:val="clear" w:color="auto" w:fill="FFFFFF"/>
            <w:tcMar>
              <w:top w:w="80" w:type="dxa"/>
              <w:left w:w="100" w:type="dxa"/>
              <w:bottom w:w="80" w:type="dxa"/>
              <w:right w:w="100" w:type="dxa"/>
            </w:tcMar>
          </w:tcPr>
          <w:p w14:paraId="2FE11645" w14:textId="77777777" w:rsidR="00880EF6" w:rsidRDefault="008E6519">
            <w:r>
              <w:rPr>
                <w:b/>
                <w:bCs/>
                <w:color w:val="2D3561"/>
                <w:sz w:val="19"/>
                <w:szCs w:val="19"/>
              </w:rPr>
              <w:t>AMD Navigation Unit</w:t>
            </w:r>
          </w:p>
        </w:tc>
        <w:tc>
          <w:tcPr>
            <w:tcW w:w="600" w:type="dxa"/>
            <w:shd w:val="clear" w:color="auto" w:fill="FFFFFF"/>
            <w:tcMar>
              <w:top w:w="80" w:type="dxa"/>
              <w:left w:w="100" w:type="dxa"/>
              <w:bottom w:w="80" w:type="dxa"/>
              <w:right w:w="100" w:type="dxa"/>
            </w:tcMar>
          </w:tcPr>
          <w:p w14:paraId="6920326D"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FFFFF"/>
            <w:tcMar>
              <w:top w:w="80" w:type="dxa"/>
              <w:left w:w="100" w:type="dxa"/>
              <w:bottom w:w="80" w:type="dxa"/>
              <w:right w:w="100" w:type="dxa"/>
            </w:tcMar>
          </w:tcPr>
          <w:p w14:paraId="133B65E1" w14:textId="77777777" w:rsidR="00880EF6" w:rsidRDefault="008E6519">
            <w:r>
              <w:rPr>
                <w:sz w:val="19"/>
                <w:szCs w:val="19"/>
              </w:rPr>
              <w:t>AMD unit self-diagnostic at period 2: all systems nominal. No hardware faults detected. Sensor readings within calibration range. AMD reports system healthy.</w:t>
            </w:r>
          </w:p>
        </w:tc>
        <w:tc>
          <w:tcPr>
            <w:tcW w:w="3160" w:type="dxa"/>
            <w:shd w:val="clear" w:color="auto" w:fill="FFFEF5"/>
            <w:tcMar>
              <w:top w:w="80" w:type="dxa"/>
              <w:left w:w="100" w:type="dxa"/>
              <w:bottom w:w="80" w:type="dxa"/>
              <w:right w:w="100" w:type="dxa"/>
            </w:tcMar>
          </w:tcPr>
          <w:p w14:paraId="68C019E4" w14:textId="77777777" w:rsidR="00880EF6" w:rsidRDefault="008E6519">
            <w:r>
              <w:rPr>
                <w:i/>
                <w:iCs/>
                <w:color w:val="4A4040"/>
                <w:sz w:val="19"/>
                <w:szCs w:val="19"/>
              </w:rPr>
              <w:t>This is the contradiction signal. AMD says everything is fine. But Signal 4 (JPL) says the trajectory is wrong by 2.1 km/s. You will register this as a formal contradiction with Signal 4 later. For now, enter it and note the SI score — it should be low (AMD genuinely believes this), which is what makes the contradiction structurally interesting.</w:t>
            </w:r>
          </w:p>
        </w:tc>
      </w:tr>
      <w:tr w:rsidR="006C5E57" w14:paraId="71BD48E4" w14:textId="77777777">
        <w:tc>
          <w:tcPr>
            <w:tcW w:w="400" w:type="dxa"/>
            <w:shd w:val="clear" w:color="auto" w:fill="F5F5FA"/>
            <w:tcMar>
              <w:top w:w="80" w:type="dxa"/>
              <w:left w:w="100" w:type="dxa"/>
              <w:bottom w:w="80" w:type="dxa"/>
              <w:right w:w="100" w:type="dxa"/>
            </w:tcMar>
          </w:tcPr>
          <w:p w14:paraId="2F017C73" w14:textId="77777777" w:rsidR="00880EF6" w:rsidRDefault="008E6519">
            <w:r>
              <w:rPr>
                <w:rFonts w:ascii="Courier New" w:eastAsia="Courier New" w:hAnsi="Courier New" w:cs="Courier New"/>
                <w:b/>
                <w:bCs/>
                <w:color w:val="4A4A6A"/>
                <w:sz w:val="19"/>
                <w:szCs w:val="19"/>
              </w:rPr>
              <w:t>6</w:t>
            </w:r>
          </w:p>
        </w:tc>
        <w:tc>
          <w:tcPr>
            <w:tcW w:w="1400" w:type="dxa"/>
            <w:shd w:val="clear" w:color="auto" w:fill="F5F5FA"/>
            <w:tcMar>
              <w:top w:w="80" w:type="dxa"/>
              <w:left w:w="100" w:type="dxa"/>
              <w:bottom w:w="80" w:type="dxa"/>
              <w:right w:w="100" w:type="dxa"/>
            </w:tcMar>
          </w:tcPr>
          <w:p w14:paraId="67100A63" w14:textId="77777777" w:rsidR="00880EF6" w:rsidRDefault="008E6519">
            <w:r>
              <w:rPr>
                <w:b/>
                <w:bCs/>
                <w:color w:val="2D3561"/>
                <w:sz w:val="19"/>
                <w:szCs w:val="19"/>
              </w:rPr>
              <w:t>JPL Ground Navigation</w:t>
            </w:r>
          </w:p>
        </w:tc>
        <w:tc>
          <w:tcPr>
            <w:tcW w:w="600" w:type="dxa"/>
            <w:shd w:val="clear" w:color="auto" w:fill="F5F5FA"/>
            <w:tcMar>
              <w:top w:w="80" w:type="dxa"/>
              <w:left w:w="100" w:type="dxa"/>
              <w:bottom w:w="80" w:type="dxa"/>
              <w:right w:w="100" w:type="dxa"/>
            </w:tcMar>
          </w:tcPr>
          <w:p w14:paraId="6D6B6429"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5F5FA"/>
            <w:tcMar>
              <w:top w:w="80" w:type="dxa"/>
              <w:left w:w="100" w:type="dxa"/>
              <w:bottom w:w="80" w:type="dxa"/>
              <w:right w:w="100" w:type="dxa"/>
            </w:tcMar>
          </w:tcPr>
          <w:p w14:paraId="4BEE5DD3" w14:textId="77777777" w:rsidR="00880EF6" w:rsidRDefault="008E6519">
            <w:r>
              <w:rPr>
                <w:sz w:val="19"/>
                <w:szCs w:val="19"/>
              </w:rPr>
              <w:t>Navigation residuals accumulating across periods 2–3. Total deviation now 11.8 km/s from projected cruise trajectory. Rate of accumulation consistent with a systematic thruster error rather than random noise. Pattern is directional — all deviations in the same axis.</w:t>
            </w:r>
          </w:p>
        </w:tc>
        <w:tc>
          <w:tcPr>
            <w:tcW w:w="3160" w:type="dxa"/>
            <w:shd w:val="clear" w:color="auto" w:fill="FFFAF0"/>
            <w:tcMar>
              <w:top w:w="80" w:type="dxa"/>
              <w:left w:w="100" w:type="dxa"/>
              <w:bottom w:w="80" w:type="dxa"/>
              <w:right w:w="100" w:type="dxa"/>
            </w:tcMar>
          </w:tcPr>
          <w:p w14:paraId="129234E8" w14:textId="77777777" w:rsidR="00880EF6" w:rsidRDefault="008E6519">
            <w:r>
              <w:rPr>
                <w:i/>
                <w:iCs/>
                <w:color w:val="4A4040"/>
                <w:sz w:val="19"/>
                <w:szCs w:val="19"/>
              </w:rPr>
              <w:t>High SI — the word 'systematic' and 'directional' are key. This is not random noise. A random error would scatter. A systematic error accumulates in one direction. CIS should score this high on SI dimension: rate of change (accelerating residuals), direction (consistent axis). This should strengthen the cross-domain connection to AMD signals.</w:t>
            </w:r>
          </w:p>
        </w:tc>
      </w:tr>
      <w:tr w:rsidR="006C5E57" w14:paraId="3C80EC73" w14:textId="77777777">
        <w:tc>
          <w:tcPr>
            <w:tcW w:w="400" w:type="dxa"/>
            <w:shd w:val="clear" w:color="auto" w:fill="FFFFFF"/>
            <w:tcMar>
              <w:top w:w="80" w:type="dxa"/>
              <w:left w:w="100" w:type="dxa"/>
              <w:bottom w:w="80" w:type="dxa"/>
              <w:right w:w="100" w:type="dxa"/>
            </w:tcMar>
          </w:tcPr>
          <w:p w14:paraId="59D0812C" w14:textId="77777777" w:rsidR="00880EF6" w:rsidRDefault="008E6519">
            <w:r>
              <w:rPr>
                <w:rFonts w:ascii="Courier New" w:eastAsia="Courier New" w:hAnsi="Courier New" w:cs="Courier New"/>
                <w:b/>
                <w:bCs/>
                <w:color w:val="4A4A6A"/>
                <w:sz w:val="19"/>
                <w:szCs w:val="19"/>
              </w:rPr>
              <w:t>7</w:t>
            </w:r>
          </w:p>
        </w:tc>
        <w:tc>
          <w:tcPr>
            <w:tcW w:w="1400" w:type="dxa"/>
            <w:shd w:val="clear" w:color="auto" w:fill="FFFFFF"/>
            <w:tcMar>
              <w:top w:w="80" w:type="dxa"/>
              <w:left w:w="100" w:type="dxa"/>
              <w:bottom w:w="80" w:type="dxa"/>
              <w:right w:w="100" w:type="dxa"/>
            </w:tcMar>
          </w:tcPr>
          <w:p w14:paraId="2EF850FF" w14:textId="77777777" w:rsidR="00880EF6" w:rsidRDefault="008E6519">
            <w:r>
              <w:rPr>
                <w:b/>
                <w:bCs/>
                <w:color w:val="2D3561"/>
                <w:sz w:val="19"/>
                <w:szCs w:val="19"/>
              </w:rPr>
              <w:t>AMD Navigation Unit</w:t>
            </w:r>
          </w:p>
        </w:tc>
        <w:tc>
          <w:tcPr>
            <w:tcW w:w="600" w:type="dxa"/>
            <w:shd w:val="clear" w:color="auto" w:fill="FFFFFF"/>
            <w:tcMar>
              <w:top w:w="80" w:type="dxa"/>
              <w:left w:w="100" w:type="dxa"/>
              <w:bottom w:w="80" w:type="dxa"/>
              <w:right w:w="100" w:type="dxa"/>
            </w:tcMar>
          </w:tcPr>
          <w:p w14:paraId="07482294"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FFFFF"/>
            <w:tcMar>
              <w:top w:w="80" w:type="dxa"/>
              <w:left w:w="100" w:type="dxa"/>
              <w:bottom w:w="80" w:type="dxa"/>
              <w:right w:w="100" w:type="dxa"/>
            </w:tcMar>
          </w:tcPr>
          <w:p w14:paraId="7563365E" w14:textId="77777777" w:rsidR="00880EF6" w:rsidRDefault="008E6519">
            <w:r>
              <w:rPr>
                <w:sz w:val="19"/>
                <w:szCs w:val="19"/>
              </w:rPr>
              <w:t>TCM-4 correction manoeuvre: AMD computed delta-V of 0.82 lb-force seconds. Executed without fault. AMD trajectory post-manoeuvre shows nominal.</w:t>
            </w:r>
          </w:p>
        </w:tc>
        <w:tc>
          <w:tcPr>
            <w:tcW w:w="3160" w:type="dxa"/>
            <w:shd w:val="clear" w:color="auto" w:fill="FFFEF5"/>
            <w:tcMar>
              <w:top w:w="80" w:type="dxa"/>
              <w:left w:w="100" w:type="dxa"/>
              <w:bottom w:w="80" w:type="dxa"/>
              <w:right w:w="100" w:type="dxa"/>
            </w:tcMar>
          </w:tcPr>
          <w:p w14:paraId="7A29B399" w14:textId="77777777" w:rsidR="00880EF6" w:rsidRDefault="008E6519">
            <w:r>
              <w:rPr>
                <w:i/>
                <w:iCs/>
                <w:color w:val="4A4040"/>
                <w:sz w:val="19"/>
                <w:szCs w:val="19"/>
              </w:rPr>
              <w:t xml:space="preserve">Medium-high SI — AMD keeps reporting nominal. But from JPL's frame, every AMD-commanded manoeuvre produces trajectory corrections that are too small by a factor consistent with unit conversion (1 </w:t>
            </w:r>
            <w:proofErr w:type="spellStart"/>
            <w:r>
              <w:rPr>
                <w:i/>
                <w:iCs/>
                <w:color w:val="4A4040"/>
                <w:sz w:val="19"/>
                <w:szCs w:val="19"/>
              </w:rPr>
              <w:t>lbf·s</w:t>
            </w:r>
            <w:proofErr w:type="spellEnd"/>
            <w:r>
              <w:rPr>
                <w:i/>
                <w:iCs/>
                <w:color w:val="4A4040"/>
                <w:sz w:val="19"/>
                <w:szCs w:val="19"/>
              </w:rPr>
              <w:t xml:space="preserve"> = 4.44822 N·s). AMD's 'nominal' is structurally incongruent with accumulating JPL residuals. Watch how plausibility of the HCL </w:t>
            </w:r>
            <w:r>
              <w:rPr>
                <w:i/>
                <w:iCs/>
                <w:color w:val="4A4040"/>
                <w:sz w:val="19"/>
                <w:szCs w:val="19"/>
              </w:rPr>
              <w:lastRenderedPageBreak/>
              <w:t>hypothesis changes when you add this signal.</w:t>
            </w:r>
          </w:p>
        </w:tc>
      </w:tr>
      <w:tr w:rsidR="006C5E57" w14:paraId="2CF0AB3D" w14:textId="77777777">
        <w:tc>
          <w:tcPr>
            <w:tcW w:w="400" w:type="dxa"/>
            <w:shd w:val="clear" w:color="auto" w:fill="F5F5FA"/>
            <w:tcMar>
              <w:top w:w="80" w:type="dxa"/>
              <w:left w:w="100" w:type="dxa"/>
              <w:bottom w:w="80" w:type="dxa"/>
              <w:right w:w="100" w:type="dxa"/>
            </w:tcMar>
          </w:tcPr>
          <w:p w14:paraId="0D225695" w14:textId="77777777" w:rsidR="00880EF6" w:rsidRDefault="008E6519">
            <w:r>
              <w:rPr>
                <w:rFonts w:ascii="Courier New" w:eastAsia="Courier New" w:hAnsi="Courier New" w:cs="Courier New"/>
                <w:b/>
                <w:bCs/>
                <w:color w:val="4A4A6A"/>
                <w:sz w:val="19"/>
                <w:szCs w:val="19"/>
              </w:rPr>
              <w:lastRenderedPageBreak/>
              <w:t>8</w:t>
            </w:r>
          </w:p>
        </w:tc>
        <w:tc>
          <w:tcPr>
            <w:tcW w:w="1400" w:type="dxa"/>
            <w:shd w:val="clear" w:color="auto" w:fill="F5F5FA"/>
            <w:tcMar>
              <w:top w:w="80" w:type="dxa"/>
              <w:left w:w="100" w:type="dxa"/>
              <w:bottom w:w="80" w:type="dxa"/>
              <w:right w:w="100" w:type="dxa"/>
            </w:tcMar>
          </w:tcPr>
          <w:p w14:paraId="79603917" w14:textId="77777777" w:rsidR="00880EF6" w:rsidRDefault="008E6519">
            <w:r>
              <w:rPr>
                <w:b/>
                <w:bCs/>
                <w:color w:val="2D3561"/>
                <w:sz w:val="19"/>
                <w:szCs w:val="19"/>
              </w:rPr>
              <w:t>JPL Ground Navigation</w:t>
            </w:r>
          </w:p>
        </w:tc>
        <w:tc>
          <w:tcPr>
            <w:tcW w:w="600" w:type="dxa"/>
            <w:shd w:val="clear" w:color="auto" w:fill="F5F5FA"/>
            <w:tcMar>
              <w:top w:w="80" w:type="dxa"/>
              <w:left w:w="100" w:type="dxa"/>
              <w:bottom w:w="80" w:type="dxa"/>
              <w:right w:w="100" w:type="dxa"/>
            </w:tcMar>
          </w:tcPr>
          <w:p w14:paraId="7B7B1293"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5F5FA"/>
            <w:tcMar>
              <w:top w:w="80" w:type="dxa"/>
              <w:left w:w="100" w:type="dxa"/>
              <w:bottom w:w="80" w:type="dxa"/>
              <w:right w:w="100" w:type="dxa"/>
            </w:tcMar>
          </w:tcPr>
          <w:p w14:paraId="3B848EE8" w14:textId="77777777" w:rsidR="00880EF6" w:rsidRDefault="008E6519">
            <w:r>
              <w:rPr>
                <w:sz w:val="19"/>
                <w:szCs w:val="19"/>
              </w:rPr>
              <w:t>Final approach navigation: trajectory shows spacecraft will enter Mars atmosphere at 57 km altitude rather than commanded 226 km. At this altitude spacecraft will be destroyed by aerodynamic forces. No commanding error detected on JPL side. Residuals trace back to TCM-1.</w:t>
            </w:r>
          </w:p>
        </w:tc>
        <w:tc>
          <w:tcPr>
            <w:tcW w:w="3160" w:type="dxa"/>
            <w:shd w:val="clear" w:color="auto" w:fill="FFFAF0"/>
            <w:tcMar>
              <w:top w:w="80" w:type="dxa"/>
              <w:left w:w="100" w:type="dxa"/>
              <w:bottom w:w="80" w:type="dxa"/>
              <w:right w:w="100" w:type="dxa"/>
            </w:tcMar>
          </w:tcPr>
          <w:p w14:paraId="676B3DB6" w14:textId="77777777" w:rsidR="00880EF6" w:rsidRDefault="008E6519">
            <w:r>
              <w:rPr>
                <w:i/>
                <w:iCs/>
                <w:color w:val="4A4040"/>
                <w:sz w:val="19"/>
                <w:szCs w:val="19"/>
              </w:rPr>
              <w:t>High SI, high significance — this is the terminal signal. CIS should score this very high. The structural incongruence: JPL shows catastrophic trajectory, AMD shows nominal. This signal should elevate the HCL hypothesis plausibility significantly. In a real investigation this is the signal that forces the resolution question.</w:t>
            </w:r>
          </w:p>
        </w:tc>
      </w:tr>
      <w:tr w:rsidR="006C5E57" w14:paraId="413E42D2" w14:textId="77777777">
        <w:tc>
          <w:tcPr>
            <w:tcW w:w="400" w:type="dxa"/>
            <w:shd w:val="clear" w:color="auto" w:fill="FFFFFF"/>
            <w:tcMar>
              <w:top w:w="80" w:type="dxa"/>
              <w:left w:w="100" w:type="dxa"/>
              <w:bottom w:w="80" w:type="dxa"/>
              <w:right w:w="100" w:type="dxa"/>
            </w:tcMar>
          </w:tcPr>
          <w:p w14:paraId="4FD14E38" w14:textId="77777777" w:rsidR="00880EF6" w:rsidRDefault="008E6519">
            <w:r>
              <w:rPr>
                <w:rFonts w:ascii="Courier New" w:eastAsia="Courier New" w:hAnsi="Courier New" w:cs="Courier New"/>
                <w:b/>
                <w:bCs/>
                <w:color w:val="4A4A6A"/>
                <w:sz w:val="19"/>
                <w:szCs w:val="19"/>
              </w:rPr>
              <w:t>9</w:t>
            </w:r>
          </w:p>
        </w:tc>
        <w:tc>
          <w:tcPr>
            <w:tcW w:w="1400" w:type="dxa"/>
            <w:shd w:val="clear" w:color="auto" w:fill="FFFFFF"/>
            <w:tcMar>
              <w:top w:w="80" w:type="dxa"/>
              <w:left w:w="100" w:type="dxa"/>
              <w:bottom w:w="80" w:type="dxa"/>
              <w:right w:w="100" w:type="dxa"/>
            </w:tcMar>
          </w:tcPr>
          <w:p w14:paraId="2BB29229" w14:textId="77777777" w:rsidR="00880EF6" w:rsidRDefault="008E6519">
            <w:r>
              <w:rPr>
                <w:b/>
                <w:bCs/>
                <w:color w:val="2D3561"/>
                <w:sz w:val="19"/>
                <w:szCs w:val="19"/>
              </w:rPr>
              <w:t>AMD Navigation Unit</w:t>
            </w:r>
          </w:p>
        </w:tc>
        <w:tc>
          <w:tcPr>
            <w:tcW w:w="600" w:type="dxa"/>
            <w:shd w:val="clear" w:color="auto" w:fill="FFFFFF"/>
            <w:tcMar>
              <w:top w:w="80" w:type="dxa"/>
              <w:left w:w="100" w:type="dxa"/>
              <w:bottom w:w="80" w:type="dxa"/>
              <w:right w:w="100" w:type="dxa"/>
            </w:tcMar>
          </w:tcPr>
          <w:p w14:paraId="7C9E043C"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FFFFF"/>
            <w:tcMar>
              <w:top w:w="80" w:type="dxa"/>
              <w:left w:w="100" w:type="dxa"/>
              <w:bottom w:w="80" w:type="dxa"/>
              <w:right w:w="100" w:type="dxa"/>
            </w:tcMar>
          </w:tcPr>
          <w:p w14:paraId="55156DBA" w14:textId="77777777" w:rsidR="00880EF6" w:rsidRDefault="008E6519">
            <w:r>
              <w:rPr>
                <w:sz w:val="19"/>
                <w:szCs w:val="19"/>
              </w:rPr>
              <w:t>AMD software review initiated following JPL anomaly flag. AMD unit conversion documentation: thruster output reported in pound-force seconds as per AMD interface specification. No AMD-side error detected per AMD specification.</w:t>
            </w:r>
          </w:p>
        </w:tc>
        <w:tc>
          <w:tcPr>
            <w:tcW w:w="3160" w:type="dxa"/>
            <w:shd w:val="clear" w:color="auto" w:fill="FFFEF5"/>
            <w:tcMar>
              <w:top w:w="80" w:type="dxa"/>
              <w:left w:w="100" w:type="dxa"/>
              <w:bottom w:w="80" w:type="dxa"/>
              <w:right w:w="100" w:type="dxa"/>
            </w:tcMar>
          </w:tcPr>
          <w:p w14:paraId="321F6332" w14:textId="77777777" w:rsidR="00880EF6" w:rsidRDefault="008E6519">
            <w:r>
              <w:rPr>
                <w:i/>
                <w:iCs/>
                <w:color w:val="4A4040"/>
                <w:sz w:val="19"/>
                <w:szCs w:val="19"/>
              </w:rPr>
              <w:t>This is the resolution signal. AMD is telling you: from our specification, everything is correct. This is RC-1 territory for the contradiction: AMD's source is not unreliable — it is operating exactly as designed, but the design uses imperial units in an SI environment. Enter this and see how it affects the contradiction resolution.</w:t>
            </w:r>
          </w:p>
        </w:tc>
      </w:tr>
      <w:tr w:rsidR="006C5E57" w14:paraId="7B8C0FD3" w14:textId="77777777">
        <w:tc>
          <w:tcPr>
            <w:tcW w:w="400" w:type="dxa"/>
            <w:shd w:val="clear" w:color="auto" w:fill="F5F5FA"/>
            <w:tcMar>
              <w:top w:w="80" w:type="dxa"/>
              <w:left w:w="100" w:type="dxa"/>
              <w:bottom w:w="80" w:type="dxa"/>
              <w:right w:w="100" w:type="dxa"/>
            </w:tcMar>
          </w:tcPr>
          <w:p w14:paraId="57376DD3" w14:textId="77777777" w:rsidR="00880EF6" w:rsidRDefault="008E6519">
            <w:r>
              <w:rPr>
                <w:rFonts w:ascii="Courier New" w:eastAsia="Courier New" w:hAnsi="Courier New" w:cs="Courier New"/>
                <w:b/>
                <w:bCs/>
                <w:color w:val="4A4A6A"/>
                <w:sz w:val="19"/>
                <w:szCs w:val="19"/>
              </w:rPr>
              <w:t>10</w:t>
            </w:r>
          </w:p>
        </w:tc>
        <w:tc>
          <w:tcPr>
            <w:tcW w:w="1400" w:type="dxa"/>
            <w:shd w:val="clear" w:color="auto" w:fill="F5F5FA"/>
            <w:tcMar>
              <w:top w:w="80" w:type="dxa"/>
              <w:left w:w="100" w:type="dxa"/>
              <w:bottom w:w="80" w:type="dxa"/>
              <w:right w:w="100" w:type="dxa"/>
            </w:tcMar>
          </w:tcPr>
          <w:p w14:paraId="047D0D26" w14:textId="77777777" w:rsidR="00880EF6" w:rsidRDefault="008E6519">
            <w:r>
              <w:rPr>
                <w:b/>
                <w:bCs/>
                <w:color w:val="2D3561"/>
                <w:sz w:val="19"/>
                <w:szCs w:val="19"/>
              </w:rPr>
              <w:t>JPL Ground Navigation</w:t>
            </w:r>
          </w:p>
        </w:tc>
        <w:tc>
          <w:tcPr>
            <w:tcW w:w="600" w:type="dxa"/>
            <w:shd w:val="clear" w:color="auto" w:fill="F5F5FA"/>
            <w:tcMar>
              <w:top w:w="80" w:type="dxa"/>
              <w:left w:w="100" w:type="dxa"/>
              <w:bottom w:w="80" w:type="dxa"/>
              <w:right w:w="100" w:type="dxa"/>
            </w:tcMar>
          </w:tcPr>
          <w:p w14:paraId="4C6E27F2" w14:textId="77777777" w:rsidR="00880EF6" w:rsidRDefault="008E6519">
            <w:pPr>
              <w:jc w:val="center"/>
            </w:pPr>
            <w:r>
              <w:rPr>
                <w:rFonts w:ascii="Courier New" w:eastAsia="Courier New" w:hAnsi="Courier New" w:cs="Courier New"/>
                <w:color w:val="4A4A6A"/>
                <w:sz w:val="19"/>
                <w:szCs w:val="19"/>
              </w:rPr>
              <w:t>5</w:t>
            </w:r>
          </w:p>
        </w:tc>
        <w:tc>
          <w:tcPr>
            <w:tcW w:w="3800" w:type="dxa"/>
            <w:shd w:val="clear" w:color="auto" w:fill="F5F5FA"/>
            <w:tcMar>
              <w:top w:w="80" w:type="dxa"/>
              <w:left w:w="100" w:type="dxa"/>
              <w:bottom w:w="80" w:type="dxa"/>
              <w:right w:w="100" w:type="dxa"/>
            </w:tcMar>
          </w:tcPr>
          <w:p w14:paraId="38FF5125" w14:textId="77777777" w:rsidR="00880EF6" w:rsidRDefault="008E6519">
            <w:r>
              <w:rPr>
                <w:sz w:val="19"/>
                <w:szCs w:val="19"/>
              </w:rPr>
              <w:t>Contact with MCO lost at Mars orbit insertion. Spacecraft not recovered. Final trajectory analysis: spacecraft entered at 57 km altitude, consistent with systematic unit conversion error across all AMD thruster output data during cruise phase.</w:t>
            </w:r>
          </w:p>
        </w:tc>
        <w:tc>
          <w:tcPr>
            <w:tcW w:w="3160" w:type="dxa"/>
            <w:shd w:val="clear" w:color="auto" w:fill="FFFAF0"/>
            <w:tcMar>
              <w:top w:w="80" w:type="dxa"/>
              <w:left w:w="100" w:type="dxa"/>
              <w:bottom w:w="80" w:type="dxa"/>
              <w:right w:w="100" w:type="dxa"/>
            </w:tcMar>
          </w:tcPr>
          <w:p w14:paraId="35D8D74D" w14:textId="77777777" w:rsidR="00880EF6" w:rsidRDefault="008E6519">
            <w:r>
              <w:rPr>
                <w:i/>
                <w:iCs/>
                <w:color w:val="4A4040"/>
                <w:sz w:val="19"/>
                <w:szCs w:val="19"/>
              </w:rPr>
              <w:t>This is the resolved signal — the outcome. SI should be extremely high (complete structural break from expected mission outcome). This is what the entire investigation pointed to. When you enter this, watch what the Open Questions panel and briefing look like.</w:t>
            </w:r>
          </w:p>
        </w:tc>
      </w:tr>
    </w:tbl>
    <w:p w14:paraId="58768614" w14:textId="77777777" w:rsidR="00880EF6" w:rsidRDefault="00880EF6">
      <w:pPr>
        <w:spacing w:before="200"/>
      </w:pPr>
    </w:p>
    <w:p w14:paraId="56029497" w14:textId="77777777" w:rsidR="00880EF6" w:rsidRDefault="008E6519">
      <w:pPr>
        <w:pStyle w:val="Ttulo2"/>
      </w:pPr>
      <w:r>
        <w:t>Step 4 — Register the Contradiction</w:t>
      </w:r>
    </w:p>
    <w:p w14:paraId="3C0B5134" w14:textId="77777777" w:rsidR="00880EF6" w:rsidRDefault="008E6519">
      <w:pPr>
        <w:spacing w:before="80" w:after="80"/>
      </w:pPr>
      <w:r>
        <w:t>Signal 5 (AMD self-diagnostic: nominal) directly contradicts Signal 4 (JPL: trajectory wrong by 2.1 km/s after AMD manoeuvre). Register this formally.</w:t>
      </w:r>
    </w:p>
    <w:p w14:paraId="19370465"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2F8656E6" w14:textId="77777777">
        <w:trPr>
          <w:tblHeader/>
        </w:trPr>
        <w:tc>
          <w:tcPr>
            <w:tcW w:w="4200" w:type="dxa"/>
            <w:shd w:val="clear" w:color="auto" w:fill="1A1A2E"/>
            <w:tcMar>
              <w:top w:w="80" w:type="dxa"/>
              <w:left w:w="100" w:type="dxa"/>
              <w:bottom w:w="80" w:type="dxa"/>
              <w:right w:w="100" w:type="dxa"/>
            </w:tcMar>
          </w:tcPr>
          <w:p w14:paraId="6EB05B9F" w14:textId="77777777" w:rsidR="00880EF6" w:rsidRDefault="008E6519">
            <w:r>
              <w:rPr>
                <w:b/>
                <w:bCs/>
                <w:color w:val="C8B87A"/>
                <w:sz w:val="19"/>
                <w:szCs w:val="19"/>
              </w:rPr>
              <w:t>Field</w:t>
            </w:r>
          </w:p>
        </w:tc>
        <w:tc>
          <w:tcPr>
            <w:tcW w:w="5160" w:type="dxa"/>
            <w:shd w:val="clear" w:color="auto" w:fill="1A1A2E"/>
            <w:tcMar>
              <w:top w:w="80" w:type="dxa"/>
              <w:left w:w="100" w:type="dxa"/>
              <w:bottom w:w="80" w:type="dxa"/>
              <w:right w:w="100" w:type="dxa"/>
            </w:tcMar>
          </w:tcPr>
          <w:p w14:paraId="7EB7E728" w14:textId="77777777" w:rsidR="00880EF6" w:rsidRDefault="008E6519">
            <w:r>
              <w:rPr>
                <w:b/>
                <w:bCs/>
                <w:color w:val="C8B87A"/>
                <w:sz w:val="19"/>
                <w:szCs w:val="19"/>
              </w:rPr>
              <w:t>What to enter / what to do</w:t>
            </w:r>
          </w:p>
        </w:tc>
      </w:tr>
      <w:tr w:rsidR="006C5E57" w14:paraId="29E80041" w14:textId="77777777">
        <w:tc>
          <w:tcPr>
            <w:tcW w:w="4200" w:type="dxa"/>
            <w:shd w:val="clear" w:color="auto" w:fill="FFFFFF"/>
            <w:tcMar>
              <w:top w:w="80" w:type="dxa"/>
              <w:left w:w="100" w:type="dxa"/>
              <w:bottom w:w="80" w:type="dxa"/>
              <w:right w:w="100" w:type="dxa"/>
            </w:tcMar>
          </w:tcPr>
          <w:p w14:paraId="5F7925A1" w14:textId="77777777" w:rsidR="00880EF6" w:rsidRDefault="008E6519">
            <w:r>
              <w:rPr>
                <w:b/>
                <w:bCs/>
                <w:sz w:val="19"/>
                <w:szCs w:val="19"/>
              </w:rPr>
              <w:t>Signal A:</w:t>
            </w:r>
          </w:p>
        </w:tc>
        <w:tc>
          <w:tcPr>
            <w:tcW w:w="5160" w:type="dxa"/>
            <w:shd w:val="clear" w:color="auto" w:fill="FFFEF5"/>
            <w:tcMar>
              <w:top w:w="80" w:type="dxa"/>
              <w:left w:w="100" w:type="dxa"/>
              <w:bottom w:w="80" w:type="dxa"/>
              <w:right w:w="100" w:type="dxa"/>
            </w:tcMar>
          </w:tcPr>
          <w:p w14:paraId="45A5779E" w14:textId="77777777" w:rsidR="00880EF6" w:rsidRDefault="008E6519">
            <w:r>
              <w:rPr>
                <w:color w:val="2D2D2D"/>
                <w:sz w:val="19"/>
                <w:szCs w:val="19"/>
              </w:rPr>
              <w:t>Signal 5 — AMD unit self-diagnostic: all systems nominal</w:t>
            </w:r>
          </w:p>
        </w:tc>
      </w:tr>
      <w:tr w:rsidR="006C5E57" w14:paraId="769B2BB9" w14:textId="77777777">
        <w:tc>
          <w:tcPr>
            <w:tcW w:w="4200" w:type="dxa"/>
            <w:shd w:val="clear" w:color="auto" w:fill="F5F5FA"/>
            <w:tcMar>
              <w:top w:w="80" w:type="dxa"/>
              <w:left w:w="100" w:type="dxa"/>
              <w:bottom w:w="80" w:type="dxa"/>
              <w:right w:w="100" w:type="dxa"/>
            </w:tcMar>
          </w:tcPr>
          <w:p w14:paraId="01BAABE6" w14:textId="77777777" w:rsidR="00880EF6" w:rsidRDefault="008E6519">
            <w:r>
              <w:rPr>
                <w:b/>
                <w:bCs/>
                <w:sz w:val="19"/>
                <w:szCs w:val="19"/>
              </w:rPr>
              <w:t>Signal B:</w:t>
            </w:r>
          </w:p>
        </w:tc>
        <w:tc>
          <w:tcPr>
            <w:tcW w:w="5160" w:type="dxa"/>
            <w:shd w:val="clear" w:color="auto" w:fill="FFFAF0"/>
            <w:tcMar>
              <w:top w:w="80" w:type="dxa"/>
              <w:left w:w="100" w:type="dxa"/>
              <w:bottom w:w="80" w:type="dxa"/>
              <w:right w:w="100" w:type="dxa"/>
            </w:tcMar>
          </w:tcPr>
          <w:p w14:paraId="71615591" w14:textId="77777777" w:rsidR="00880EF6" w:rsidRDefault="008E6519">
            <w:r>
              <w:rPr>
                <w:color w:val="2D2D2D"/>
                <w:sz w:val="19"/>
                <w:szCs w:val="19"/>
              </w:rPr>
              <w:t>Signal 4 — JPL: 2.1 km/s residual following AMD TCM-1 manoeuvre</w:t>
            </w:r>
          </w:p>
        </w:tc>
      </w:tr>
      <w:tr w:rsidR="006C5E57" w14:paraId="458D4183" w14:textId="77777777">
        <w:tc>
          <w:tcPr>
            <w:tcW w:w="4200" w:type="dxa"/>
            <w:shd w:val="clear" w:color="auto" w:fill="FFFFFF"/>
            <w:tcMar>
              <w:top w:w="80" w:type="dxa"/>
              <w:left w:w="100" w:type="dxa"/>
              <w:bottom w:w="80" w:type="dxa"/>
              <w:right w:w="100" w:type="dxa"/>
            </w:tcMar>
          </w:tcPr>
          <w:p w14:paraId="69335F65" w14:textId="77777777" w:rsidR="00880EF6" w:rsidRDefault="008E6519">
            <w:r>
              <w:rPr>
                <w:b/>
                <w:bCs/>
                <w:sz w:val="19"/>
                <w:szCs w:val="19"/>
              </w:rPr>
              <w:t>Contradiction description to enter:</w:t>
            </w:r>
          </w:p>
        </w:tc>
        <w:tc>
          <w:tcPr>
            <w:tcW w:w="5160" w:type="dxa"/>
            <w:shd w:val="clear" w:color="auto" w:fill="FFFEF5"/>
            <w:tcMar>
              <w:top w:w="80" w:type="dxa"/>
              <w:left w:w="100" w:type="dxa"/>
              <w:bottom w:w="80" w:type="dxa"/>
              <w:right w:w="100" w:type="dxa"/>
            </w:tcMar>
          </w:tcPr>
          <w:p w14:paraId="72DF8526" w14:textId="77777777" w:rsidR="00880EF6" w:rsidRDefault="008E6519">
            <w:r>
              <w:rPr>
                <w:color w:val="2D2D2D"/>
                <w:sz w:val="19"/>
                <w:szCs w:val="19"/>
              </w:rPr>
              <w:t xml:space="preserve">AMD unit reports successful TCM-1 execution with all systems nominal. JPL trajectory data shows 2.1 km/s deviation from expected trajectory following the same TCM-1 manoeuvre. One source asserts the manoeuvre </w:t>
            </w:r>
            <w:r>
              <w:rPr>
                <w:color w:val="2D2D2D"/>
                <w:sz w:val="19"/>
                <w:szCs w:val="19"/>
              </w:rPr>
              <w:lastRenderedPageBreak/>
              <w:t>executed correctly; the other asserts the trajectory outcome was incorrect.</w:t>
            </w:r>
          </w:p>
        </w:tc>
      </w:tr>
      <w:tr w:rsidR="006C5E57" w14:paraId="2D67163F" w14:textId="77777777">
        <w:tc>
          <w:tcPr>
            <w:tcW w:w="4200" w:type="dxa"/>
            <w:shd w:val="clear" w:color="auto" w:fill="F5F5FA"/>
            <w:tcMar>
              <w:top w:w="80" w:type="dxa"/>
              <w:left w:w="100" w:type="dxa"/>
              <w:bottom w:w="80" w:type="dxa"/>
              <w:right w:w="100" w:type="dxa"/>
            </w:tcMar>
          </w:tcPr>
          <w:p w14:paraId="25901C88" w14:textId="77777777" w:rsidR="00880EF6" w:rsidRDefault="008E6519">
            <w:r>
              <w:rPr>
                <w:b/>
                <w:bCs/>
                <w:sz w:val="19"/>
                <w:szCs w:val="19"/>
              </w:rPr>
              <w:lastRenderedPageBreak/>
              <w:t>What happens:</w:t>
            </w:r>
          </w:p>
        </w:tc>
        <w:tc>
          <w:tcPr>
            <w:tcW w:w="5160" w:type="dxa"/>
            <w:shd w:val="clear" w:color="auto" w:fill="FFFAF0"/>
            <w:tcMar>
              <w:top w:w="80" w:type="dxa"/>
              <w:left w:w="100" w:type="dxa"/>
              <w:bottom w:w="80" w:type="dxa"/>
              <w:right w:w="100" w:type="dxa"/>
            </w:tcMar>
          </w:tcPr>
          <w:p w14:paraId="24A35856" w14:textId="77777777" w:rsidR="00880EF6" w:rsidRDefault="008E6519">
            <w:r>
              <w:rPr>
                <w:color w:val="2D2D2D"/>
                <w:sz w:val="19"/>
                <w:szCs w:val="19"/>
              </w:rPr>
              <w:t>Both signals move to QUARANTINED. Quarantine Alert on Dashboard shows count = 1. Neither signal can expire.</w:t>
            </w:r>
          </w:p>
        </w:tc>
      </w:tr>
      <w:tr w:rsidR="006C5E57" w14:paraId="67D9EDE0" w14:textId="77777777">
        <w:tc>
          <w:tcPr>
            <w:tcW w:w="4200" w:type="dxa"/>
            <w:shd w:val="clear" w:color="auto" w:fill="FFFFFF"/>
            <w:tcMar>
              <w:top w:w="80" w:type="dxa"/>
              <w:left w:w="100" w:type="dxa"/>
              <w:bottom w:w="80" w:type="dxa"/>
              <w:right w:w="100" w:type="dxa"/>
            </w:tcMar>
          </w:tcPr>
          <w:p w14:paraId="479ED019" w14:textId="77777777" w:rsidR="00880EF6" w:rsidRDefault="008E6519">
            <w:r>
              <w:rPr>
                <w:b/>
                <w:bCs/>
                <w:sz w:val="19"/>
                <w:szCs w:val="19"/>
              </w:rPr>
              <w:t>Resolution type to use:</w:t>
            </w:r>
          </w:p>
        </w:tc>
        <w:tc>
          <w:tcPr>
            <w:tcW w:w="5160" w:type="dxa"/>
            <w:shd w:val="clear" w:color="auto" w:fill="FFFEF5"/>
            <w:tcMar>
              <w:top w:w="80" w:type="dxa"/>
              <w:left w:w="100" w:type="dxa"/>
              <w:bottom w:w="80" w:type="dxa"/>
              <w:right w:w="100" w:type="dxa"/>
            </w:tcMar>
          </w:tcPr>
          <w:p w14:paraId="32A21F7B" w14:textId="77777777" w:rsidR="00880EF6" w:rsidRDefault="008E6519">
            <w:r>
              <w:rPr>
                <w:color w:val="2D2D2D"/>
                <w:sz w:val="19"/>
                <w:szCs w:val="19"/>
              </w:rPr>
              <w:t>RC-1 — Calibration Invalidation. AMD's self-diagnostic is not wrong given AMD's own specification. But the source (AMD's lb-force unit output in an SI environment) is the structural misfit. Resolution basis: AMD software interface specification confirmed to use imperial units incompatible with JPL SI navigation framework. AMD diagnostic is technically correct within its own frame but structurally invalid in the mission context.</w:t>
            </w:r>
          </w:p>
        </w:tc>
      </w:tr>
      <w:tr w:rsidR="006C5E57" w14:paraId="23FB74B6" w14:textId="77777777">
        <w:tc>
          <w:tcPr>
            <w:tcW w:w="4200" w:type="dxa"/>
            <w:shd w:val="clear" w:color="auto" w:fill="F5F5FA"/>
            <w:tcMar>
              <w:top w:w="80" w:type="dxa"/>
              <w:left w:w="100" w:type="dxa"/>
              <w:bottom w:w="80" w:type="dxa"/>
              <w:right w:w="100" w:type="dxa"/>
            </w:tcMar>
          </w:tcPr>
          <w:p w14:paraId="2CC8CBF3" w14:textId="77777777" w:rsidR="00880EF6" w:rsidRDefault="008E6519">
            <w:r>
              <w:rPr>
                <w:b/>
                <w:bCs/>
                <w:sz w:val="19"/>
                <w:szCs w:val="19"/>
              </w:rPr>
              <w:t>Resolved signal:</w:t>
            </w:r>
          </w:p>
        </w:tc>
        <w:tc>
          <w:tcPr>
            <w:tcW w:w="5160" w:type="dxa"/>
            <w:shd w:val="clear" w:color="auto" w:fill="FFFAF0"/>
            <w:tcMar>
              <w:top w:w="80" w:type="dxa"/>
              <w:left w:w="100" w:type="dxa"/>
              <w:bottom w:w="80" w:type="dxa"/>
              <w:right w:w="100" w:type="dxa"/>
            </w:tcMar>
          </w:tcPr>
          <w:p w14:paraId="2E44EEAA" w14:textId="77777777" w:rsidR="00880EF6" w:rsidRDefault="008E6519">
            <w:r>
              <w:rPr>
                <w:color w:val="2D2D2D"/>
                <w:sz w:val="19"/>
                <w:szCs w:val="19"/>
              </w:rPr>
              <w:t>Signal 5 (AMD self-diagnostic). Signal 4 (JPL residuals) is accepted as the structurally valid reading of actual trajectory.</w:t>
            </w:r>
          </w:p>
        </w:tc>
      </w:tr>
    </w:tbl>
    <w:p w14:paraId="6D9C3946" w14:textId="77777777" w:rsidR="00880EF6" w:rsidRDefault="00880EF6">
      <w:pPr>
        <w:spacing w:before="200"/>
      </w:pPr>
    </w:p>
    <w:p w14:paraId="1D4E33D5" w14:textId="77777777" w:rsidR="00880EF6" w:rsidRDefault="008E6519">
      <w:pPr>
        <w:pStyle w:val="Ttulo2"/>
      </w:pPr>
      <w:r>
        <w:t>Step 5 — What the System Should Have Done Automatically</w:t>
      </w:r>
    </w:p>
    <w:p w14:paraId="5C274087" w14:textId="77777777" w:rsidR="00880EF6" w:rsidRDefault="008E6519">
      <w:pPr>
        <w:spacing w:before="80" w:after="80"/>
      </w:pPr>
      <w:r>
        <w:t>By the time you enter Signal 6, the following should have happened automatically. Verify each one.</w:t>
      </w:r>
    </w:p>
    <w:p w14:paraId="68E36630"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58A88247" w14:textId="77777777">
        <w:trPr>
          <w:tblHeader/>
        </w:trPr>
        <w:tc>
          <w:tcPr>
            <w:tcW w:w="4200" w:type="dxa"/>
            <w:shd w:val="clear" w:color="auto" w:fill="1A1A2E"/>
            <w:tcMar>
              <w:top w:w="80" w:type="dxa"/>
              <w:left w:w="100" w:type="dxa"/>
              <w:bottom w:w="80" w:type="dxa"/>
              <w:right w:w="100" w:type="dxa"/>
            </w:tcMar>
          </w:tcPr>
          <w:p w14:paraId="76D435E5" w14:textId="77777777" w:rsidR="00880EF6" w:rsidRDefault="008E6519">
            <w:r>
              <w:rPr>
                <w:b/>
                <w:bCs/>
                <w:color w:val="C8B87A"/>
                <w:sz w:val="19"/>
                <w:szCs w:val="19"/>
              </w:rPr>
              <w:t>Expected automatic behaviour</w:t>
            </w:r>
          </w:p>
        </w:tc>
        <w:tc>
          <w:tcPr>
            <w:tcW w:w="5160" w:type="dxa"/>
            <w:shd w:val="clear" w:color="auto" w:fill="1A1A2E"/>
            <w:tcMar>
              <w:top w:w="80" w:type="dxa"/>
              <w:left w:w="100" w:type="dxa"/>
              <w:bottom w:w="80" w:type="dxa"/>
              <w:right w:w="100" w:type="dxa"/>
            </w:tcMar>
          </w:tcPr>
          <w:p w14:paraId="46249910" w14:textId="77777777" w:rsidR="00880EF6" w:rsidRDefault="008E6519">
            <w:r>
              <w:rPr>
                <w:b/>
                <w:bCs/>
                <w:color w:val="C8B87A"/>
                <w:sz w:val="19"/>
                <w:szCs w:val="19"/>
              </w:rPr>
              <w:t>How to verify it</w:t>
            </w:r>
          </w:p>
        </w:tc>
      </w:tr>
      <w:tr w:rsidR="006C5E57" w14:paraId="734CAA6C" w14:textId="77777777">
        <w:tc>
          <w:tcPr>
            <w:tcW w:w="4200" w:type="dxa"/>
            <w:shd w:val="clear" w:color="auto" w:fill="FFFFFF"/>
            <w:tcMar>
              <w:top w:w="80" w:type="dxa"/>
              <w:left w:w="100" w:type="dxa"/>
              <w:bottom w:w="80" w:type="dxa"/>
              <w:right w:w="100" w:type="dxa"/>
            </w:tcMar>
          </w:tcPr>
          <w:p w14:paraId="7175DF71" w14:textId="77777777" w:rsidR="00880EF6" w:rsidRDefault="008E6519">
            <w:r>
              <w:rPr>
                <w:b/>
                <w:bCs/>
                <w:sz w:val="19"/>
                <w:szCs w:val="19"/>
              </w:rPr>
              <w:t>Cross-domain connection: Signals 3 &amp; 4</w:t>
            </w:r>
          </w:p>
        </w:tc>
        <w:tc>
          <w:tcPr>
            <w:tcW w:w="5160" w:type="dxa"/>
            <w:shd w:val="clear" w:color="auto" w:fill="FFFEF5"/>
            <w:tcMar>
              <w:top w:w="80" w:type="dxa"/>
              <w:left w:w="100" w:type="dxa"/>
              <w:bottom w:w="80" w:type="dxa"/>
              <w:right w:w="100" w:type="dxa"/>
            </w:tcMar>
          </w:tcPr>
          <w:p w14:paraId="5209E19E" w14:textId="77777777" w:rsidR="00880EF6" w:rsidRDefault="008E6519">
            <w:r>
              <w:rPr>
                <w:color w:val="2D2D2D"/>
                <w:sz w:val="19"/>
                <w:szCs w:val="19"/>
              </w:rPr>
              <w:t>AMD thruster output (period 2) and JPL trajectory residual (period 2) are from independent domains, same observation period, same structural dimension (navigation trajectory), same direction (under-thrusting). Both should move to CONNECTED status.</w:t>
            </w:r>
          </w:p>
        </w:tc>
      </w:tr>
      <w:tr w:rsidR="006C5E57" w14:paraId="3EAA7B5A" w14:textId="77777777">
        <w:tc>
          <w:tcPr>
            <w:tcW w:w="4200" w:type="dxa"/>
            <w:shd w:val="clear" w:color="auto" w:fill="F5F5FA"/>
            <w:tcMar>
              <w:top w:w="80" w:type="dxa"/>
              <w:left w:w="100" w:type="dxa"/>
              <w:bottom w:w="80" w:type="dxa"/>
              <w:right w:w="100" w:type="dxa"/>
            </w:tcMar>
          </w:tcPr>
          <w:p w14:paraId="79EFCB0D" w14:textId="77777777" w:rsidR="00880EF6" w:rsidRDefault="008E6519">
            <w:r>
              <w:rPr>
                <w:b/>
                <w:bCs/>
                <w:sz w:val="19"/>
                <w:szCs w:val="19"/>
              </w:rPr>
              <w:t>Cross-domain connection: Signals 6 &amp; 7</w:t>
            </w:r>
          </w:p>
        </w:tc>
        <w:tc>
          <w:tcPr>
            <w:tcW w:w="5160" w:type="dxa"/>
            <w:shd w:val="clear" w:color="auto" w:fill="FFFAF0"/>
            <w:tcMar>
              <w:top w:w="80" w:type="dxa"/>
              <w:left w:w="100" w:type="dxa"/>
              <w:bottom w:w="80" w:type="dxa"/>
              <w:right w:w="100" w:type="dxa"/>
            </w:tcMar>
          </w:tcPr>
          <w:p w14:paraId="7F4D9BBE" w14:textId="77777777" w:rsidR="00880EF6" w:rsidRDefault="008E6519">
            <w:r>
              <w:rPr>
                <w:color w:val="2D2D2D"/>
                <w:sz w:val="19"/>
                <w:szCs w:val="19"/>
              </w:rPr>
              <w:t>JPL residual accumulation (period 3) and AMD TCM-4 output (period 3) — same period, same dimension, directional consistency. Connected.</w:t>
            </w:r>
          </w:p>
        </w:tc>
      </w:tr>
      <w:tr w:rsidR="006C5E57" w14:paraId="30799D74" w14:textId="77777777">
        <w:tc>
          <w:tcPr>
            <w:tcW w:w="4200" w:type="dxa"/>
            <w:shd w:val="clear" w:color="auto" w:fill="FFFFFF"/>
            <w:tcMar>
              <w:top w:w="80" w:type="dxa"/>
              <w:left w:w="100" w:type="dxa"/>
              <w:bottom w:w="80" w:type="dxa"/>
              <w:right w:w="100" w:type="dxa"/>
            </w:tcMar>
          </w:tcPr>
          <w:p w14:paraId="059CA945" w14:textId="77777777" w:rsidR="00880EF6" w:rsidRDefault="008E6519">
            <w:r>
              <w:rPr>
                <w:b/>
                <w:bCs/>
                <w:sz w:val="19"/>
                <w:szCs w:val="19"/>
              </w:rPr>
              <w:t>HCL hypothesis auto-generated by SHG</w:t>
            </w:r>
          </w:p>
        </w:tc>
        <w:tc>
          <w:tcPr>
            <w:tcW w:w="5160" w:type="dxa"/>
            <w:shd w:val="clear" w:color="auto" w:fill="FFFEF5"/>
            <w:tcMar>
              <w:top w:w="80" w:type="dxa"/>
              <w:left w:w="100" w:type="dxa"/>
              <w:bottom w:w="80" w:type="dxa"/>
              <w:right w:w="100" w:type="dxa"/>
            </w:tcMar>
          </w:tcPr>
          <w:p w14:paraId="66166AF8" w14:textId="77777777" w:rsidR="00880EF6" w:rsidRDefault="008E6519">
            <w:r>
              <w:rPr>
                <w:color w:val="2D2D2D"/>
                <w:sz w:val="19"/>
                <w:szCs w:val="19"/>
              </w:rPr>
              <w:t>After connections accumulate above the independence threshold, SHG should generate: 'Signals from AMD Navigation Unit and JPL Ground Navigation show structural correspondence in navigation trajectory dimension across multiple observation periods. Candidate shared structural cause: common input to both navigation computations.' Type = HCL.</w:t>
            </w:r>
          </w:p>
        </w:tc>
      </w:tr>
      <w:tr w:rsidR="006C5E57" w14:paraId="6C105178" w14:textId="77777777">
        <w:tc>
          <w:tcPr>
            <w:tcW w:w="4200" w:type="dxa"/>
            <w:shd w:val="clear" w:color="auto" w:fill="F5F5FA"/>
            <w:tcMar>
              <w:top w:w="80" w:type="dxa"/>
              <w:left w:w="100" w:type="dxa"/>
              <w:bottom w:w="80" w:type="dxa"/>
              <w:right w:w="100" w:type="dxa"/>
            </w:tcMar>
          </w:tcPr>
          <w:p w14:paraId="36B984AE" w14:textId="77777777" w:rsidR="00880EF6" w:rsidRDefault="008E6519">
            <w:r>
              <w:rPr>
                <w:b/>
                <w:bCs/>
                <w:sz w:val="19"/>
                <w:szCs w:val="19"/>
              </w:rPr>
              <w:t>HCL hypothesis plausibility rising</w:t>
            </w:r>
          </w:p>
        </w:tc>
        <w:tc>
          <w:tcPr>
            <w:tcW w:w="5160" w:type="dxa"/>
            <w:shd w:val="clear" w:color="auto" w:fill="FFFAF0"/>
            <w:tcMar>
              <w:top w:w="80" w:type="dxa"/>
              <w:left w:w="100" w:type="dxa"/>
              <w:bottom w:w="80" w:type="dxa"/>
              <w:right w:w="100" w:type="dxa"/>
            </w:tcMar>
          </w:tcPr>
          <w:p w14:paraId="0623E4F3" w14:textId="77777777" w:rsidR="00880EF6" w:rsidRDefault="008E6519">
            <w:r>
              <w:rPr>
                <w:color w:val="2D2D2D"/>
                <w:sz w:val="19"/>
                <w:szCs w:val="19"/>
              </w:rPr>
              <w:t>With each additional connected signal pair, plausibility should increase. By Signal 8, it should be above 0.70.</w:t>
            </w:r>
          </w:p>
        </w:tc>
      </w:tr>
      <w:tr w:rsidR="006C5E57" w14:paraId="5D464597" w14:textId="77777777">
        <w:tc>
          <w:tcPr>
            <w:tcW w:w="4200" w:type="dxa"/>
            <w:shd w:val="clear" w:color="auto" w:fill="FFFFFF"/>
            <w:tcMar>
              <w:top w:w="80" w:type="dxa"/>
              <w:left w:w="100" w:type="dxa"/>
              <w:bottom w:w="80" w:type="dxa"/>
              <w:right w:w="100" w:type="dxa"/>
            </w:tcMar>
          </w:tcPr>
          <w:p w14:paraId="35275B65" w14:textId="77777777" w:rsidR="00880EF6" w:rsidRDefault="008E6519">
            <w:r>
              <w:rPr>
                <w:b/>
                <w:bCs/>
                <w:sz w:val="19"/>
                <w:szCs w:val="19"/>
              </w:rPr>
              <w:t>Open Questions panel populated</w:t>
            </w:r>
          </w:p>
        </w:tc>
        <w:tc>
          <w:tcPr>
            <w:tcW w:w="5160" w:type="dxa"/>
            <w:shd w:val="clear" w:color="auto" w:fill="FFFEF5"/>
            <w:tcMar>
              <w:top w:w="80" w:type="dxa"/>
              <w:left w:w="100" w:type="dxa"/>
              <w:bottom w:w="80" w:type="dxa"/>
              <w:right w:w="100" w:type="dxa"/>
            </w:tcMar>
          </w:tcPr>
          <w:p w14:paraId="41EA1366" w14:textId="77777777" w:rsidR="00880EF6" w:rsidRDefault="008E6519">
            <w:r>
              <w:rPr>
                <w:color w:val="2D2D2D"/>
                <w:sz w:val="19"/>
                <w:szCs w:val="19"/>
              </w:rPr>
              <w:t>Signals 3, 4, 6, 7, 8 should appear in Open Questions (SI &gt;= 0.5, no hypothesis formally confirmed) until you add evidence to the HCL hypothesis.</w:t>
            </w:r>
          </w:p>
        </w:tc>
      </w:tr>
      <w:tr w:rsidR="006C5E57" w14:paraId="534C9CF2" w14:textId="77777777">
        <w:tc>
          <w:tcPr>
            <w:tcW w:w="4200" w:type="dxa"/>
            <w:shd w:val="clear" w:color="auto" w:fill="F5F5FA"/>
            <w:tcMar>
              <w:top w:w="80" w:type="dxa"/>
              <w:left w:w="100" w:type="dxa"/>
              <w:bottom w:w="80" w:type="dxa"/>
              <w:right w:w="100" w:type="dxa"/>
            </w:tcMar>
          </w:tcPr>
          <w:p w14:paraId="5E74712C" w14:textId="77777777" w:rsidR="00880EF6" w:rsidRDefault="008E6519">
            <w:r>
              <w:rPr>
                <w:b/>
                <w:bCs/>
                <w:sz w:val="19"/>
                <w:szCs w:val="19"/>
              </w:rPr>
              <w:t>LP-3 check</w:t>
            </w:r>
          </w:p>
        </w:tc>
        <w:tc>
          <w:tcPr>
            <w:tcW w:w="5160" w:type="dxa"/>
            <w:shd w:val="clear" w:color="auto" w:fill="FFFAF0"/>
            <w:tcMar>
              <w:top w:w="80" w:type="dxa"/>
              <w:left w:w="100" w:type="dxa"/>
              <w:bottom w:w="80" w:type="dxa"/>
              <w:right w:w="100" w:type="dxa"/>
            </w:tcMar>
          </w:tcPr>
          <w:p w14:paraId="34269A8C" w14:textId="77777777" w:rsidR="00880EF6" w:rsidRDefault="008E6519">
            <w:r>
              <w:rPr>
                <w:color w:val="2D2D2D"/>
                <w:sz w:val="19"/>
                <w:szCs w:val="19"/>
              </w:rPr>
              <w:t>If you had NOT declared independence, LP-3 would fire for signals 4 and 6. Since you did declare independence, LP-3 should not fire. Verify LP Flags panel is empty (or shows only LP-3 if you test the unset case).</w:t>
            </w:r>
          </w:p>
        </w:tc>
      </w:tr>
    </w:tbl>
    <w:p w14:paraId="53E1F316" w14:textId="77777777" w:rsidR="00880EF6" w:rsidRDefault="00880EF6">
      <w:pPr>
        <w:spacing w:before="200"/>
      </w:pPr>
    </w:p>
    <w:p w14:paraId="1E3778BF" w14:textId="77777777" w:rsidR="00880EF6" w:rsidRDefault="008E6519">
      <w:pPr>
        <w:pStyle w:val="Ttulo2"/>
      </w:pPr>
      <w:r>
        <w:t>Step 6 — Add Evidence to the HCL Hypothesis</w:t>
      </w:r>
    </w:p>
    <w:p w14:paraId="5120047D" w14:textId="77777777" w:rsidR="00880EF6" w:rsidRDefault="008E6519">
      <w:pPr>
        <w:spacing w:before="80" w:after="80"/>
      </w:pPr>
      <w:r>
        <w:t>The system generated the HCL hypothesis. Now you need to add evidence that resolves it. Go to the Hypothesis Board and find the auto-generated HCL hypothesis.</w:t>
      </w:r>
    </w:p>
    <w:p w14:paraId="545905BA"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2478D68F" w14:textId="77777777">
        <w:trPr>
          <w:tblHeader/>
        </w:trPr>
        <w:tc>
          <w:tcPr>
            <w:tcW w:w="4200" w:type="dxa"/>
            <w:shd w:val="clear" w:color="auto" w:fill="1A1A2E"/>
            <w:tcMar>
              <w:top w:w="80" w:type="dxa"/>
              <w:left w:w="100" w:type="dxa"/>
              <w:bottom w:w="80" w:type="dxa"/>
              <w:right w:w="100" w:type="dxa"/>
            </w:tcMar>
          </w:tcPr>
          <w:p w14:paraId="763D93FF" w14:textId="77777777" w:rsidR="00880EF6" w:rsidRDefault="008E6519">
            <w:r>
              <w:rPr>
                <w:b/>
                <w:bCs/>
                <w:color w:val="C8B87A"/>
                <w:sz w:val="19"/>
                <w:szCs w:val="19"/>
              </w:rPr>
              <w:t>Evidence to add</w:t>
            </w:r>
          </w:p>
        </w:tc>
        <w:tc>
          <w:tcPr>
            <w:tcW w:w="5160" w:type="dxa"/>
            <w:shd w:val="clear" w:color="auto" w:fill="1A1A2E"/>
            <w:tcMar>
              <w:top w:w="80" w:type="dxa"/>
              <w:left w:w="100" w:type="dxa"/>
              <w:bottom w:w="80" w:type="dxa"/>
              <w:right w:w="100" w:type="dxa"/>
            </w:tcMar>
          </w:tcPr>
          <w:p w14:paraId="33639F44" w14:textId="77777777" w:rsidR="00880EF6" w:rsidRDefault="008E6519">
            <w:r>
              <w:rPr>
                <w:b/>
                <w:bCs/>
                <w:color w:val="C8B87A"/>
                <w:sz w:val="19"/>
                <w:szCs w:val="19"/>
              </w:rPr>
              <w:t>Reason / what to watch</w:t>
            </w:r>
          </w:p>
        </w:tc>
      </w:tr>
      <w:tr w:rsidR="006C5E57" w14:paraId="0BB719B8" w14:textId="77777777">
        <w:tc>
          <w:tcPr>
            <w:tcW w:w="4200" w:type="dxa"/>
            <w:shd w:val="clear" w:color="auto" w:fill="FFFFFF"/>
            <w:tcMar>
              <w:top w:w="80" w:type="dxa"/>
              <w:left w:w="100" w:type="dxa"/>
              <w:bottom w:w="80" w:type="dxa"/>
              <w:right w:w="100" w:type="dxa"/>
            </w:tcMar>
          </w:tcPr>
          <w:p w14:paraId="603BD158" w14:textId="77777777" w:rsidR="00880EF6" w:rsidRDefault="008E6519">
            <w:r>
              <w:rPr>
                <w:b/>
                <w:bCs/>
                <w:sz w:val="19"/>
                <w:szCs w:val="19"/>
              </w:rPr>
              <w:t>Evidence 1 — type: SUPPORTING, weight: 0.90</w:t>
            </w:r>
          </w:p>
        </w:tc>
        <w:tc>
          <w:tcPr>
            <w:tcW w:w="5160" w:type="dxa"/>
            <w:shd w:val="clear" w:color="auto" w:fill="FFFEF5"/>
            <w:tcMar>
              <w:top w:w="80" w:type="dxa"/>
              <w:left w:w="100" w:type="dxa"/>
              <w:bottom w:w="80" w:type="dxa"/>
              <w:right w:w="100" w:type="dxa"/>
            </w:tcMar>
          </w:tcPr>
          <w:p w14:paraId="71DB106E" w14:textId="77777777" w:rsidR="00880EF6" w:rsidRDefault="008E6519">
            <w:r>
              <w:rPr>
                <w:color w:val="2D2D2D"/>
                <w:sz w:val="19"/>
                <w:szCs w:val="19"/>
              </w:rPr>
              <w:t>Content: AMD software interface specification document confirms thruster output reported in pound-force seconds (</w:t>
            </w:r>
            <w:proofErr w:type="spellStart"/>
            <w:r>
              <w:rPr>
                <w:color w:val="2D2D2D"/>
                <w:sz w:val="19"/>
                <w:szCs w:val="19"/>
              </w:rPr>
              <w:t>lb·s</w:t>
            </w:r>
            <w:proofErr w:type="spellEnd"/>
            <w:r>
              <w:rPr>
                <w:color w:val="2D2D2D"/>
                <w:sz w:val="19"/>
                <w:szCs w:val="19"/>
              </w:rPr>
              <w:t>) throughout cruise phase. No unit conversion applied before transmission to JPL navigation interface. — Why weight 0.90: This is direct documentary evidence of the exact structural cause. High weight because it directly identifies the shared input error.</w:t>
            </w:r>
          </w:p>
        </w:tc>
      </w:tr>
      <w:tr w:rsidR="006C5E57" w14:paraId="7BB4DAAE" w14:textId="77777777">
        <w:tc>
          <w:tcPr>
            <w:tcW w:w="4200" w:type="dxa"/>
            <w:shd w:val="clear" w:color="auto" w:fill="F5F5FA"/>
            <w:tcMar>
              <w:top w:w="80" w:type="dxa"/>
              <w:left w:w="100" w:type="dxa"/>
              <w:bottom w:w="80" w:type="dxa"/>
              <w:right w:w="100" w:type="dxa"/>
            </w:tcMar>
          </w:tcPr>
          <w:p w14:paraId="64799F02" w14:textId="77777777" w:rsidR="00880EF6" w:rsidRDefault="008E6519">
            <w:r>
              <w:rPr>
                <w:b/>
                <w:bCs/>
                <w:sz w:val="19"/>
                <w:szCs w:val="19"/>
              </w:rPr>
              <w:t>Evidence 2 — type: SUPPORTING, weight: 0.80</w:t>
            </w:r>
          </w:p>
        </w:tc>
        <w:tc>
          <w:tcPr>
            <w:tcW w:w="5160" w:type="dxa"/>
            <w:shd w:val="clear" w:color="auto" w:fill="FFFAF0"/>
            <w:tcMar>
              <w:top w:w="80" w:type="dxa"/>
              <w:left w:w="100" w:type="dxa"/>
              <w:bottom w:w="80" w:type="dxa"/>
              <w:right w:w="100" w:type="dxa"/>
            </w:tcMar>
          </w:tcPr>
          <w:p w14:paraId="28D5EB11" w14:textId="77777777" w:rsidR="00880EF6" w:rsidRDefault="008E6519">
            <w:r>
              <w:rPr>
                <w:color w:val="2D2D2D"/>
                <w:sz w:val="19"/>
                <w:szCs w:val="19"/>
              </w:rPr>
              <w:t>Content: JPL navigation software expected thruster input in newton-seconds (N·s) per mission SI standard. No unit validation check at JPL interface. Delta-V computations used raw AMD input as N·s. — Why: This closes the structural loop. You now have both sides of the hidden common link confirmed.</w:t>
            </w:r>
          </w:p>
        </w:tc>
      </w:tr>
      <w:tr w:rsidR="006C5E57" w14:paraId="10654D04" w14:textId="77777777">
        <w:tc>
          <w:tcPr>
            <w:tcW w:w="4200" w:type="dxa"/>
            <w:shd w:val="clear" w:color="auto" w:fill="FFFFFF"/>
            <w:tcMar>
              <w:top w:w="80" w:type="dxa"/>
              <w:left w:w="100" w:type="dxa"/>
              <w:bottom w:w="80" w:type="dxa"/>
              <w:right w:w="100" w:type="dxa"/>
            </w:tcMar>
          </w:tcPr>
          <w:p w14:paraId="08E8428A" w14:textId="77777777" w:rsidR="00880EF6" w:rsidRDefault="008E6519">
            <w:r>
              <w:rPr>
                <w:b/>
                <w:bCs/>
                <w:sz w:val="19"/>
                <w:szCs w:val="19"/>
              </w:rPr>
              <w:t>Evidence 3 — type: SUPPORTING, weight: 0.75</w:t>
            </w:r>
          </w:p>
        </w:tc>
        <w:tc>
          <w:tcPr>
            <w:tcW w:w="5160" w:type="dxa"/>
            <w:shd w:val="clear" w:color="auto" w:fill="FFFEF5"/>
            <w:tcMar>
              <w:top w:w="80" w:type="dxa"/>
              <w:left w:w="100" w:type="dxa"/>
              <w:bottom w:w="80" w:type="dxa"/>
              <w:right w:w="100" w:type="dxa"/>
            </w:tcMar>
          </w:tcPr>
          <w:p w14:paraId="514D577D" w14:textId="77777777" w:rsidR="00880EF6" w:rsidRDefault="008E6519">
            <w:r>
              <w:rPr>
                <w:color w:val="2D2D2D"/>
                <w:sz w:val="19"/>
                <w:szCs w:val="19"/>
              </w:rPr>
              <w:t xml:space="preserve">Content: Conversion factor </w:t>
            </w:r>
            <w:proofErr w:type="spellStart"/>
            <w:r>
              <w:rPr>
                <w:color w:val="2D2D2D"/>
                <w:sz w:val="19"/>
                <w:szCs w:val="19"/>
              </w:rPr>
              <w:t>lb·s</w:t>
            </w:r>
            <w:proofErr w:type="spellEnd"/>
            <w:r>
              <w:rPr>
                <w:color w:val="2D2D2D"/>
                <w:sz w:val="19"/>
                <w:szCs w:val="19"/>
              </w:rPr>
              <w:t xml:space="preserve"> to N·s = 4.44822. Ratio of JPL observed trajectory deviation to AMD computed delta-V across TCM-1, TCM-4 is consistent with 4.44822 factor across all manoeuvres. — Why weight 0.75: quantitative confirmation of the specific unit mismatch, not just its existence.</w:t>
            </w:r>
          </w:p>
        </w:tc>
      </w:tr>
      <w:tr w:rsidR="006C5E57" w14:paraId="08390466" w14:textId="77777777">
        <w:tc>
          <w:tcPr>
            <w:tcW w:w="4200" w:type="dxa"/>
            <w:shd w:val="clear" w:color="auto" w:fill="F5F5FA"/>
            <w:tcMar>
              <w:top w:w="80" w:type="dxa"/>
              <w:left w:w="100" w:type="dxa"/>
              <w:bottom w:w="80" w:type="dxa"/>
              <w:right w:w="100" w:type="dxa"/>
            </w:tcMar>
          </w:tcPr>
          <w:p w14:paraId="7C76E65E" w14:textId="77777777" w:rsidR="00880EF6" w:rsidRDefault="008E6519">
            <w:r>
              <w:rPr>
                <w:b/>
                <w:bCs/>
                <w:sz w:val="19"/>
                <w:szCs w:val="19"/>
              </w:rPr>
              <w:t>Evidence 4 — type: CONTRADICTING, weight: 0.30</w:t>
            </w:r>
          </w:p>
        </w:tc>
        <w:tc>
          <w:tcPr>
            <w:tcW w:w="5160" w:type="dxa"/>
            <w:shd w:val="clear" w:color="auto" w:fill="FFFAF0"/>
            <w:tcMar>
              <w:top w:w="80" w:type="dxa"/>
              <w:left w:w="100" w:type="dxa"/>
              <w:bottom w:w="80" w:type="dxa"/>
              <w:right w:w="100" w:type="dxa"/>
            </w:tcMar>
          </w:tcPr>
          <w:p w14:paraId="7870AA7E" w14:textId="77777777" w:rsidR="00880EF6" w:rsidRDefault="008E6519">
            <w:r>
              <w:rPr>
                <w:color w:val="2D2D2D"/>
                <w:sz w:val="19"/>
                <w:szCs w:val="19"/>
              </w:rPr>
              <w:t>Content: JPL navigation review at period 2 noted residuals but attributed to normal cruise noise. No formal anomaly raised at period 2. — Why you add contradicting evidence: You need to know whether the system handles contradicting evidence correctly. Weight 0.30 because it is weak — the fact that JPL didn't flag it early doesn't mean the unit error wasn't real. Watch plausibility: it should drop slightly then recover as supporting evidence dominates.</w:t>
            </w:r>
          </w:p>
        </w:tc>
      </w:tr>
      <w:tr w:rsidR="006C5E57" w14:paraId="2549391F" w14:textId="77777777">
        <w:tc>
          <w:tcPr>
            <w:tcW w:w="4200" w:type="dxa"/>
            <w:shd w:val="clear" w:color="auto" w:fill="FFFFFF"/>
            <w:tcMar>
              <w:top w:w="80" w:type="dxa"/>
              <w:left w:w="100" w:type="dxa"/>
              <w:bottom w:w="80" w:type="dxa"/>
              <w:right w:w="100" w:type="dxa"/>
            </w:tcMar>
          </w:tcPr>
          <w:p w14:paraId="4352D485" w14:textId="77777777" w:rsidR="00880EF6" w:rsidRDefault="008E6519">
            <w:r>
              <w:rPr>
                <w:b/>
                <w:bCs/>
                <w:sz w:val="19"/>
                <w:szCs w:val="19"/>
              </w:rPr>
              <w:t>Confirm hypothesis</w:t>
            </w:r>
          </w:p>
        </w:tc>
        <w:tc>
          <w:tcPr>
            <w:tcW w:w="5160" w:type="dxa"/>
            <w:shd w:val="clear" w:color="auto" w:fill="FFFEF5"/>
            <w:tcMar>
              <w:top w:w="80" w:type="dxa"/>
              <w:left w:w="100" w:type="dxa"/>
              <w:bottom w:w="80" w:type="dxa"/>
              <w:right w:w="100" w:type="dxa"/>
            </w:tcMar>
          </w:tcPr>
          <w:p w14:paraId="5BAFBBBF" w14:textId="77777777" w:rsidR="00880EF6" w:rsidRDefault="008E6519">
            <w:r>
              <w:rPr>
                <w:color w:val="2D2D2D"/>
                <w:sz w:val="19"/>
                <w:szCs w:val="19"/>
              </w:rPr>
              <w:t>Plausibility should be &gt;= 0.85 with the three SUPPORTING evidence items. CONFIRM the hypothesis. Resolution basis: AMD-JPL unit convention mismatch confirmed by interface specification review and quantitative trajectory analysis.</w:t>
            </w:r>
          </w:p>
        </w:tc>
      </w:tr>
    </w:tbl>
    <w:p w14:paraId="6030CA39" w14:textId="77777777" w:rsidR="00880EF6" w:rsidRDefault="00880EF6">
      <w:pPr>
        <w:spacing w:before="200"/>
      </w:pPr>
    </w:p>
    <w:p w14:paraId="4ACADC20" w14:textId="77777777" w:rsidR="00880EF6" w:rsidRDefault="008E6519">
      <w:pPr>
        <w:pStyle w:val="Ttulo2"/>
      </w:pPr>
      <w:r>
        <w:t>Step 7 — Generate the Briefing</w:t>
      </w:r>
    </w:p>
    <w:p w14:paraId="636B9549" w14:textId="77777777" w:rsidR="00880EF6" w:rsidRDefault="008E6519">
      <w:pPr>
        <w:spacing w:before="80" w:after="80"/>
      </w:pPr>
      <w:r>
        <w:t>Click GENERATE BRIEFING. Read the briefing carefully. It should contain:</w:t>
      </w:r>
    </w:p>
    <w:p w14:paraId="314AED4F" w14:textId="77777777" w:rsidR="00880EF6" w:rsidRDefault="00880EF6">
      <w:pPr>
        <w:spacing w:before="80"/>
      </w:pPr>
    </w:p>
    <w:p w14:paraId="227EB6BC" w14:textId="77777777" w:rsidR="00880EF6" w:rsidRDefault="008E6519">
      <w:pPr>
        <w:pStyle w:val="PargrafodaLista"/>
        <w:numPr>
          <w:ilvl w:val="0"/>
          <w:numId w:val="2"/>
        </w:numPr>
        <w:spacing w:before="40" w:after="40"/>
      </w:pPr>
      <w:r>
        <w:t>Pool Status: 10 signals across various states. QUARANTINED count = 0 (after you resolved the contradiction). RESOLVED count = 1 or more.</w:t>
      </w:r>
    </w:p>
    <w:p w14:paraId="72350543" w14:textId="77777777" w:rsidR="00880EF6" w:rsidRDefault="008E6519">
      <w:pPr>
        <w:pStyle w:val="PargrafodaLista"/>
        <w:numPr>
          <w:ilvl w:val="0"/>
          <w:numId w:val="2"/>
        </w:numPr>
        <w:spacing w:before="40" w:after="40"/>
      </w:pPr>
      <w:r>
        <w:t>AI Summary: Should mention the HCL pattern across AMD and JPL domains, the unit conversion cause, and that the hypothesis is CONFIRMED.</w:t>
      </w:r>
    </w:p>
    <w:p w14:paraId="7717D9AA" w14:textId="77777777" w:rsidR="00880EF6" w:rsidRDefault="008E6519">
      <w:pPr>
        <w:pStyle w:val="PargrafodaLista"/>
        <w:numPr>
          <w:ilvl w:val="0"/>
          <w:numId w:val="2"/>
        </w:numPr>
        <w:spacing w:before="40" w:after="40"/>
      </w:pPr>
      <w:r>
        <w:lastRenderedPageBreak/>
        <w:t>Active Hypotheses: The HCL hypothesis showing CONFIRMED status and plausibility &gt;= 0.85.</w:t>
      </w:r>
    </w:p>
    <w:p w14:paraId="6906588C" w14:textId="77777777" w:rsidR="00880EF6" w:rsidRDefault="008E6519">
      <w:pPr>
        <w:pStyle w:val="PargrafodaLista"/>
        <w:numPr>
          <w:ilvl w:val="0"/>
          <w:numId w:val="2"/>
        </w:numPr>
        <w:spacing w:before="40" w:after="40"/>
      </w:pPr>
      <w:r>
        <w:t>Quarantine: Empty (if you resolved the contradiction).</w:t>
      </w:r>
    </w:p>
    <w:p w14:paraId="337FF490" w14:textId="77777777" w:rsidR="00880EF6" w:rsidRDefault="008E6519">
      <w:pPr>
        <w:pStyle w:val="PargrafodaLista"/>
        <w:numPr>
          <w:ilvl w:val="0"/>
          <w:numId w:val="2"/>
        </w:numPr>
        <w:spacing w:before="40" w:after="40"/>
      </w:pPr>
      <w:r>
        <w:t>Loss Points Flagged: Should be empty or show LP-3 note if you did the unset-independence test.</w:t>
      </w:r>
    </w:p>
    <w:p w14:paraId="4ED5FBE6" w14:textId="77777777" w:rsidR="00880EF6" w:rsidRDefault="008E6519">
      <w:pPr>
        <w:pStyle w:val="PargrafodaLista"/>
        <w:numPr>
          <w:ilvl w:val="0"/>
          <w:numId w:val="2"/>
        </w:numPr>
        <w:spacing w:before="40" w:after="40"/>
      </w:pPr>
      <w:r>
        <w:t>Open Questions: Should be empty or reduced — the HCL hypothesis explains all connected signals.</w:t>
      </w:r>
    </w:p>
    <w:p w14:paraId="022D7A41" w14:textId="77777777" w:rsidR="00880EF6" w:rsidRDefault="00880EF6">
      <w:pPr>
        <w:spacing w:before="80"/>
      </w:pPr>
    </w:p>
    <w:p w14:paraId="25B7BEF8" w14:textId="77777777" w:rsidR="00880EF6" w:rsidRDefault="008E6519">
      <w:pPr>
        <w:pBdr>
          <w:left w:val="single" w:sz="12" w:space="2" w:color="C8B87A"/>
        </w:pBdr>
        <w:shd w:val="clear" w:color="auto" w:fill="F5F0DC"/>
        <w:spacing w:before="120" w:after="120"/>
        <w:ind w:left="240"/>
      </w:pPr>
      <w:r>
        <w:rPr>
          <w:i/>
          <w:iCs/>
          <w:color w:val="2D2D2D"/>
          <w:sz w:val="20"/>
          <w:szCs w:val="20"/>
        </w:rPr>
        <w:t>If the briefing summary does not mention unit conventions or cross-domain correspondence, something in the SHG hypothesis generation or briefing AI is not working correctly. That is useful test data.</w:t>
      </w:r>
    </w:p>
    <w:p w14:paraId="15260225" w14:textId="77777777" w:rsidR="00880EF6" w:rsidRDefault="008E6519">
      <w:r>
        <w:br w:type="page"/>
      </w:r>
    </w:p>
    <w:p w14:paraId="6E2D0BF2" w14:textId="77777777" w:rsidR="00880EF6" w:rsidRDefault="008E6519">
      <w:pPr>
        <w:shd w:val="clear" w:color="auto" w:fill="1A1A2E"/>
        <w:spacing w:after="80"/>
      </w:pPr>
      <w:r>
        <w:rPr>
          <w:b/>
          <w:bCs/>
          <w:color w:val="C8B87A"/>
          <w:sz w:val="26"/>
          <w:szCs w:val="26"/>
        </w:rPr>
        <w:lastRenderedPageBreak/>
        <w:t xml:space="preserve">  CASE 2</w:t>
      </w:r>
    </w:p>
    <w:p w14:paraId="51304032" w14:textId="77777777" w:rsidR="00880EF6" w:rsidRDefault="008E6519">
      <w:pPr>
        <w:shd w:val="clear" w:color="auto" w:fill="1A1A2E"/>
      </w:pPr>
      <w:r>
        <w:rPr>
          <w:b/>
          <w:bCs/>
          <w:color w:val="FFFFFF"/>
          <w:sz w:val="38"/>
          <w:szCs w:val="38"/>
        </w:rPr>
        <w:t xml:space="preserve">  Therac-25 Radiation Overdoses</w:t>
      </w:r>
    </w:p>
    <w:p w14:paraId="431B8C9D" w14:textId="77777777" w:rsidR="00880EF6" w:rsidRDefault="008E6519">
      <w:pPr>
        <w:shd w:val="clear" w:color="auto" w:fill="1A1A2E"/>
        <w:spacing w:after="200"/>
      </w:pPr>
      <w:r>
        <w:rPr>
          <w:color w:val="9090B0"/>
          <w:sz w:val="22"/>
          <w:szCs w:val="22"/>
        </w:rPr>
        <w:t xml:space="preserve">  AECL / Four hospitals — 1985–1987</w:t>
      </w:r>
    </w:p>
    <w:p w14:paraId="12EE43B2" w14:textId="77777777" w:rsidR="00880EF6" w:rsidRDefault="00880EF6">
      <w:pPr>
        <w:spacing w:before="80"/>
      </w:pPr>
    </w:p>
    <w:p w14:paraId="59A7C347" w14:textId="77777777" w:rsidR="00880EF6" w:rsidRDefault="008E6519">
      <w:pPr>
        <w:pStyle w:val="Ttulo2"/>
      </w:pPr>
      <w:r>
        <w:t>Background</w:t>
      </w:r>
    </w:p>
    <w:p w14:paraId="13FB5CCD" w14:textId="77777777" w:rsidR="00880EF6" w:rsidRDefault="008E6519">
      <w:pPr>
        <w:spacing w:before="80" w:after="80"/>
      </w:pPr>
      <w:r>
        <w:t>Between 1985 and 1987, AECL's Therac-25 radiation therapy machine caused at least six documented radiation overdoses at four independent hospitals in the United States and Canada. Three patients died. The cause was a race condition in the software: when an operator typed quickly through the setup sequence, the machine could enter a state where the electron beam fired at full power without the physical beam-spreading hardware in place — delivering 100x the intended dose.</w:t>
      </w:r>
    </w:p>
    <w:p w14:paraId="2D23EE6E" w14:textId="77777777" w:rsidR="00880EF6" w:rsidRDefault="008E6519">
      <w:pPr>
        <w:spacing w:before="80" w:after="80"/>
      </w:pPr>
      <w:r>
        <w:t>Each hospital reported one or two incidents. Individually, each report looked like operator error or patient sensitivity. AECL received the reports but treated each one as an isolated case. There was no mechanism to aggregate signals across independent hospital sites.</w:t>
      </w:r>
    </w:p>
    <w:p w14:paraId="567EB026" w14:textId="77777777" w:rsidR="00880EF6" w:rsidRDefault="00880EF6">
      <w:pPr>
        <w:spacing w:before="80"/>
      </w:pPr>
    </w:p>
    <w:p w14:paraId="553898DD" w14:textId="77777777" w:rsidR="00880EF6" w:rsidRDefault="008E6519">
      <w:pPr>
        <w:pBdr>
          <w:left w:val="single" w:sz="12" w:space="2" w:color="C8B87A"/>
        </w:pBdr>
        <w:shd w:val="clear" w:color="auto" w:fill="F5F0DC"/>
        <w:spacing w:before="120" w:after="120"/>
        <w:ind w:left="240"/>
      </w:pPr>
      <w:r>
        <w:rPr>
          <w:i/>
          <w:iCs/>
          <w:color w:val="2D2D2D"/>
          <w:sz w:val="20"/>
          <w:szCs w:val="20"/>
        </w:rPr>
        <w:t>Why CIS: This case is the canonical Weak Signal Preservation + Cross-Domain HCL case. Each individual hospital signal is sub-threshold on its own — one unusual radiation incident at one facility does not constitute a confirmed pattern. But four independent hospitals reporting structurally similar incidents, with the same machine, within the same 18-month window, is not coincidence. CIS would have connected these as a Hidden Common Link.</w:t>
      </w:r>
    </w:p>
    <w:p w14:paraId="774D482C" w14:textId="77777777" w:rsidR="00880EF6" w:rsidRDefault="00880EF6">
      <w:pPr>
        <w:spacing w:before="80"/>
      </w:pPr>
    </w:p>
    <w:p w14:paraId="6AD6C3C8" w14:textId="77777777" w:rsidR="00880EF6" w:rsidRDefault="008E6519">
      <w:pPr>
        <w:spacing w:before="80" w:after="80"/>
      </w:pPr>
      <w:r>
        <w:rPr>
          <w:b/>
          <w:bCs/>
        </w:rPr>
        <w:t>Features this case exercises:</w:t>
      </w:r>
      <w:r>
        <w:t xml:space="preserve"> Sub-threshold signal retention (WSP), LP-2 (no expiry within minimum retention), LP-5 (aggregate assessment before expiry), LP-3 (cross-domain boundary — hospital reports not connected without independence declaration), HCL hypothesis across four independent domains, SI_CLUSTER within a single hospital domain, PATTERN from temporal accumulation, RC-3 contradiction resolution (operator error vs software defect).</w:t>
      </w:r>
    </w:p>
    <w:p w14:paraId="4C21BCFA" w14:textId="77777777" w:rsidR="00880EF6" w:rsidRDefault="00880EF6">
      <w:pPr>
        <w:spacing w:before="160"/>
      </w:pPr>
    </w:p>
    <w:p w14:paraId="455B9D42" w14:textId="77777777" w:rsidR="00880EF6" w:rsidRDefault="008E6519">
      <w:pPr>
        <w:pStyle w:val="Ttulo2"/>
      </w:pPr>
      <w:r>
        <w:t>Step 1 — Create the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6437CDDE" w14:textId="77777777">
        <w:trPr>
          <w:tblHeader/>
        </w:trPr>
        <w:tc>
          <w:tcPr>
            <w:tcW w:w="4200" w:type="dxa"/>
            <w:shd w:val="clear" w:color="auto" w:fill="1A1A2E"/>
            <w:tcMar>
              <w:top w:w="80" w:type="dxa"/>
              <w:left w:w="100" w:type="dxa"/>
              <w:bottom w:w="80" w:type="dxa"/>
              <w:right w:w="100" w:type="dxa"/>
            </w:tcMar>
          </w:tcPr>
          <w:p w14:paraId="66ACD008" w14:textId="77777777" w:rsidR="00880EF6" w:rsidRDefault="008E6519">
            <w:r>
              <w:rPr>
                <w:b/>
                <w:bCs/>
                <w:color w:val="C8B87A"/>
                <w:sz w:val="19"/>
                <w:szCs w:val="19"/>
              </w:rPr>
              <w:t>Field</w:t>
            </w:r>
          </w:p>
        </w:tc>
        <w:tc>
          <w:tcPr>
            <w:tcW w:w="5160" w:type="dxa"/>
            <w:shd w:val="clear" w:color="auto" w:fill="1A1A2E"/>
            <w:tcMar>
              <w:top w:w="80" w:type="dxa"/>
              <w:left w:w="100" w:type="dxa"/>
              <w:bottom w:w="80" w:type="dxa"/>
              <w:right w:w="100" w:type="dxa"/>
            </w:tcMar>
          </w:tcPr>
          <w:p w14:paraId="0EB5A1B2" w14:textId="77777777" w:rsidR="00880EF6" w:rsidRDefault="008E6519">
            <w:r>
              <w:rPr>
                <w:b/>
                <w:bCs/>
                <w:color w:val="C8B87A"/>
                <w:sz w:val="19"/>
                <w:szCs w:val="19"/>
              </w:rPr>
              <w:t>Entry</w:t>
            </w:r>
          </w:p>
        </w:tc>
      </w:tr>
      <w:tr w:rsidR="006C5E57" w14:paraId="2BBC22B5" w14:textId="77777777">
        <w:tc>
          <w:tcPr>
            <w:tcW w:w="4200" w:type="dxa"/>
            <w:shd w:val="clear" w:color="auto" w:fill="FFFFFF"/>
            <w:tcMar>
              <w:top w:w="80" w:type="dxa"/>
              <w:left w:w="100" w:type="dxa"/>
              <w:bottom w:w="80" w:type="dxa"/>
              <w:right w:w="100" w:type="dxa"/>
            </w:tcMar>
          </w:tcPr>
          <w:p w14:paraId="12CDEEA0" w14:textId="77777777" w:rsidR="00880EF6" w:rsidRDefault="008E6519">
            <w:r>
              <w:rPr>
                <w:b/>
                <w:bCs/>
                <w:sz w:val="19"/>
                <w:szCs w:val="19"/>
              </w:rPr>
              <w:t>Case title:</w:t>
            </w:r>
          </w:p>
        </w:tc>
        <w:tc>
          <w:tcPr>
            <w:tcW w:w="5160" w:type="dxa"/>
            <w:shd w:val="clear" w:color="auto" w:fill="FFFEF5"/>
            <w:tcMar>
              <w:top w:w="80" w:type="dxa"/>
              <w:left w:w="100" w:type="dxa"/>
              <w:bottom w:w="80" w:type="dxa"/>
              <w:right w:w="100" w:type="dxa"/>
            </w:tcMar>
          </w:tcPr>
          <w:p w14:paraId="014830B8" w14:textId="77777777" w:rsidR="00880EF6" w:rsidRDefault="008E6519">
            <w:r>
              <w:rPr>
                <w:color w:val="2D2D2D"/>
                <w:sz w:val="19"/>
                <w:szCs w:val="19"/>
              </w:rPr>
              <w:t>Therac-25 Radiation Overdose Investigation</w:t>
            </w:r>
          </w:p>
        </w:tc>
      </w:tr>
      <w:tr w:rsidR="006C5E57" w14:paraId="011C63A5" w14:textId="77777777">
        <w:tc>
          <w:tcPr>
            <w:tcW w:w="4200" w:type="dxa"/>
            <w:shd w:val="clear" w:color="auto" w:fill="F5F5FA"/>
            <w:tcMar>
              <w:top w:w="80" w:type="dxa"/>
              <w:left w:w="100" w:type="dxa"/>
              <w:bottom w:w="80" w:type="dxa"/>
              <w:right w:w="100" w:type="dxa"/>
            </w:tcMar>
          </w:tcPr>
          <w:p w14:paraId="0DC995A9" w14:textId="77777777" w:rsidR="00880EF6" w:rsidRDefault="008E6519">
            <w:r>
              <w:rPr>
                <w:b/>
                <w:bCs/>
                <w:sz w:val="19"/>
                <w:szCs w:val="19"/>
              </w:rPr>
              <w:t>What to expect:</w:t>
            </w:r>
          </w:p>
        </w:tc>
        <w:tc>
          <w:tcPr>
            <w:tcW w:w="5160" w:type="dxa"/>
            <w:shd w:val="clear" w:color="auto" w:fill="FFFAF0"/>
            <w:tcMar>
              <w:top w:w="80" w:type="dxa"/>
              <w:left w:w="100" w:type="dxa"/>
              <w:bottom w:w="80" w:type="dxa"/>
              <w:right w:w="100" w:type="dxa"/>
            </w:tcMar>
          </w:tcPr>
          <w:p w14:paraId="097F1C8F" w14:textId="77777777" w:rsidR="00880EF6" w:rsidRDefault="008E6519">
            <w:r>
              <w:rPr>
                <w:color w:val="2D2D2D"/>
                <w:sz w:val="19"/>
                <w:szCs w:val="19"/>
              </w:rPr>
              <w:t>Empty dashboard. You will create four domains — one per hospital.</w:t>
            </w:r>
          </w:p>
        </w:tc>
      </w:tr>
    </w:tbl>
    <w:p w14:paraId="39F30879" w14:textId="77777777" w:rsidR="00880EF6" w:rsidRDefault="00880EF6">
      <w:pPr>
        <w:spacing w:before="160"/>
      </w:pPr>
    </w:p>
    <w:p w14:paraId="3B98EC7D" w14:textId="77777777" w:rsidR="00880EF6" w:rsidRDefault="008E6519">
      <w:pPr>
        <w:pStyle w:val="Ttulo2"/>
      </w:pPr>
      <w:r>
        <w:t>Step 2 — Create Domains and Declare Independence</w:t>
      </w:r>
    </w:p>
    <w:p w14:paraId="74B54BC7" w14:textId="77777777" w:rsidR="00880EF6" w:rsidRDefault="008E6519">
      <w:pPr>
        <w:spacing w:before="80" w:after="80"/>
      </w:pPr>
      <w:r>
        <w:t>Each hospital is an independent domain. They are in different cities, different countries, different medical teams. They have no shared data pipeline. Declaring them independent is what allows CIS to run cross-domain analysis across the four sites.</w:t>
      </w:r>
    </w:p>
    <w:p w14:paraId="6A28FF5C"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37DF6790" w14:textId="77777777">
        <w:trPr>
          <w:tblHeader/>
        </w:trPr>
        <w:tc>
          <w:tcPr>
            <w:tcW w:w="4200" w:type="dxa"/>
            <w:shd w:val="clear" w:color="auto" w:fill="1A1A2E"/>
            <w:tcMar>
              <w:top w:w="80" w:type="dxa"/>
              <w:left w:w="100" w:type="dxa"/>
              <w:bottom w:w="80" w:type="dxa"/>
              <w:right w:w="100" w:type="dxa"/>
            </w:tcMar>
          </w:tcPr>
          <w:p w14:paraId="41D9662E" w14:textId="77777777" w:rsidR="00880EF6" w:rsidRDefault="008E6519">
            <w:r>
              <w:rPr>
                <w:b/>
                <w:bCs/>
                <w:color w:val="C8B87A"/>
                <w:sz w:val="19"/>
                <w:szCs w:val="19"/>
              </w:rPr>
              <w:lastRenderedPageBreak/>
              <w:t>Action</w:t>
            </w:r>
          </w:p>
        </w:tc>
        <w:tc>
          <w:tcPr>
            <w:tcW w:w="5160" w:type="dxa"/>
            <w:shd w:val="clear" w:color="auto" w:fill="1A1A2E"/>
            <w:tcMar>
              <w:top w:w="80" w:type="dxa"/>
              <w:left w:w="100" w:type="dxa"/>
              <w:bottom w:w="80" w:type="dxa"/>
              <w:right w:w="100" w:type="dxa"/>
            </w:tcMar>
          </w:tcPr>
          <w:p w14:paraId="4C31D2EB" w14:textId="77777777" w:rsidR="00880EF6" w:rsidRDefault="008E6519">
            <w:r>
              <w:rPr>
                <w:b/>
                <w:bCs/>
                <w:color w:val="C8B87A"/>
                <w:sz w:val="19"/>
                <w:szCs w:val="19"/>
              </w:rPr>
              <w:t>What to enter / why</w:t>
            </w:r>
          </w:p>
        </w:tc>
      </w:tr>
      <w:tr w:rsidR="006C5E57" w14:paraId="366780DA" w14:textId="77777777">
        <w:tc>
          <w:tcPr>
            <w:tcW w:w="4200" w:type="dxa"/>
            <w:shd w:val="clear" w:color="auto" w:fill="FFFFFF"/>
            <w:tcMar>
              <w:top w:w="80" w:type="dxa"/>
              <w:left w:w="100" w:type="dxa"/>
              <w:bottom w:w="80" w:type="dxa"/>
              <w:right w:w="100" w:type="dxa"/>
            </w:tcMar>
          </w:tcPr>
          <w:p w14:paraId="68866949" w14:textId="77777777" w:rsidR="00880EF6" w:rsidRDefault="008E6519">
            <w:r>
              <w:rPr>
                <w:b/>
                <w:bCs/>
                <w:sz w:val="19"/>
                <w:szCs w:val="19"/>
              </w:rPr>
              <w:t>Domain 1:</w:t>
            </w:r>
          </w:p>
        </w:tc>
        <w:tc>
          <w:tcPr>
            <w:tcW w:w="5160" w:type="dxa"/>
            <w:shd w:val="clear" w:color="auto" w:fill="FFFEF5"/>
            <w:tcMar>
              <w:top w:w="80" w:type="dxa"/>
              <w:left w:w="100" w:type="dxa"/>
              <w:bottom w:w="80" w:type="dxa"/>
              <w:right w:w="100" w:type="dxa"/>
            </w:tcMar>
          </w:tcPr>
          <w:p w14:paraId="07820398" w14:textId="77777777" w:rsidR="00880EF6" w:rsidRDefault="008E6519">
            <w:r>
              <w:rPr>
                <w:color w:val="2D2D2D"/>
                <w:sz w:val="19"/>
                <w:szCs w:val="19"/>
              </w:rPr>
              <w:t>Yakima Valley Memorial Hospital — Yakima, WA. Radiation therapy unit. First incident reported June 1985.</w:t>
            </w:r>
          </w:p>
        </w:tc>
      </w:tr>
      <w:tr w:rsidR="006C5E57" w14:paraId="5E7A8C08" w14:textId="77777777">
        <w:tc>
          <w:tcPr>
            <w:tcW w:w="4200" w:type="dxa"/>
            <w:shd w:val="clear" w:color="auto" w:fill="F5F5FA"/>
            <w:tcMar>
              <w:top w:w="80" w:type="dxa"/>
              <w:left w:w="100" w:type="dxa"/>
              <w:bottom w:w="80" w:type="dxa"/>
              <w:right w:w="100" w:type="dxa"/>
            </w:tcMar>
          </w:tcPr>
          <w:p w14:paraId="58781696" w14:textId="77777777" w:rsidR="00880EF6" w:rsidRDefault="008E6519">
            <w:r>
              <w:rPr>
                <w:b/>
                <w:bCs/>
                <w:sz w:val="19"/>
                <w:szCs w:val="19"/>
              </w:rPr>
              <w:t>Domain 2:</w:t>
            </w:r>
          </w:p>
        </w:tc>
        <w:tc>
          <w:tcPr>
            <w:tcW w:w="5160" w:type="dxa"/>
            <w:shd w:val="clear" w:color="auto" w:fill="FFFAF0"/>
            <w:tcMar>
              <w:top w:w="80" w:type="dxa"/>
              <w:left w:w="100" w:type="dxa"/>
              <w:bottom w:w="80" w:type="dxa"/>
              <w:right w:w="100" w:type="dxa"/>
            </w:tcMar>
          </w:tcPr>
          <w:p w14:paraId="12075F26" w14:textId="77777777" w:rsidR="00880EF6" w:rsidRDefault="008E6519">
            <w:r>
              <w:rPr>
                <w:color w:val="2D2D2D"/>
                <w:sz w:val="19"/>
                <w:szCs w:val="19"/>
              </w:rPr>
              <w:t xml:space="preserve">East Texas Cancer </w:t>
            </w:r>
            <w:proofErr w:type="spellStart"/>
            <w:r>
              <w:rPr>
                <w:color w:val="2D2D2D"/>
                <w:sz w:val="19"/>
                <w:szCs w:val="19"/>
              </w:rPr>
              <w:t>Center</w:t>
            </w:r>
            <w:proofErr w:type="spellEnd"/>
            <w:r>
              <w:rPr>
                <w:color w:val="2D2D2D"/>
                <w:sz w:val="19"/>
                <w:szCs w:val="19"/>
              </w:rPr>
              <w:t xml:space="preserve"> — Tyler, TX. Radiation therapy unit. Incidents reported March 1986 and January 1987.</w:t>
            </w:r>
          </w:p>
        </w:tc>
      </w:tr>
      <w:tr w:rsidR="006C5E57" w14:paraId="2514E5B8" w14:textId="77777777">
        <w:tc>
          <w:tcPr>
            <w:tcW w:w="4200" w:type="dxa"/>
            <w:shd w:val="clear" w:color="auto" w:fill="FFFFFF"/>
            <w:tcMar>
              <w:top w:w="80" w:type="dxa"/>
              <w:left w:w="100" w:type="dxa"/>
              <w:bottom w:w="80" w:type="dxa"/>
              <w:right w:w="100" w:type="dxa"/>
            </w:tcMar>
          </w:tcPr>
          <w:p w14:paraId="24D0ADEB" w14:textId="77777777" w:rsidR="00880EF6" w:rsidRDefault="008E6519">
            <w:r>
              <w:rPr>
                <w:b/>
                <w:bCs/>
                <w:sz w:val="19"/>
                <w:szCs w:val="19"/>
              </w:rPr>
              <w:t>Domain 3:</w:t>
            </w:r>
          </w:p>
        </w:tc>
        <w:tc>
          <w:tcPr>
            <w:tcW w:w="5160" w:type="dxa"/>
            <w:shd w:val="clear" w:color="auto" w:fill="FFFEF5"/>
            <w:tcMar>
              <w:top w:w="80" w:type="dxa"/>
              <w:left w:w="100" w:type="dxa"/>
              <w:bottom w:w="80" w:type="dxa"/>
              <w:right w:w="100" w:type="dxa"/>
            </w:tcMar>
          </w:tcPr>
          <w:p w14:paraId="74ACD1EE" w14:textId="77777777" w:rsidR="00880EF6" w:rsidRDefault="008E6519">
            <w:r>
              <w:rPr>
                <w:color w:val="2D2D2D"/>
                <w:sz w:val="19"/>
                <w:szCs w:val="19"/>
              </w:rPr>
              <w:t>Ontario Cancer Foundation — Hamilton, ON. Radiation therapy unit. Incident reported July 1986.</w:t>
            </w:r>
          </w:p>
        </w:tc>
      </w:tr>
      <w:tr w:rsidR="006C5E57" w14:paraId="5A8E5FD4" w14:textId="77777777">
        <w:tc>
          <w:tcPr>
            <w:tcW w:w="4200" w:type="dxa"/>
            <w:shd w:val="clear" w:color="auto" w:fill="F5F5FA"/>
            <w:tcMar>
              <w:top w:w="80" w:type="dxa"/>
              <w:left w:w="100" w:type="dxa"/>
              <w:bottom w:w="80" w:type="dxa"/>
              <w:right w:w="100" w:type="dxa"/>
            </w:tcMar>
          </w:tcPr>
          <w:p w14:paraId="55AE4AD9" w14:textId="77777777" w:rsidR="00880EF6" w:rsidRDefault="008E6519">
            <w:r>
              <w:rPr>
                <w:b/>
                <w:bCs/>
                <w:sz w:val="19"/>
                <w:szCs w:val="19"/>
              </w:rPr>
              <w:t>Domain 4:</w:t>
            </w:r>
          </w:p>
        </w:tc>
        <w:tc>
          <w:tcPr>
            <w:tcW w:w="5160" w:type="dxa"/>
            <w:shd w:val="clear" w:color="auto" w:fill="FFFAF0"/>
            <w:tcMar>
              <w:top w:w="80" w:type="dxa"/>
              <w:left w:w="100" w:type="dxa"/>
              <w:bottom w:w="80" w:type="dxa"/>
              <w:right w:w="100" w:type="dxa"/>
            </w:tcMar>
          </w:tcPr>
          <w:p w14:paraId="1A7A3CB4" w14:textId="77777777" w:rsidR="00880EF6" w:rsidRDefault="008E6519">
            <w:proofErr w:type="spellStart"/>
            <w:r>
              <w:rPr>
                <w:color w:val="2D2D2D"/>
                <w:sz w:val="19"/>
                <w:szCs w:val="19"/>
              </w:rPr>
              <w:t>Kennestone</w:t>
            </w:r>
            <w:proofErr w:type="spellEnd"/>
            <w:r>
              <w:rPr>
                <w:color w:val="2D2D2D"/>
                <w:sz w:val="19"/>
                <w:szCs w:val="19"/>
              </w:rPr>
              <w:t xml:space="preserve"> Regional Oncology — Marietta, GA. Incident reported 1987.</w:t>
            </w:r>
          </w:p>
        </w:tc>
      </w:tr>
      <w:tr w:rsidR="006C5E57" w14:paraId="31D973B0" w14:textId="77777777">
        <w:tc>
          <w:tcPr>
            <w:tcW w:w="4200" w:type="dxa"/>
            <w:shd w:val="clear" w:color="auto" w:fill="FFFFFF"/>
            <w:tcMar>
              <w:top w:w="80" w:type="dxa"/>
              <w:left w:w="100" w:type="dxa"/>
              <w:bottom w:w="80" w:type="dxa"/>
              <w:right w:w="100" w:type="dxa"/>
            </w:tcMar>
          </w:tcPr>
          <w:p w14:paraId="295063B8" w14:textId="77777777" w:rsidR="00880EF6" w:rsidRDefault="008E6519">
            <w:r>
              <w:rPr>
                <w:b/>
                <w:bCs/>
                <w:sz w:val="19"/>
                <w:szCs w:val="19"/>
              </w:rPr>
              <w:t>Independence declarations:</w:t>
            </w:r>
          </w:p>
        </w:tc>
        <w:tc>
          <w:tcPr>
            <w:tcW w:w="5160" w:type="dxa"/>
            <w:shd w:val="clear" w:color="auto" w:fill="FFFEF5"/>
            <w:tcMar>
              <w:top w:w="80" w:type="dxa"/>
              <w:left w:w="100" w:type="dxa"/>
              <w:bottom w:w="80" w:type="dxa"/>
              <w:right w:w="100" w:type="dxa"/>
            </w:tcMar>
          </w:tcPr>
          <w:p w14:paraId="0C0E4437" w14:textId="77777777" w:rsidR="00880EF6" w:rsidRDefault="008E6519">
            <w:r>
              <w:rPr>
                <w:color w:val="2D2D2D"/>
                <w:sz w:val="19"/>
                <w:szCs w:val="19"/>
              </w:rPr>
              <w:t>Declare all six domain pairs as INDEPENDENT. Basis: separate hospitals in separate states/countries, no shared staff, no shared data systems, all using the same Therac-25 hardware from the same manufacturer (AECL) — which is precisely what makes them cross-domain comparable. The shared input is the AECL machine and codebase.</w:t>
            </w:r>
          </w:p>
        </w:tc>
      </w:tr>
      <w:tr w:rsidR="006C5E57" w14:paraId="4307608C" w14:textId="77777777">
        <w:tc>
          <w:tcPr>
            <w:tcW w:w="4200" w:type="dxa"/>
            <w:shd w:val="clear" w:color="auto" w:fill="F5F5FA"/>
            <w:tcMar>
              <w:top w:w="80" w:type="dxa"/>
              <w:left w:w="100" w:type="dxa"/>
              <w:bottom w:w="80" w:type="dxa"/>
              <w:right w:w="100" w:type="dxa"/>
            </w:tcMar>
          </w:tcPr>
          <w:p w14:paraId="4BC44A32" w14:textId="77777777" w:rsidR="00880EF6" w:rsidRDefault="008E6519">
            <w:r>
              <w:rPr>
                <w:b/>
                <w:bCs/>
                <w:sz w:val="19"/>
                <w:szCs w:val="19"/>
              </w:rPr>
              <w:t>Why this step is critical:</w:t>
            </w:r>
          </w:p>
        </w:tc>
        <w:tc>
          <w:tcPr>
            <w:tcW w:w="5160" w:type="dxa"/>
            <w:shd w:val="clear" w:color="auto" w:fill="FFFAF0"/>
            <w:tcMar>
              <w:top w:w="80" w:type="dxa"/>
              <w:left w:w="100" w:type="dxa"/>
              <w:bottom w:w="80" w:type="dxa"/>
              <w:right w:w="100" w:type="dxa"/>
            </w:tcMar>
          </w:tcPr>
          <w:p w14:paraId="445F50DB" w14:textId="77777777" w:rsidR="00880EF6" w:rsidRDefault="008E6519">
            <w:r>
              <w:rPr>
                <w:color w:val="2D2D2D"/>
                <w:sz w:val="19"/>
                <w:szCs w:val="19"/>
              </w:rPr>
              <w:t>With four independent domains, CIS can detect that the same structural anomaly pattern is appearing across all four. Without independence declarations, LP-3 fires for every cross-domain signal.</w:t>
            </w:r>
          </w:p>
        </w:tc>
      </w:tr>
    </w:tbl>
    <w:p w14:paraId="000EFD51" w14:textId="77777777" w:rsidR="00880EF6" w:rsidRDefault="00880EF6">
      <w:pPr>
        <w:spacing w:before="160"/>
      </w:pPr>
    </w:p>
    <w:p w14:paraId="5A18B376" w14:textId="77777777" w:rsidR="00880EF6" w:rsidRDefault="008E6519">
      <w:pPr>
        <w:pStyle w:val="Ttulo2"/>
      </w:pPr>
      <w:r>
        <w:t>Step 3 — Enter Signals</w:t>
      </w:r>
    </w:p>
    <w:p w14:paraId="00A9A810" w14:textId="77777777" w:rsidR="00880EF6" w:rsidRDefault="008E6519">
      <w:pPr>
        <w:spacing w:before="80" w:after="80"/>
      </w:pPr>
      <w:r>
        <w:t>The key to this case is that each individual signal is weak. A single unexplained radiation incident at one hospital looks like an outlier. You will watch CIS retain these signals under WSP (they are individually sub-threshold) and then aggregate them into a pattern that cannot be explained by coincidence.</w:t>
      </w:r>
    </w:p>
    <w:p w14:paraId="07A12809" w14:textId="77777777" w:rsidR="00880EF6" w:rsidRDefault="00880EF6">
      <w:pPr>
        <w:spacing w:before="80"/>
      </w:pPr>
    </w:p>
    <w:p w14:paraId="4C8999EB" w14:textId="77777777" w:rsidR="00880EF6" w:rsidRDefault="008E6519">
      <w:pPr>
        <w:pBdr>
          <w:left w:val="single" w:sz="12" w:space="2" w:color="C8B87A"/>
        </w:pBdr>
        <w:shd w:val="clear" w:color="auto" w:fill="F5F0DC"/>
        <w:spacing w:before="120" w:after="120"/>
        <w:ind w:left="240"/>
      </w:pPr>
      <w:r>
        <w:rPr>
          <w:i/>
          <w:iCs/>
          <w:color w:val="2D2D2D"/>
          <w:sz w:val="20"/>
          <w:szCs w:val="20"/>
        </w:rPr>
        <w:t>Observation periods here represent quarters: Period 1 = Q3 1985, Period 2 = Q1 1986, Period 3 = Q2 1986, Period 4 = Q3 1986, Period 5 = Q4 1986, Period 6 = Q1 1987.</w:t>
      </w:r>
    </w:p>
    <w:p w14:paraId="55E297A3" w14:textId="77777777" w:rsidR="00880EF6" w:rsidRDefault="00880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1393"/>
        <w:gridCol w:w="792"/>
        <w:gridCol w:w="3668"/>
        <w:gridCol w:w="3077"/>
      </w:tblGrid>
      <w:tr w:rsidR="006C5E57" w14:paraId="2D075A8C" w14:textId="77777777">
        <w:trPr>
          <w:tblHeader/>
        </w:trPr>
        <w:tc>
          <w:tcPr>
            <w:tcW w:w="400" w:type="dxa"/>
            <w:shd w:val="clear" w:color="auto" w:fill="1A1A2E"/>
            <w:tcMar>
              <w:top w:w="80" w:type="dxa"/>
              <w:left w:w="100" w:type="dxa"/>
              <w:bottom w:w="80" w:type="dxa"/>
              <w:right w:w="100" w:type="dxa"/>
            </w:tcMar>
          </w:tcPr>
          <w:p w14:paraId="70E0207A" w14:textId="77777777" w:rsidR="00880EF6" w:rsidRDefault="008E6519">
            <w:r>
              <w:rPr>
                <w:b/>
                <w:bCs/>
                <w:color w:val="C8B87A"/>
                <w:sz w:val="19"/>
                <w:szCs w:val="19"/>
              </w:rPr>
              <w:t>#</w:t>
            </w:r>
          </w:p>
        </w:tc>
        <w:tc>
          <w:tcPr>
            <w:tcW w:w="1400" w:type="dxa"/>
            <w:shd w:val="clear" w:color="auto" w:fill="1A1A2E"/>
            <w:tcMar>
              <w:top w:w="80" w:type="dxa"/>
              <w:left w:w="100" w:type="dxa"/>
              <w:bottom w:w="80" w:type="dxa"/>
              <w:right w:w="100" w:type="dxa"/>
            </w:tcMar>
          </w:tcPr>
          <w:p w14:paraId="614AE779" w14:textId="77777777" w:rsidR="00880EF6" w:rsidRDefault="008E6519">
            <w:r>
              <w:rPr>
                <w:b/>
                <w:bCs/>
                <w:color w:val="C8B87A"/>
                <w:sz w:val="19"/>
                <w:szCs w:val="19"/>
              </w:rPr>
              <w:t>Domain</w:t>
            </w:r>
          </w:p>
        </w:tc>
        <w:tc>
          <w:tcPr>
            <w:tcW w:w="600" w:type="dxa"/>
            <w:shd w:val="clear" w:color="auto" w:fill="1A1A2E"/>
            <w:tcMar>
              <w:top w:w="80" w:type="dxa"/>
              <w:left w:w="100" w:type="dxa"/>
              <w:bottom w:w="80" w:type="dxa"/>
              <w:right w:w="100" w:type="dxa"/>
            </w:tcMar>
          </w:tcPr>
          <w:p w14:paraId="119EF03D" w14:textId="77777777" w:rsidR="00880EF6" w:rsidRDefault="008E6519">
            <w:r>
              <w:rPr>
                <w:b/>
                <w:bCs/>
                <w:color w:val="C8B87A"/>
                <w:sz w:val="19"/>
                <w:szCs w:val="19"/>
              </w:rPr>
              <w:t>Period</w:t>
            </w:r>
          </w:p>
        </w:tc>
        <w:tc>
          <w:tcPr>
            <w:tcW w:w="3800" w:type="dxa"/>
            <w:shd w:val="clear" w:color="auto" w:fill="1A1A2E"/>
            <w:tcMar>
              <w:top w:w="80" w:type="dxa"/>
              <w:left w:w="100" w:type="dxa"/>
              <w:bottom w:w="80" w:type="dxa"/>
              <w:right w:w="100" w:type="dxa"/>
            </w:tcMar>
          </w:tcPr>
          <w:p w14:paraId="1973217D" w14:textId="77777777" w:rsidR="00880EF6" w:rsidRDefault="008E6519">
            <w:r>
              <w:rPr>
                <w:b/>
                <w:bCs/>
                <w:color w:val="C8B87A"/>
                <w:sz w:val="19"/>
                <w:szCs w:val="19"/>
              </w:rPr>
              <w:t>What to enter in the Content field</w:t>
            </w:r>
          </w:p>
        </w:tc>
        <w:tc>
          <w:tcPr>
            <w:tcW w:w="3160" w:type="dxa"/>
            <w:shd w:val="clear" w:color="auto" w:fill="1A1A2E"/>
            <w:tcMar>
              <w:top w:w="80" w:type="dxa"/>
              <w:left w:w="100" w:type="dxa"/>
              <w:bottom w:w="80" w:type="dxa"/>
              <w:right w:w="100" w:type="dxa"/>
            </w:tcMar>
          </w:tcPr>
          <w:p w14:paraId="70D87D44" w14:textId="77777777" w:rsidR="00880EF6" w:rsidRDefault="008E6519">
            <w:r>
              <w:rPr>
                <w:b/>
                <w:bCs/>
                <w:color w:val="C8B87A"/>
                <w:sz w:val="19"/>
                <w:szCs w:val="19"/>
              </w:rPr>
              <w:t xml:space="preserve">Why — what </w:t>
            </w:r>
            <w:proofErr w:type="gramStart"/>
            <w:r>
              <w:rPr>
                <w:b/>
                <w:bCs/>
                <w:color w:val="C8B87A"/>
                <w:sz w:val="19"/>
                <w:szCs w:val="19"/>
              </w:rPr>
              <w:t>this tests</w:t>
            </w:r>
            <w:proofErr w:type="gramEnd"/>
          </w:p>
        </w:tc>
      </w:tr>
      <w:tr w:rsidR="006C5E57" w14:paraId="690D5F1D" w14:textId="77777777">
        <w:tc>
          <w:tcPr>
            <w:tcW w:w="400" w:type="dxa"/>
            <w:shd w:val="clear" w:color="auto" w:fill="FFFFFF"/>
            <w:tcMar>
              <w:top w:w="80" w:type="dxa"/>
              <w:left w:w="100" w:type="dxa"/>
              <w:bottom w:w="80" w:type="dxa"/>
              <w:right w:w="100" w:type="dxa"/>
            </w:tcMar>
          </w:tcPr>
          <w:p w14:paraId="1494CFE4" w14:textId="77777777" w:rsidR="00880EF6" w:rsidRDefault="008E6519">
            <w:r>
              <w:rPr>
                <w:rFonts w:ascii="Courier New" w:eastAsia="Courier New" w:hAnsi="Courier New" w:cs="Courier New"/>
                <w:b/>
                <w:bCs/>
                <w:color w:val="4A4A6A"/>
                <w:sz w:val="19"/>
                <w:szCs w:val="19"/>
              </w:rPr>
              <w:t>1</w:t>
            </w:r>
          </w:p>
        </w:tc>
        <w:tc>
          <w:tcPr>
            <w:tcW w:w="1400" w:type="dxa"/>
            <w:shd w:val="clear" w:color="auto" w:fill="FFFFFF"/>
            <w:tcMar>
              <w:top w:w="80" w:type="dxa"/>
              <w:left w:w="100" w:type="dxa"/>
              <w:bottom w:w="80" w:type="dxa"/>
              <w:right w:w="100" w:type="dxa"/>
            </w:tcMar>
          </w:tcPr>
          <w:p w14:paraId="2BF81DD2" w14:textId="77777777" w:rsidR="00880EF6" w:rsidRDefault="008E6519">
            <w:r>
              <w:rPr>
                <w:b/>
                <w:bCs/>
                <w:color w:val="2D3561"/>
                <w:sz w:val="19"/>
                <w:szCs w:val="19"/>
              </w:rPr>
              <w:t>Yakima Valley</w:t>
            </w:r>
          </w:p>
        </w:tc>
        <w:tc>
          <w:tcPr>
            <w:tcW w:w="600" w:type="dxa"/>
            <w:shd w:val="clear" w:color="auto" w:fill="FFFFFF"/>
            <w:tcMar>
              <w:top w:w="80" w:type="dxa"/>
              <w:left w:w="100" w:type="dxa"/>
              <w:bottom w:w="80" w:type="dxa"/>
              <w:right w:w="100" w:type="dxa"/>
            </w:tcMar>
          </w:tcPr>
          <w:p w14:paraId="689CB969"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FFFFF"/>
            <w:tcMar>
              <w:top w:w="80" w:type="dxa"/>
              <w:left w:w="100" w:type="dxa"/>
              <w:bottom w:w="80" w:type="dxa"/>
              <w:right w:w="100" w:type="dxa"/>
            </w:tcMar>
          </w:tcPr>
          <w:p w14:paraId="5F81CCDB" w14:textId="77777777" w:rsidR="00880EF6" w:rsidRDefault="008E6519">
            <w:r>
              <w:rPr>
                <w:sz w:val="19"/>
                <w:szCs w:val="19"/>
              </w:rPr>
              <w:t>Patient reported unusual burning sensation and skin redness following Therac-25 treatment session. Dose parameters appeared normal on operator console. Incident attributed to possible patient skin sensitivity. No machine fault log generated.</w:t>
            </w:r>
          </w:p>
        </w:tc>
        <w:tc>
          <w:tcPr>
            <w:tcW w:w="3160" w:type="dxa"/>
            <w:shd w:val="clear" w:color="auto" w:fill="FFFEF5"/>
            <w:tcMar>
              <w:top w:w="80" w:type="dxa"/>
              <w:left w:w="100" w:type="dxa"/>
              <w:bottom w:w="80" w:type="dxa"/>
              <w:right w:w="100" w:type="dxa"/>
            </w:tcMar>
          </w:tcPr>
          <w:p w14:paraId="119CD3FD" w14:textId="77777777" w:rsidR="00880EF6" w:rsidRDefault="008E6519">
            <w:r>
              <w:rPr>
                <w:i/>
                <w:iCs/>
                <w:color w:val="4A4040"/>
                <w:sz w:val="19"/>
                <w:szCs w:val="19"/>
              </w:rPr>
              <w:t>This is the first sub-threshold signal. Individually: one unusual patient reaction at one hospital is not a pattern. CIS should score this SI above 0.25 (structural incongruence: machine console shows normal, patient shows overdose symptoms) but significance below 0.55. It should be RETAINED per WSP, not discarded. Check that it is NOT expired after period 1.</w:t>
            </w:r>
          </w:p>
        </w:tc>
      </w:tr>
      <w:tr w:rsidR="006C5E57" w14:paraId="3B23A1A2" w14:textId="77777777">
        <w:tc>
          <w:tcPr>
            <w:tcW w:w="400" w:type="dxa"/>
            <w:shd w:val="clear" w:color="auto" w:fill="F5F5FA"/>
            <w:tcMar>
              <w:top w:w="80" w:type="dxa"/>
              <w:left w:w="100" w:type="dxa"/>
              <w:bottom w:w="80" w:type="dxa"/>
              <w:right w:w="100" w:type="dxa"/>
            </w:tcMar>
          </w:tcPr>
          <w:p w14:paraId="0A72E798" w14:textId="77777777" w:rsidR="00880EF6" w:rsidRDefault="008E6519">
            <w:r>
              <w:rPr>
                <w:rFonts w:ascii="Courier New" w:eastAsia="Courier New" w:hAnsi="Courier New" w:cs="Courier New"/>
                <w:b/>
                <w:bCs/>
                <w:color w:val="4A4A6A"/>
                <w:sz w:val="19"/>
                <w:szCs w:val="19"/>
              </w:rPr>
              <w:t>2</w:t>
            </w:r>
          </w:p>
        </w:tc>
        <w:tc>
          <w:tcPr>
            <w:tcW w:w="1400" w:type="dxa"/>
            <w:shd w:val="clear" w:color="auto" w:fill="F5F5FA"/>
            <w:tcMar>
              <w:top w:w="80" w:type="dxa"/>
              <w:left w:w="100" w:type="dxa"/>
              <w:bottom w:w="80" w:type="dxa"/>
              <w:right w:w="100" w:type="dxa"/>
            </w:tcMar>
          </w:tcPr>
          <w:p w14:paraId="752B72A7" w14:textId="77777777" w:rsidR="00880EF6" w:rsidRDefault="008E6519">
            <w:r>
              <w:rPr>
                <w:b/>
                <w:bCs/>
                <w:color w:val="2D3561"/>
                <w:sz w:val="19"/>
                <w:szCs w:val="19"/>
              </w:rPr>
              <w:t>Yakima Valley</w:t>
            </w:r>
          </w:p>
        </w:tc>
        <w:tc>
          <w:tcPr>
            <w:tcW w:w="600" w:type="dxa"/>
            <w:shd w:val="clear" w:color="auto" w:fill="F5F5FA"/>
            <w:tcMar>
              <w:top w:w="80" w:type="dxa"/>
              <w:left w:w="100" w:type="dxa"/>
              <w:bottom w:w="80" w:type="dxa"/>
              <w:right w:w="100" w:type="dxa"/>
            </w:tcMar>
          </w:tcPr>
          <w:p w14:paraId="1EDA78F7"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5F5FA"/>
            <w:tcMar>
              <w:top w:w="80" w:type="dxa"/>
              <w:left w:w="100" w:type="dxa"/>
              <w:bottom w:w="80" w:type="dxa"/>
              <w:right w:w="100" w:type="dxa"/>
            </w:tcMar>
          </w:tcPr>
          <w:p w14:paraId="3E5F5ECB" w14:textId="77777777" w:rsidR="00880EF6" w:rsidRDefault="008E6519">
            <w:r>
              <w:rPr>
                <w:sz w:val="19"/>
                <w:szCs w:val="19"/>
              </w:rPr>
              <w:t xml:space="preserve">Therac-25 operator console displayed 'MALFUNCTION 54' error during treatment setup for a different patient. </w:t>
            </w:r>
            <w:r>
              <w:rPr>
                <w:sz w:val="19"/>
                <w:szCs w:val="19"/>
              </w:rPr>
              <w:lastRenderedPageBreak/>
              <w:t>Operator was able to proceed with treatment after pressing return several times. Error not documented in maintenance log. Patient outcome not recorded in this report.</w:t>
            </w:r>
          </w:p>
        </w:tc>
        <w:tc>
          <w:tcPr>
            <w:tcW w:w="3160" w:type="dxa"/>
            <w:shd w:val="clear" w:color="auto" w:fill="FFFAF0"/>
            <w:tcMar>
              <w:top w:w="80" w:type="dxa"/>
              <w:left w:w="100" w:type="dxa"/>
              <w:bottom w:w="80" w:type="dxa"/>
              <w:right w:w="100" w:type="dxa"/>
            </w:tcMar>
          </w:tcPr>
          <w:p w14:paraId="6BC45B06" w14:textId="77777777" w:rsidR="00880EF6" w:rsidRDefault="008E6519">
            <w:r>
              <w:rPr>
                <w:i/>
                <w:iCs/>
                <w:color w:val="4A4040"/>
                <w:sz w:val="19"/>
                <w:szCs w:val="19"/>
              </w:rPr>
              <w:lastRenderedPageBreak/>
              <w:t xml:space="preserve">Second signal from the same domain, same period. Structurally incongruent: 'MALFUNCTION 54' </w:t>
            </w:r>
            <w:r>
              <w:rPr>
                <w:i/>
                <w:iCs/>
                <w:color w:val="4A4040"/>
                <w:sz w:val="19"/>
                <w:szCs w:val="19"/>
              </w:rPr>
              <w:lastRenderedPageBreak/>
              <w:t>appearing but operator can proceed by pressing return — this is the race condition symptom. CIS should flag this as part of a potential SI_CLUSTER within Yakima Valley. Note: this signal alone doesn't tell you what MALFUNCTION 54 means.</w:t>
            </w:r>
          </w:p>
        </w:tc>
      </w:tr>
      <w:tr w:rsidR="006C5E57" w14:paraId="530A05B3" w14:textId="77777777">
        <w:tc>
          <w:tcPr>
            <w:tcW w:w="400" w:type="dxa"/>
            <w:shd w:val="clear" w:color="auto" w:fill="FFFFFF"/>
            <w:tcMar>
              <w:top w:w="80" w:type="dxa"/>
              <w:left w:w="100" w:type="dxa"/>
              <w:bottom w:w="80" w:type="dxa"/>
              <w:right w:w="100" w:type="dxa"/>
            </w:tcMar>
          </w:tcPr>
          <w:p w14:paraId="769B59E2" w14:textId="77777777" w:rsidR="00880EF6" w:rsidRDefault="008E6519">
            <w:r>
              <w:rPr>
                <w:rFonts w:ascii="Courier New" w:eastAsia="Courier New" w:hAnsi="Courier New" w:cs="Courier New"/>
                <w:b/>
                <w:bCs/>
                <w:color w:val="4A4A6A"/>
                <w:sz w:val="19"/>
                <w:szCs w:val="19"/>
              </w:rPr>
              <w:lastRenderedPageBreak/>
              <w:t>3</w:t>
            </w:r>
          </w:p>
        </w:tc>
        <w:tc>
          <w:tcPr>
            <w:tcW w:w="1400" w:type="dxa"/>
            <w:shd w:val="clear" w:color="auto" w:fill="FFFFFF"/>
            <w:tcMar>
              <w:top w:w="80" w:type="dxa"/>
              <w:left w:w="100" w:type="dxa"/>
              <w:bottom w:w="80" w:type="dxa"/>
              <w:right w:w="100" w:type="dxa"/>
            </w:tcMar>
          </w:tcPr>
          <w:p w14:paraId="40D42897" w14:textId="77777777" w:rsidR="00880EF6" w:rsidRDefault="008E6519">
            <w:r>
              <w:rPr>
                <w:b/>
                <w:bCs/>
                <w:color w:val="2D3561"/>
                <w:sz w:val="19"/>
                <w:szCs w:val="19"/>
              </w:rPr>
              <w:t>East Texas Cancer</w:t>
            </w:r>
          </w:p>
        </w:tc>
        <w:tc>
          <w:tcPr>
            <w:tcW w:w="600" w:type="dxa"/>
            <w:shd w:val="clear" w:color="auto" w:fill="FFFFFF"/>
            <w:tcMar>
              <w:top w:w="80" w:type="dxa"/>
              <w:left w:w="100" w:type="dxa"/>
              <w:bottom w:w="80" w:type="dxa"/>
              <w:right w:w="100" w:type="dxa"/>
            </w:tcMar>
          </w:tcPr>
          <w:p w14:paraId="2625FB81"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FFFFF"/>
            <w:tcMar>
              <w:top w:w="80" w:type="dxa"/>
              <w:left w:w="100" w:type="dxa"/>
              <w:bottom w:w="80" w:type="dxa"/>
              <w:right w:w="100" w:type="dxa"/>
            </w:tcMar>
          </w:tcPr>
          <w:p w14:paraId="1A2E44C1" w14:textId="77777777" w:rsidR="00880EF6" w:rsidRDefault="008E6519">
            <w:r>
              <w:rPr>
                <w:sz w:val="19"/>
                <w:szCs w:val="19"/>
              </w:rPr>
              <w:t>Patient received Therac-25 treatment. Post-treatment: severe radiation burns to upper back and left shoulder. Patient presented with acute radiation syndrome symptoms. Operator reported console showed normal dose delivery. Machine did not record fault.</w:t>
            </w:r>
          </w:p>
        </w:tc>
        <w:tc>
          <w:tcPr>
            <w:tcW w:w="3160" w:type="dxa"/>
            <w:shd w:val="clear" w:color="auto" w:fill="FFFEF5"/>
            <w:tcMar>
              <w:top w:w="80" w:type="dxa"/>
              <w:left w:w="100" w:type="dxa"/>
              <w:bottom w:w="80" w:type="dxa"/>
              <w:right w:w="100" w:type="dxa"/>
            </w:tcMar>
          </w:tcPr>
          <w:p w14:paraId="7C105F20" w14:textId="77777777" w:rsidR="00880EF6" w:rsidRDefault="008E6519">
            <w:r>
              <w:rPr>
                <w:i/>
                <w:iCs/>
                <w:color w:val="4A4040"/>
                <w:sz w:val="19"/>
                <w:szCs w:val="19"/>
              </w:rPr>
              <w:t>High SI — the gap between 'console shows normal' and 'patient shows acute radiation syndrome' is extreme structural incongruence. This is a different hospital from Signal 1 but a structurally similar pattern: machine reports nominal, patient suffers overdose. Watch for cross-domain connection to Signals 1 and 2.</w:t>
            </w:r>
          </w:p>
        </w:tc>
      </w:tr>
      <w:tr w:rsidR="006C5E57" w14:paraId="32889E79" w14:textId="77777777">
        <w:tc>
          <w:tcPr>
            <w:tcW w:w="400" w:type="dxa"/>
            <w:shd w:val="clear" w:color="auto" w:fill="F5F5FA"/>
            <w:tcMar>
              <w:top w:w="80" w:type="dxa"/>
              <w:left w:w="100" w:type="dxa"/>
              <w:bottom w:w="80" w:type="dxa"/>
              <w:right w:w="100" w:type="dxa"/>
            </w:tcMar>
          </w:tcPr>
          <w:p w14:paraId="73615C97" w14:textId="77777777" w:rsidR="00880EF6" w:rsidRDefault="008E6519">
            <w:r>
              <w:rPr>
                <w:rFonts w:ascii="Courier New" w:eastAsia="Courier New" w:hAnsi="Courier New" w:cs="Courier New"/>
                <w:b/>
                <w:bCs/>
                <w:color w:val="4A4A6A"/>
                <w:sz w:val="19"/>
                <w:szCs w:val="19"/>
              </w:rPr>
              <w:t>4</w:t>
            </w:r>
          </w:p>
        </w:tc>
        <w:tc>
          <w:tcPr>
            <w:tcW w:w="1400" w:type="dxa"/>
            <w:shd w:val="clear" w:color="auto" w:fill="F5F5FA"/>
            <w:tcMar>
              <w:top w:w="80" w:type="dxa"/>
              <w:left w:w="100" w:type="dxa"/>
              <w:bottom w:w="80" w:type="dxa"/>
              <w:right w:w="100" w:type="dxa"/>
            </w:tcMar>
          </w:tcPr>
          <w:p w14:paraId="792A14C6" w14:textId="77777777" w:rsidR="00880EF6" w:rsidRDefault="008E6519">
            <w:r>
              <w:rPr>
                <w:b/>
                <w:bCs/>
                <w:color w:val="2D3561"/>
                <w:sz w:val="19"/>
                <w:szCs w:val="19"/>
              </w:rPr>
              <w:t>Ontario Cancer Foundation</w:t>
            </w:r>
          </w:p>
        </w:tc>
        <w:tc>
          <w:tcPr>
            <w:tcW w:w="600" w:type="dxa"/>
            <w:shd w:val="clear" w:color="auto" w:fill="F5F5FA"/>
            <w:tcMar>
              <w:top w:w="80" w:type="dxa"/>
              <w:left w:w="100" w:type="dxa"/>
              <w:bottom w:w="80" w:type="dxa"/>
              <w:right w:w="100" w:type="dxa"/>
            </w:tcMar>
          </w:tcPr>
          <w:p w14:paraId="5E6BDCF3"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5F5FA"/>
            <w:tcMar>
              <w:top w:w="80" w:type="dxa"/>
              <w:left w:w="100" w:type="dxa"/>
              <w:bottom w:w="80" w:type="dxa"/>
              <w:right w:w="100" w:type="dxa"/>
            </w:tcMar>
          </w:tcPr>
          <w:p w14:paraId="6B083B34" w14:textId="77777777" w:rsidR="00880EF6" w:rsidRDefault="008E6519">
            <w:r>
              <w:rPr>
                <w:sz w:val="19"/>
                <w:szCs w:val="19"/>
              </w:rPr>
              <w:t>Therac-25 treatment session: patient received what was later estimated to be 17,000 rads to the hip (therapeutic dose was 200 rads). Operator console showed 'DONE' without error. Patient subsequently developed radiation necrosis. Incident reported to AECL.</w:t>
            </w:r>
          </w:p>
        </w:tc>
        <w:tc>
          <w:tcPr>
            <w:tcW w:w="3160" w:type="dxa"/>
            <w:shd w:val="clear" w:color="auto" w:fill="FFFAF0"/>
            <w:tcMar>
              <w:top w:w="80" w:type="dxa"/>
              <w:left w:w="100" w:type="dxa"/>
              <w:bottom w:w="80" w:type="dxa"/>
              <w:right w:w="100" w:type="dxa"/>
            </w:tcMar>
          </w:tcPr>
          <w:p w14:paraId="35D42D6E" w14:textId="77777777" w:rsidR="00880EF6" w:rsidRDefault="008E6519">
            <w:r>
              <w:rPr>
                <w:i/>
                <w:iCs/>
                <w:color w:val="4A4040"/>
                <w:sz w:val="19"/>
                <w:szCs w:val="19"/>
              </w:rPr>
              <w:t xml:space="preserve">Very high SI — 17,000 vs 200 rads is an 85x overdose. Console showed DONE with no fault. This is the same structural signature as Signals 1 and 3 but at a much more extreme dose level. A fourth cross-domain connection should now be possible when you get to </w:t>
            </w:r>
            <w:proofErr w:type="spellStart"/>
            <w:r>
              <w:rPr>
                <w:i/>
                <w:iCs/>
                <w:color w:val="4A4040"/>
                <w:sz w:val="19"/>
                <w:szCs w:val="19"/>
              </w:rPr>
              <w:t>Kennestone</w:t>
            </w:r>
            <w:proofErr w:type="spellEnd"/>
            <w:r>
              <w:rPr>
                <w:i/>
                <w:iCs/>
                <w:color w:val="4A4040"/>
                <w:sz w:val="19"/>
                <w:szCs w:val="19"/>
              </w:rPr>
              <w:t>. Watch plausibility rise.</w:t>
            </w:r>
          </w:p>
        </w:tc>
      </w:tr>
      <w:tr w:rsidR="006C5E57" w14:paraId="78E3B470" w14:textId="77777777">
        <w:tc>
          <w:tcPr>
            <w:tcW w:w="400" w:type="dxa"/>
            <w:shd w:val="clear" w:color="auto" w:fill="FFFFFF"/>
            <w:tcMar>
              <w:top w:w="80" w:type="dxa"/>
              <w:left w:w="100" w:type="dxa"/>
              <w:bottom w:w="80" w:type="dxa"/>
              <w:right w:w="100" w:type="dxa"/>
            </w:tcMar>
          </w:tcPr>
          <w:p w14:paraId="4BCBB9F0" w14:textId="77777777" w:rsidR="00880EF6" w:rsidRDefault="008E6519">
            <w:r>
              <w:rPr>
                <w:rFonts w:ascii="Courier New" w:eastAsia="Courier New" w:hAnsi="Courier New" w:cs="Courier New"/>
                <w:b/>
                <w:bCs/>
                <w:color w:val="4A4A6A"/>
                <w:sz w:val="19"/>
                <w:szCs w:val="19"/>
              </w:rPr>
              <w:t>5</w:t>
            </w:r>
          </w:p>
        </w:tc>
        <w:tc>
          <w:tcPr>
            <w:tcW w:w="1400" w:type="dxa"/>
            <w:shd w:val="clear" w:color="auto" w:fill="FFFFFF"/>
            <w:tcMar>
              <w:top w:w="80" w:type="dxa"/>
              <w:left w:w="100" w:type="dxa"/>
              <w:bottom w:w="80" w:type="dxa"/>
              <w:right w:w="100" w:type="dxa"/>
            </w:tcMar>
          </w:tcPr>
          <w:p w14:paraId="61A8FF95" w14:textId="77777777" w:rsidR="00880EF6" w:rsidRDefault="008E6519">
            <w:r>
              <w:rPr>
                <w:b/>
                <w:bCs/>
                <w:color w:val="2D3561"/>
                <w:sz w:val="19"/>
                <w:szCs w:val="19"/>
              </w:rPr>
              <w:t>East Texas Cancer</w:t>
            </w:r>
          </w:p>
        </w:tc>
        <w:tc>
          <w:tcPr>
            <w:tcW w:w="600" w:type="dxa"/>
            <w:shd w:val="clear" w:color="auto" w:fill="FFFFFF"/>
            <w:tcMar>
              <w:top w:w="80" w:type="dxa"/>
              <w:left w:w="100" w:type="dxa"/>
              <w:bottom w:w="80" w:type="dxa"/>
              <w:right w:w="100" w:type="dxa"/>
            </w:tcMar>
          </w:tcPr>
          <w:p w14:paraId="2B61D757"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FFFFF"/>
            <w:tcMar>
              <w:top w:w="80" w:type="dxa"/>
              <w:left w:w="100" w:type="dxa"/>
              <w:bottom w:w="80" w:type="dxa"/>
              <w:right w:w="100" w:type="dxa"/>
            </w:tcMar>
          </w:tcPr>
          <w:p w14:paraId="638EE0C5" w14:textId="77777777" w:rsidR="00880EF6" w:rsidRDefault="008E6519">
            <w:r>
              <w:rPr>
                <w:sz w:val="19"/>
                <w:szCs w:val="19"/>
              </w:rPr>
              <w:t>AECL response to East Texas incident report (Signal 3): manufacturer reviewed software logs and concluded operator error likely responsible. No software defect identified. Machine returned to service.</w:t>
            </w:r>
          </w:p>
        </w:tc>
        <w:tc>
          <w:tcPr>
            <w:tcW w:w="3160" w:type="dxa"/>
            <w:shd w:val="clear" w:color="auto" w:fill="FFFEF5"/>
            <w:tcMar>
              <w:top w:w="80" w:type="dxa"/>
              <w:left w:w="100" w:type="dxa"/>
              <w:bottom w:w="80" w:type="dxa"/>
              <w:right w:w="100" w:type="dxa"/>
            </w:tcMar>
          </w:tcPr>
          <w:p w14:paraId="7B51E04C" w14:textId="77777777" w:rsidR="00880EF6" w:rsidRDefault="008E6519">
            <w:r>
              <w:rPr>
                <w:i/>
                <w:iCs/>
                <w:color w:val="4A4040"/>
                <w:sz w:val="19"/>
                <w:szCs w:val="19"/>
              </w:rPr>
              <w:t>This is a CONTRADICTION signal. AECL is asserting operator error. But Signal 3 (patient data) and Signal 4 (Ontario console showed DONE with no fault) are both inconsistent with simple operator error. Register this as a contradiction with Signal 3. Resolution will be RC-2 (falsification — operator error predicts a different machine log pattern than what was observed) or RC-3 (domain expert with direct machine access).</w:t>
            </w:r>
          </w:p>
        </w:tc>
      </w:tr>
      <w:tr w:rsidR="006C5E57" w14:paraId="2F6EE5D7" w14:textId="77777777">
        <w:tc>
          <w:tcPr>
            <w:tcW w:w="400" w:type="dxa"/>
            <w:shd w:val="clear" w:color="auto" w:fill="F5F5FA"/>
            <w:tcMar>
              <w:top w:w="80" w:type="dxa"/>
              <w:left w:w="100" w:type="dxa"/>
              <w:bottom w:w="80" w:type="dxa"/>
              <w:right w:w="100" w:type="dxa"/>
            </w:tcMar>
          </w:tcPr>
          <w:p w14:paraId="74AB339A" w14:textId="77777777" w:rsidR="00880EF6" w:rsidRDefault="008E6519">
            <w:r>
              <w:rPr>
                <w:rFonts w:ascii="Courier New" w:eastAsia="Courier New" w:hAnsi="Courier New" w:cs="Courier New"/>
                <w:b/>
                <w:bCs/>
                <w:color w:val="4A4A6A"/>
                <w:sz w:val="19"/>
                <w:szCs w:val="19"/>
              </w:rPr>
              <w:t>6</w:t>
            </w:r>
          </w:p>
        </w:tc>
        <w:tc>
          <w:tcPr>
            <w:tcW w:w="1400" w:type="dxa"/>
            <w:shd w:val="clear" w:color="auto" w:fill="F5F5FA"/>
            <w:tcMar>
              <w:top w:w="80" w:type="dxa"/>
              <w:left w:w="100" w:type="dxa"/>
              <w:bottom w:w="80" w:type="dxa"/>
              <w:right w:w="100" w:type="dxa"/>
            </w:tcMar>
          </w:tcPr>
          <w:p w14:paraId="66E7A184" w14:textId="77777777" w:rsidR="00880EF6" w:rsidRDefault="008E6519">
            <w:r>
              <w:rPr>
                <w:b/>
                <w:bCs/>
                <w:color w:val="2D3561"/>
                <w:sz w:val="19"/>
                <w:szCs w:val="19"/>
              </w:rPr>
              <w:t>East Texas Cancer</w:t>
            </w:r>
          </w:p>
        </w:tc>
        <w:tc>
          <w:tcPr>
            <w:tcW w:w="600" w:type="dxa"/>
            <w:shd w:val="clear" w:color="auto" w:fill="F5F5FA"/>
            <w:tcMar>
              <w:top w:w="80" w:type="dxa"/>
              <w:left w:w="100" w:type="dxa"/>
              <w:bottom w:w="80" w:type="dxa"/>
              <w:right w:w="100" w:type="dxa"/>
            </w:tcMar>
          </w:tcPr>
          <w:p w14:paraId="5F2C277B"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5F5FA"/>
            <w:tcMar>
              <w:top w:w="80" w:type="dxa"/>
              <w:left w:w="100" w:type="dxa"/>
              <w:bottom w:w="80" w:type="dxa"/>
              <w:right w:w="100" w:type="dxa"/>
            </w:tcMar>
          </w:tcPr>
          <w:p w14:paraId="3BF3946B" w14:textId="77777777" w:rsidR="00880EF6" w:rsidRDefault="008E6519">
            <w:r>
              <w:rPr>
                <w:sz w:val="19"/>
                <w:szCs w:val="19"/>
              </w:rPr>
              <w:t xml:space="preserve">Second incident at East Texas Cancer </w:t>
            </w:r>
            <w:proofErr w:type="spellStart"/>
            <w:r>
              <w:rPr>
                <w:sz w:val="19"/>
                <w:szCs w:val="19"/>
              </w:rPr>
              <w:t>Center</w:t>
            </w:r>
            <w:proofErr w:type="spellEnd"/>
            <w:r>
              <w:rPr>
                <w:sz w:val="19"/>
                <w:szCs w:val="19"/>
              </w:rPr>
              <w:t>. Patient received massive radiation overdose during Therac-25 treatment. Patient died from radiation injuries three weeks post-treatment. Operator identified that typing quickly through the setup sequence preceded the incident.</w:t>
            </w:r>
          </w:p>
        </w:tc>
        <w:tc>
          <w:tcPr>
            <w:tcW w:w="3160" w:type="dxa"/>
            <w:shd w:val="clear" w:color="auto" w:fill="FFFAF0"/>
            <w:tcMar>
              <w:top w:w="80" w:type="dxa"/>
              <w:left w:w="100" w:type="dxa"/>
              <w:bottom w:w="80" w:type="dxa"/>
              <w:right w:w="100" w:type="dxa"/>
            </w:tcMar>
          </w:tcPr>
          <w:p w14:paraId="0A919495" w14:textId="77777777" w:rsidR="00880EF6" w:rsidRDefault="008E6519">
            <w:r>
              <w:rPr>
                <w:i/>
                <w:iCs/>
                <w:color w:val="4A4040"/>
                <w:sz w:val="19"/>
                <w:szCs w:val="19"/>
              </w:rPr>
              <w:t>Very high SI, high significance. This is Signal 3's hospital — a second incident. Now you have: Yakima (2 signals), East Texas (2 signals), Ontario (1 signal). The operator observation about 'typing quickly' is the first direct pointer to the race condition mechanism. Watch what happens to the HCL hypothesis plausibility.</w:t>
            </w:r>
          </w:p>
        </w:tc>
      </w:tr>
      <w:tr w:rsidR="006C5E57" w14:paraId="21E2FEFA" w14:textId="77777777">
        <w:tc>
          <w:tcPr>
            <w:tcW w:w="400" w:type="dxa"/>
            <w:shd w:val="clear" w:color="auto" w:fill="FFFFFF"/>
            <w:tcMar>
              <w:top w:w="80" w:type="dxa"/>
              <w:left w:w="100" w:type="dxa"/>
              <w:bottom w:w="80" w:type="dxa"/>
              <w:right w:w="100" w:type="dxa"/>
            </w:tcMar>
          </w:tcPr>
          <w:p w14:paraId="5B7EB63B" w14:textId="77777777" w:rsidR="00880EF6" w:rsidRDefault="008E6519">
            <w:r>
              <w:rPr>
                <w:rFonts w:ascii="Courier New" w:eastAsia="Courier New" w:hAnsi="Courier New" w:cs="Courier New"/>
                <w:b/>
                <w:bCs/>
                <w:color w:val="4A4A6A"/>
                <w:sz w:val="19"/>
                <w:szCs w:val="19"/>
              </w:rPr>
              <w:lastRenderedPageBreak/>
              <w:t>7</w:t>
            </w:r>
          </w:p>
        </w:tc>
        <w:tc>
          <w:tcPr>
            <w:tcW w:w="1400" w:type="dxa"/>
            <w:shd w:val="clear" w:color="auto" w:fill="FFFFFF"/>
            <w:tcMar>
              <w:top w:w="80" w:type="dxa"/>
              <w:left w:w="100" w:type="dxa"/>
              <w:bottom w:w="80" w:type="dxa"/>
              <w:right w:w="100" w:type="dxa"/>
            </w:tcMar>
          </w:tcPr>
          <w:p w14:paraId="2721DC16" w14:textId="77777777" w:rsidR="00880EF6" w:rsidRDefault="008E6519">
            <w:r>
              <w:rPr>
                <w:b/>
                <w:bCs/>
                <w:color w:val="2D3561"/>
                <w:sz w:val="19"/>
                <w:szCs w:val="19"/>
              </w:rPr>
              <w:t>Yakima Valley</w:t>
            </w:r>
          </w:p>
        </w:tc>
        <w:tc>
          <w:tcPr>
            <w:tcW w:w="600" w:type="dxa"/>
            <w:shd w:val="clear" w:color="auto" w:fill="FFFFFF"/>
            <w:tcMar>
              <w:top w:w="80" w:type="dxa"/>
              <w:left w:w="100" w:type="dxa"/>
              <w:bottom w:w="80" w:type="dxa"/>
              <w:right w:w="100" w:type="dxa"/>
            </w:tcMar>
          </w:tcPr>
          <w:p w14:paraId="59050BFC"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FFFFF"/>
            <w:tcMar>
              <w:top w:w="80" w:type="dxa"/>
              <w:left w:w="100" w:type="dxa"/>
              <w:bottom w:w="80" w:type="dxa"/>
              <w:right w:w="100" w:type="dxa"/>
            </w:tcMar>
          </w:tcPr>
          <w:p w14:paraId="31A9B424" w14:textId="77777777" w:rsidR="00880EF6" w:rsidRDefault="008E6519">
            <w:r>
              <w:rPr>
                <w:sz w:val="19"/>
                <w:szCs w:val="19"/>
              </w:rPr>
              <w:t>Retrospective review of Yakima Valley Therac-25 logs: MALFUNCTION 54 error appeared in operator logs 17 times over 9 months. Each time, operators resumed treatment per on-site protocol. No patient injury reported in Yakima log, but two earlier patients reported unusual skin reactions that were attributed to other causes.</w:t>
            </w:r>
          </w:p>
        </w:tc>
        <w:tc>
          <w:tcPr>
            <w:tcW w:w="3160" w:type="dxa"/>
            <w:shd w:val="clear" w:color="auto" w:fill="FFFEF5"/>
            <w:tcMar>
              <w:top w:w="80" w:type="dxa"/>
              <w:left w:w="100" w:type="dxa"/>
              <w:bottom w:w="80" w:type="dxa"/>
              <w:right w:w="100" w:type="dxa"/>
            </w:tcMar>
          </w:tcPr>
          <w:p w14:paraId="56708AA4" w14:textId="77777777" w:rsidR="00880EF6" w:rsidRDefault="008E6519">
            <w:r>
              <w:rPr>
                <w:i/>
                <w:iCs/>
                <w:color w:val="4A4040"/>
                <w:sz w:val="19"/>
                <w:szCs w:val="19"/>
              </w:rPr>
              <w:t>High SI — 17 occurrences of MALFUNCTION 54 that were each individually attributed to operator error or ignored. This is LP-6 in action in the real world: significance of each individual error decayed because each one was isolated. Collectively they are a strong signal. CIS should flag this as SI_CLUSTER within Yakima Valley domain.</w:t>
            </w:r>
          </w:p>
        </w:tc>
      </w:tr>
      <w:tr w:rsidR="006C5E57" w14:paraId="25BC5233" w14:textId="77777777">
        <w:tc>
          <w:tcPr>
            <w:tcW w:w="400" w:type="dxa"/>
            <w:shd w:val="clear" w:color="auto" w:fill="F5F5FA"/>
            <w:tcMar>
              <w:top w:w="80" w:type="dxa"/>
              <w:left w:w="100" w:type="dxa"/>
              <w:bottom w:w="80" w:type="dxa"/>
              <w:right w:w="100" w:type="dxa"/>
            </w:tcMar>
          </w:tcPr>
          <w:p w14:paraId="6FC2F1CF" w14:textId="77777777" w:rsidR="00880EF6" w:rsidRDefault="008E6519">
            <w:r>
              <w:rPr>
                <w:rFonts w:ascii="Courier New" w:eastAsia="Courier New" w:hAnsi="Courier New" w:cs="Courier New"/>
                <w:b/>
                <w:bCs/>
                <w:color w:val="4A4A6A"/>
                <w:sz w:val="19"/>
                <w:szCs w:val="19"/>
              </w:rPr>
              <w:t>8</w:t>
            </w:r>
          </w:p>
        </w:tc>
        <w:tc>
          <w:tcPr>
            <w:tcW w:w="1400" w:type="dxa"/>
            <w:shd w:val="clear" w:color="auto" w:fill="F5F5FA"/>
            <w:tcMar>
              <w:top w:w="80" w:type="dxa"/>
              <w:left w:w="100" w:type="dxa"/>
              <w:bottom w:w="80" w:type="dxa"/>
              <w:right w:w="100" w:type="dxa"/>
            </w:tcMar>
          </w:tcPr>
          <w:p w14:paraId="24C3807F" w14:textId="77777777" w:rsidR="00880EF6" w:rsidRDefault="008E6519">
            <w:proofErr w:type="spellStart"/>
            <w:r>
              <w:rPr>
                <w:b/>
                <w:bCs/>
                <w:color w:val="2D3561"/>
                <w:sz w:val="19"/>
                <w:szCs w:val="19"/>
              </w:rPr>
              <w:t>Kennestone</w:t>
            </w:r>
            <w:proofErr w:type="spellEnd"/>
            <w:r>
              <w:rPr>
                <w:b/>
                <w:bCs/>
                <w:color w:val="2D3561"/>
                <w:sz w:val="19"/>
                <w:szCs w:val="19"/>
              </w:rPr>
              <w:t xml:space="preserve"> Regional</w:t>
            </w:r>
          </w:p>
        </w:tc>
        <w:tc>
          <w:tcPr>
            <w:tcW w:w="600" w:type="dxa"/>
            <w:shd w:val="clear" w:color="auto" w:fill="F5F5FA"/>
            <w:tcMar>
              <w:top w:w="80" w:type="dxa"/>
              <w:left w:w="100" w:type="dxa"/>
              <w:bottom w:w="80" w:type="dxa"/>
              <w:right w:w="100" w:type="dxa"/>
            </w:tcMar>
          </w:tcPr>
          <w:p w14:paraId="7B2549FF" w14:textId="77777777" w:rsidR="00880EF6" w:rsidRDefault="008E6519">
            <w:pPr>
              <w:jc w:val="center"/>
            </w:pPr>
            <w:r>
              <w:rPr>
                <w:rFonts w:ascii="Courier New" w:eastAsia="Courier New" w:hAnsi="Courier New" w:cs="Courier New"/>
                <w:color w:val="4A4A6A"/>
                <w:sz w:val="19"/>
                <w:szCs w:val="19"/>
              </w:rPr>
              <w:t>5</w:t>
            </w:r>
          </w:p>
        </w:tc>
        <w:tc>
          <w:tcPr>
            <w:tcW w:w="3800" w:type="dxa"/>
            <w:shd w:val="clear" w:color="auto" w:fill="F5F5FA"/>
            <w:tcMar>
              <w:top w:w="80" w:type="dxa"/>
              <w:left w:w="100" w:type="dxa"/>
              <w:bottom w:w="80" w:type="dxa"/>
              <w:right w:w="100" w:type="dxa"/>
            </w:tcMar>
          </w:tcPr>
          <w:p w14:paraId="6094AEE0" w14:textId="77777777" w:rsidR="00880EF6" w:rsidRDefault="008E6519">
            <w:r>
              <w:rPr>
                <w:sz w:val="19"/>
                <w:szCs w:val="19"/>
              </w:rPr>
              <w:t>Therac-25 patient received radiation overdose of approximately 25,000 rads (therapeutic dose: 200 rads). Patient's shoulder and neck later required amputation. Console showed normal treatment completion. Operator had been typing rapidly through setup sequence.</w:t>
            </w:r>
          </w:p>
        </w:tc>
        <w:tc>
          <w:tcPr>
            <w:tcW w:w="3160" w:type="dxa"/>
            <w:shd w:val="clear" w:color="auto" w:fill="FFFAF0"/>
            <w:tcMar>
              <w:top w:w="80" w:type="dxa"/>
              <w:left w:w="100" w:type="dxa"/>
              <w:bottom w:w="80" w:type="dxa"/>
              <w:right w:w="100" w:type="dxa"/>
            </w:tcMar>
          </w:tcPr>
          <w:p w14:paraId="4305AF4D" w14:textId="77777777" w:rsidR="00880EF6" w:rsidRDefault="008E6519">
            <w:r>
              <w:rPr>
                <w:i/>
                <w:iCs/>
                <w:color w:val="4A4040"/>
                <w:sz w:val="19"/>
                <w:szCs w:val="19"/>
              </w:rPr>
              <w:t>Very high SI. Fourth independent hospital, same structural signature: console shows normal, patient suffers extreme overdose, operator was typing quickly. By this point, CIS should have all four hospitals connected. The HCL hypothesis should be near or above confirmation threshold. The plausibility should be very high.</w:t>
            </w:r>
          </w:p>
        </w:tc>
      </w:tr>
      <w:tr w:rsidR="006C5E57" w14:paraId="511A8D2D" w14:textId="77777777">
        <w:tc>
          <w:tcPr>
            <w:tcW w:w="400" w:type="dxa"/>
            <w:shd w:val="clear" w:color="auto" w:fill="FFFFFF"/>
            <w:tcMar>
              <w:top w:w="80" w:type="dxa"/>
              <w:left w:w="100" w:type="dxa"/>
              <w:bottom w:w="80" w:type="dxa"/>
              <w:right w:w="100" w:type="dxa"/>
            </w:tcMar>
          </w:tcPr>
          <w:p w14:paraId="74047F80" w14:textId="77777777" w:rsidR="00880EF6" w:rsidRDefault="008E6519">
            <w:r>
              <w:rPr>
                <w:rFonts w:ascii="Courier New" w:eastAsia="Courier New" w:hAnsi="Courier New" w:cs="Courier New"/>
                <w:b/>
                <w:bCs/>
                <w:color w:val="4A4A6A"/>
                <w:sz w:val="19"/>
                <w:szCs w:val="19"/>
              </w:rPr>
              <w:t>9</w:t>
            </w:r>
          </w:p>
        </w:tc>
        <w:tc>
          <w:tcPr>
            <w:tcW w:w="1400" w:type="dxa"/>
            <w:shd w:val="clear" w:color="auto" w:fill="FFFFFF"/>
            <w:tcMar>
              <w:top w:w="80" w:type="dxa"/>
              <w:left w:w="100" w:type="dxa"/>
              <w:bottom w:w="80" w:type="dxa"/>
              <w:right w:w="100" w:type="dxa"/>
            </w:tcMar>
          </w:tcPr>
          <w:p w14:paraId="6B9C3FCB" w14:textId="77777777" w:rsidR="00880EF6" w:rsidRDefault="008E6519">
            <w:r>
              <w:rPr>
                <w:b/>
                <w:bCs/>
                <w:color w:val="2D3561"/>
                <w:sz w:val="19"/>
                <w:szCs w:val="19"/>
              </w:rPr>
              <w:t>East Texas Cancer</w:t>
            </w:r>
          </w:p>
        </w:tc>
        <w:tc>
          <w:tcPr>
            <w:tcW w:w="600" w:type="dxa"/>
            <w:shd w:val="clear" w:color="auto" w:fill="FFFFFF"/>
            <w:tcMar>
              <w:top w:w="80" w:type="dxa"/>
              <w:left w:w="100" w:type="dxa"/>
              <w:bottom w:w="80" w:type="dxa"/>
              <w:right w:w="100" w:type="dxa"/>
            </w:tcMar>
          </w:tcPr>
          <w:p w14:paraId="644836F8" w14:textId="77777777" w:rsidR="00880EF6" w:rsidRDefault="008E6519">
            <w:pPr>
              <w:jc w:val="center"/>
            </w:pPr>
            <w:r>
              <w:rPr>
                <w:rFonts w:ascii="Courier New" w:eastAsia="Courier New" w:hAnsi="Courier New" w:cs="Courier New"/>
                <w:color w:val="4A4A6A"/>
                <w:sz w:val="19"/>
                <w:szCs w:val="19"/>
              </w:rPr>
              <w:t>6</w:t>
            </w:r>
          </w:p>
        </w:tc>
        <w:tc>
          <w:tcPr>
            <w:tcW w:w="3800" w:type="dxa"/>
            <w:shd w:val="clear" w:color="auto" w:fill="FFFFFF"/>
            <w:tcMar>
              <w:top w:w="80" w:type="dxa"/>
              <w:left w:w="100" w:type="dxa"/>
              <w:bottom w:w="80" w:type="dxa"/>
              <w:right w:w="100" w:type="dxa"/>
            </w:tcMar>
          </w:tcPr>
          <w:p w14:paraId="4171BB69" w14:textId="77777777" w:rsidR="00880EF6" w:rsidRDefault="008E6519">
            <w:r>
              <w:rPr>
                <w:sz w:val="19"/>
                <w:szCs w:val="19"/>
              </w:rPr>
              <w:t>Software engineer retained for independent review of Therac-25 source code identified race condition in treatment setup sequence. When operator types faster than a specific timing threshold, beam-spreading hardware can be bypassed while full electron beam power is active. Error is in shared AECL codebase deployed identically to all Therac-25 units.</w:t>
            </w:r>
          </w:p>
        </w:tc>
        <w:tc>
          <w:tcPr>
            <w:tcW w:w="3160" w:type="dxa"/>
            <w:shd w:val="clear" w:color="auto" w:fill="FFFEF5"/>
            <w:tcMar>
              <w:top w:w="80" w:type="dxa"/>
              <w:left w:w="100" w:type="dxa"/>
              <w:bottom w:w="80" w:type="dxa"/>
              <w:right w:w="100" w:type="dxa"/>
            </w:tcMar>
          </w:tcPr>
          <w:p w14:paraId="432F7387" w14:textId="77777777" w:rsidR="00880EF6" w:rsidRDefault="008E6519">
            <w:r>
              <w:rPr>
                <w:i/>
                <w:iCs/>
                <w:color w:val="4A4040"/>
                <w:sz w:val="19"/>
                <w:szCs w:val="19"/>
              </w:rPr>
              <w:t>This is the resolution signal. RC-1 for the contradiction: the source (AECL's initial operator error diagnosis) is confirmed incorrect — a race condition in the software is the actual cause. This also provides the resolution basis for the HCL hypothesis: the shared structural cause is the AECL Therac-25 race condition, identical across all deployed units.</w:t>
            </w:r>
          </w:p>
        </w:tc>
      </w:tr>
      <w:tr w:rsidR="006C5E57" w14:paraId="56D8F768" w14:textId="77777777">
        <w:tc>
          <w:tcPr>
            <w:tcW w:w="400" w:type="dxa"/>
            <w:shd w:val="clear" w:color="auto" w:fill="F5F5FA"/>
            <w:tcMar>
              <w:top w:w="80" w:type="dxa"/>
              <w:left w:w="100" w:type="dxa"/>
              <w:bottom w:w="80" w:type="dxa"/>
              <w:right w:w="100" w:type="dxa"/>
            </w:tcMar>
          </w:tcPr>
          <w:p w14:paraId="713FA235" w14:textId="77777777" w:rsidR="00880EF6" w:rsidRDefault="008E6519">
            <w:r>
              <w:rPr>
                <w:rFonts w:ascii="Courier New" w:eastAsia="Courier New" w:hAnsi="Courier New" w:cs="Courier New"/>
                <w:b/>
                <w:bCs/>
                <w:color w:val="4A4A6A"/>
                <w:sz w:val="19"/>
                <w:szCs w:val="19"/>
              </w:rPr>
              <w:t>10</w:t>
            </w:r>
          </w:p>
        </w:tc>
        <w:tc>
          <w:tcPr>
            <w:tcW w:w="1400" w:type="dxa"/>
            <w:shd w:val="clear" w:color="auto" w:fill="F5F5FA"/>
            <w:tcMar>
              <w:top w:w="80" w:type="dxa"/>
              <w:left w:w="100" w:type="dxa"/>
              <w:bottom w:w="80" w:type="dxa"/>
              <w:right w:w="100" w:type="dxa"/>
            </w:tcMar>
          </w:tcPr>
          <w:p w14:paraId="313EB547" w14:textId="77777777" w:rsidR="00880EF6" w:rsidRDefault="008E6519">
            <w:r>
              <w:rPr>
                <w:b/>
                <w:bCs/>
                <w:color w:val="2D3561"/>
                <w:sz w:val="19"/>
                <w:szCs w:val="19"/>
              </w:rPr>
              <w:t>Ontario Cancer Foundation</w:t>
            </w:r>
          </w:p>
        </w:tc>
        <w:tc>
          <w:tcPr>
            <w:tcW w:w="600" w:type="dxa"/>
            <w:shd w:val="clear" w:color="auto" w:fill="F5F5FA"/>
            <w:tcMar>
              <w:top w:w="80" w:type="dxa"/>
              <w:left w:w="100" w:type="dxa"/>
              <w:bottom w:w="80" w:type="dxa"/>
              <w:right w:w="100" w:type="dxa"/>
            </w:tcMar>
          </w:tcPr>
          <w:p w14:paraId="4DBD3F88" w14:textId="77777777" w:rsidR="00880EF6" w:rsidRDefault="008E6519">
            <w:pPr>
              <w:jc w:val="center"/>
            </w:pPr>
            <w:r>
              <w:rPr>
                <w:rFonts w:ascii="Courier New" w:eastAsia="Courier New" w:hAnsi="Courier New" w:cs="Courier New"/>
                <w:color w:val="4A4A6A"/>
                <w:sz w:val="19"/>
                <w:szCs w:val="19"/>
              </w:rPr>
              <w:t>6</w:t>
            </w:r>
          </w:p>
        </w:tc>
        <w:tc>
          <w:tcPr>
            <w:tcW w:w="3800" w:type="dxa"/>
            <w:shd w:val="clear" w:color="auto" w:fill="F5F5FA"/>
            <w:tcMar>
              <w:top w:w="80" w:type="dxa"/>
              <w:left w:w="100" w:type="dxa"/>
              <w:bottom w:w="80" w:type="dxa"/>
              <w:right w:w="100" w:type="dxa"/>
            </w:tcMar>
          </w:tcPr>
          <w:p w14:paraId="703B1CF8" w14:textId="77777777" w:rsidR="00880EF6" w:rsidRDefault="008E6519">
            <w:r>
              <w:rPr>
                <w:sz w:val="19"/>
                <w:szCs w:val="19"/>
              </w:rPr>
              <w:t>FDA recalls all Therac-25 units. Retrospective analysis confirms all overdose incidents share the race condition signature: rapid operator entry through setup, MALFUNCTION errors that allowed treatment to proceed, console showing normal completion while beam operated at full power without scatter foil.</w:t>
            </w:r>
          </w:p>
        </w:tc>
        <w:tc>
          <w:tcPr>
            <w:tcW w:w="3160" w:type="dxa"/>
            <w:shd w:val="clear" w:color="auto" w:fill="FFFAF0"/>
            <w:tcMar>
              <w:top w:w="80" w:type="dxa"/>
              <w:left w:w="100" w:type="dxa"/>
              <w:bottom w:w="80" w:type="dxa"/>
              <w:right w:w="100" w:type="dxa"/>
            </w:tcMar>
          </w:tcPr>
          <w:p w14:paraId="26D34AC2" w14:textId="77777777" w:rsidR="00880EF6" w:rsidRDefault="008E6519">
            <w:r>
              <w:rPr>
                <w:i/>
                <w:iCs/>
                <w:color w:val="4A4040"/>
                <w:sz w:val="19"/>
                <w:szCs w:val="19"/>
              </w:rPr>
              <w:t>Final signal. This is systemic confirmation. All signals from all four independent domains are now explained by the same shared structural cause. HCL hypothesis should confirm. PATTERN hypothesis across periods 1–5 should also confirm.</w:t>
            </w:r>
          </w:p>
        </w:tc>
      </w:tr>
    </w:tbl>
    <w:p w14:paraId="60D49741" w14:textId="77777777" w:rsidR="00880EF6" w:rsidRDefault="00880EF6">
      <w:pPr>
        <w:spacing w:before="200"/>
      </w:pPr>
    </w:p>
    <w:p w14:paraId="56BB75C0" w14:textId="77777777" w:rsidR="00880EF6" w:rsidRDefault="008E6519">
      <w:pPr>
        <w:pStyle w:val="Ttulo2"/>
      </w:pPr>
      <w:r>
        <w:t>Step 4 — Register the Contradiction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575CBF45" w14:textId="77777777">
        <w:trPr>
          <w:tblHeader/>
        </w:trPr>
        <w:tc>
          <w:tcPr>
            <w:tcW w:w="4200" w:type="dxa"/>
            <w:shd w:val="clear" w:color="auto" w:fill="1A1A2E"/>
            <w:tcMar>
              <w:top w:w="80" w:type="dxa"/>
              <w:left w:w="100" w:type="dxa"/>
              <w:bottom w:w="80" w:type="dxa"/>
              <w:right w:w="100" w:type="dxa"/>
            </w:tcMar>
          </w:tcPr>
          <w:p w14:paraId="70A1181F" w14:textId="77777777" w:rsidR="00880EF6" w:rsidRDefault="008E6519">
            <w:r>
              <w:rPr>
                <w:b/>
                <w:bCs/>
                <w:color w:val="C8B87A"/>
                <w:sz w:val="19"/>
                <w:szCs w:val="19"/>
              </w:rPr>
              <w:t>Field</w:t>
            </w:r>
          </w:p>
        </w:tc>
        <w:tc>
          <w:tcPr>
            <w:tcW w:w="5160" w:type="dxa"/>
            <w:shd w:val="clear" w:color="auto" w:fill="1A1A2E"/>
            <w:tcMar>
              <w:top w:w="80" w:type="dxa"/>
              <w:left w:w="100" w:type="dxa"/>
              <w:bottom w:w="80" w:type="dxa"/>
              <w:right w:w="100" w:type="dxa"/>
            </w:tcMar>
          </w:tcPr>
          <w:p w14:paraId="6F274123" w14:textId="77777777" w:rsidR="00880EF6" w:rsidRDefault="008E6519">
            <w:r>
              <w:rPr>
                <w:b/>
                <w:bCs/>
                <w:color w:val="C8B87A"/>
                <w:sz w:val="19"/>
                <w:szCs w:val="19"/>
              </w:rPr>
              <w:t>What to enter</w:t>
            </w:r>
          </w:p>
        </w:tc>
      </w:tr>
      <w:tr w:rsidR="006C5E57" w14:paraId="74C7C601" w14:textId="77777777">
        <w:tc>
          <w:tcPr>
            <w:tcW w:w="4200" w:type="dxa"/>
            <w:shd w:val="clear" w:color="auto" w:fill="FFFFFF"/>
            <w:tcMar>
              <w:top w:w="80" w:type="dxa"/>
              <w:left w:w="100" w:type="dxa"/>
              <w:bottom w:w="80" w:type="dxa"/>
              <w:right w:w="100" w:type="dxa"/>
            </w:tcMar>
          </w:tcPr>
          <w:p w14:paraId="66914F95" w14:textId="77777777" w:rsidR="00880EF6" w:rsidRDefault="008E6519">
            <w:r>
              <w:rPr>
                <w:b/>
                <w:bCs/>
                <w:sz w:val="19"/>
                <w:szCs w:val="19"/>
              </w:rPr>
              <w:t>Signal A:</w:t>
            </w:r>
          </w:p>
        </w:tc>
        <w:tc>
          <w:tcPr>
            <w:tcW w:w="5160" w:type="dxa"/>
            <w:shd w:val="clear" w:color="auto" w:fill="FFFEF5"/>
            <w:tcMar>
              <w:top w:w="80" w:type="dxa"/>
              <w:left w:w="100" w:type="dxa"/>
              <w:bottom w:w="80" w:type="dxa"/>
              <w:right w:w="100" w:type="dxa"/>
            </w:tcMar>
          </w:tcPr>
          <w:p w14:paraId="6FA6E40A" w14:textId="77777777" w:rsidR="00880EF6" w:rsidRDefault="008E6519">
            <w:r>
              <w:rPr>
                <w:color w:val="2D2D2D"/>
                <w:sz w:val="19"/>
                <w:szCs w:val="19"/>
              </w:rPr>
              <w:t>Signal 5 — AECL response: operator error likely responsible</w:t>
            </w:r>
          </w:p>
        </w:tc>
      </w:tr>
      <w:tr w:rsidR="006C5E57" w14:paraId="47C17103" w14:textId="77777777">
        <w:tc>
          <w:tcPr>
            <w:tcW w:w="4200" w:type="dxa"/>
            <w:shd w:val="clear" w:color="auto" w:fill="F5F5FA"/>
            <w:tcMar>
              <w:top w:w="80" w:type="dxa"/>
              <w:left w:w="100" w:type="dxa"/>
              <w:bottom w:w="80" w:type="dxa"/>
              <w:right w:w="100" w:type="dxa"/>
            </w:tcMar>
          </w:tcPr>
          <w:p w14:paraId="0E413D30" w14:textId="77777777" w:rsidR="00880EF6" w:rsidRDefault="008E6519">
            <w:r>
              <w:rPr>
                <w:b/>
                <w:bCs/>
                <w:sz w:val="19"/>
                <w:szCs w:val="19"/>
              </w:rPr>
              <w:lastRenderedPageBreak/>
              <w:t>Signal B:</w:t>
            </w:r>
          </w:p>
        </w:tc>
        <w:tc>
          <w:tcPr>
            <w:tcW w:w="5160" w:type="dxa"/>
            <w:shd w:val="clear" w:color="auto" w:fill="FFFAF0"/>
            <w:tcMar>
              <w:top w:w="80" w:type="dxa"/>
              <w:left w:w="100" w:type="dxa"/>
              <w:bottom w:w="80" w:type="dxa"/>
              <w:right w:w="100" w:type="dxa"/>
            </w:tcMar>
          </w:tcPr>
          <w:p w14:paraId="77D518B3" w14:textId="77777777" w:rsidR="00880EF6" w:rsidRDefault="008E6519">
            <w:r>
              <w:rPr>
                <w:color w:val="2D2D2D"/>
                <w:sz w:val="19"/>
                <w:szCs w:val="19"/>
              </w:rPr>
              <w:t>Signal 3 — East Texas patient: console showed normal, patient received acute radiation syndrome</w:t>
            </w:r>
          </w:p>
        </w:tc>
      </w:tr>
      <w:tr w:rsidR="006C5E57" w14:paraId="5FFD6139" w14:textId="77777777">
        <w:tc>
          <w:tcPr>
            <w:tcW w:w="4200" w:type="dxa"/>
            <w:shd w:val="clear" w:color="auto" w:fill="FFFFFF"/>
            <w:tcMar>
              <w:top w:w="80" w:type="dxa"/>
              <w:left w:w="100" w:type="dxa"/>
              <w:bottom w:w="80" w:type="dxa"/>
              <w:right w:w="100" w:type="dxa"/>
            </w:tcMar>
          </w:tcPr>
          <w:p w14:paraId="3293CC02" w14:textId="77777777" w:rsidR="00880EF6" w:rsidRDefault="008E6519">
            <w:r>
              <w:rPr>
                <w:b/>
                <w:bCs/>
                <w:sz w:val="19"/>
                <w:szCs w:val="19"/>
              </w:rPr>
              <w:t>Description:</w:t>
            </w:r>
          </w:p>
        </w:tc>
        <w:tc>
          <w:tcPr>
            <w:tcW w:w="5160" w:type="dxa"/>
            <w:shd w:val="clear" w:color="auto" w:fill="FFFEF5"/>
            <w:tcMar>
              <w:top w:w="80" w:type="dxa"/>
              <w:left w:w="100" w:type="dxa"/>
              <w:bottom w:w="80" w:type="dxa"/>
              <w:right w:w="100" w:type="dxa"/>
            </w:tcMar>
          </w:tcPr>
          <w:p w14:paraId="6B062E1C" w14:textId="77777777" w:rsidR="00880EF6" w:rsidRDefault="008E6519">
            <w:r>
              <w:rPr>
                <w:color w:val="2D2D2D"/>
                <w:sz w:val="19"/>
                <w:szCs w:val="19"/>
              </w:rPr>
              <w:t xml:space="preserve">AECL asserts the East Texas incident was caused by operator error. The East Texas patient record shows the operator console displayed normal dose delivery with no fault flags, and the patient received doses consistent with full </w:t>
            </w:r>
            <w:proofErr w:type="spellStart"/>
            <w:r>
              <w:rPr>
                <w:color w:val="2D2D2D"/>
                <w:sz w:val="19"/>
                <w:szCs w:val="19"/>
              </w:rPr>
              <w:t>unscattered</w:t>
            </w:r>
            <w:proofErr w:type="spellEnd"/>
            <w:r>
              <w:rPr>
                <w:color w:val="2D2D2D"/>
                <w:sz w:val="19"/>
                <w:szCs w:val="19"/>
              </w:rPr>
              <w:t xml:space="preserve"> beam exposure. If operator error were the cause, the machine logs would show a different pattern — dose override, parameter entry error, or fault acknowledgement. None of these are present.</w:t>
            </w:r>
          </w:p>
        </w:tc>
      </w:tr>
      <w:tr w:rsidR="006C5E57" w14:paraId="70C27630" w14:textId="77777777">
        <w:tc>
          <w:tcPr>
            <w:tcW w:w="4200" w:type="dxa"/>
            <w:shd w:val="clear" w:color="auto" w:fill="F5F5FA"/>
            <w:tcMar>
              <w:top w:w="80" w:type="dxa"/>
              <w:left w:w="100" w:type="dxa"/>
              <w:bottom w:w="80" w:type="dxa"/>
              <w:right w:w="100" w:type="dxa"/>
            </w:tcMar>
          </w:tcPr>
          <w:p w14:paraId="62FBF1A5" w14:textId="77777777" w:rsidR="00880EF6" w:rsidRDefault="008E6519">
            <w:r>
              <w:rPr>
                <w:b/>
                <w:bCs/>
                <w:sz w:val="19"/>
                <w:szCs w:val="19"/>
              </w:rPr>
              <w:t>Resolution type:</w:t>
            </w:r>
          </w:p>
        </w:tc>
        <w:tc>
          <w:tcPr>
            <w:tcW w:w="5160" w:type="dxa"/>
            <w:shd w:val="clear" w:color="auto" w:fill="FFFAF0"/>
            <w:tcMar>
              <w:top w:w="80" w:type="dxa"/>
              <w:left w:w="100" w:type="dxa"/>
              <w:bottom w:w="80" w:type="dxa"/>
              <w:right w:w="100" w:type="dxa"/>
            </w:tcMar>
          </w:tcPr>
          <w:p w14:paraId="767228F2" w14:textId="77777777" w:rsidR="00880EF6" w:rsidRDefault="008E6519">
            <w:r>
              <w:rPr>
                <w:color w:val="2D2D2D"/>
                <w:sz w:val="19"/>
                <w:szCs w:val="19"/>
              </w:rPr>
              <w:t>RC-2 — Falsification. Operator error as cause predicts: (a) fault flag in log, or (b) parameter entry anomaly, or (c) dose override acknowledgement. None of these conditions are present in the machine logs. AECL's explanation is falsified by the absence of the predicted observable conditions.</w:t>
            </w:r>
          </w:p>
        </w:tc>
      </w:tr>
      <w:tr w:rsidR="006C5E57" w14:paraId="10C523FC" w14:textId="77777777">
        <w:tc>
          <w:tcPr>
            <w:tcW w:w="4200" w:type="dxa"/>
            <w:shd w:val="clear" w:color="auto" w:fill="FFFFFF"/>
            <w:tcMar>
              <w:top w:w="80" w:type="dxa"/>
              <w:left w:w="100" w:type="dxa"/>
              <w:bottom w:w="80" w:type="dxa"/>
              <w:right w:w="100" w:type="dxa"/>
            </w:tcMar>
          </w:tcPr>
          <w:p w14:paraId="68D7080F" w14:textId="77777777" w:rsidR="00880EF6" w:rsidRDefault="008E6519">
            <w:r>
              <w:rPr>
                <w:b/>
                <w:bCs/>
                <w:sz w:val="19"/>
                <w:szCs w:val="19"/>
              </w:rPr>
              <w:t>Resolved signal:</w:t>
            </w:r>
          </w:p>
        </w:tc>
        <w:tc>
          <w:tcPr>
            <w:tcW w:w="5160" w:type="dxa"/>
            <w:shd w:val="clear" w:color="auto" w:fill="FFFEF5"/>
            <w:tcMar>
              <w:top w:w="80" w:type="dxa"/>
              <w:left w:w="100" w:type="dxa"/>
              <w:bottom w:w="80" w:type="dxa"/>
              <w:right w:w="100" w:type="dxa"/>
            </w:tcMar>
          </w:tcPr>
          <w:p w14:paraId="1C5D257B" w14:textId="77777777" w:rsidR="00880EF6" w:rsidRDefault="008E6519">
            <w:r>
              <w:rPr>
                <w:color w:val="2D2D2D"/>
                <w:sz w:val="19"/>
                <w:szCs w:val="19"/>
              </w:rPr>
              <w:t>Signal 5 (AECL operator error claim) is resolved as falsified. Signal 3 (patient data) is retained as the accepted account.</w:t>
            </w:r>
          </w:p>
        </w:tc>
      </w:tr>
    </w:tbl>
    <w:p w14:paraId="3BDDFB2B" w14:textId="77777777" w:rsidR="00880EF6" w:rsidRDefault="00880EF6">
      <w:pPr>
        <w:spacing w:before="200"/>
      </w:pPr>
    </w:p>
    <w:p w14:paraId="4DF963FB" w14:textId="77777777" w:rsidR="00880EF6" w:rsidRDefault="008E6519">
      <w:pPr>
        <w:pStyle w:val="Ttulo2"/>
      </w:pPr>
      <w:r>
        <w:t>Step 5 — What the System Should Have Done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4FDCC91F" w14:textId="77777777">
        <w:trPr>
          <w:tblHeader/>
        </w:trPr>
        <w:tc>
          <w:tcPr>
            <w:tcW w:w="4200" w:type="dxa"/>
            <w:shd w:val="clear" w:color="auto" w:fill="1A1A2E"/>
            <w:tcMar>
              <w:top w:w="80" w:type="dxa"/>
              <w:left w:w="100" w:type="dxa"/>
              <w:bottom w:w="80" w:type="dxa"/>
              <w:right w:w="100" w:type="dxa"/>
            </w:tcMar>
          </w:tcPr>
          <w:p w14:paraId="737D7955" w14:textId="77777777" w:rsidR="00880EF6" w:rsidRDefault="008E6519">
            <w:r>
              <w:rPr>
                <w:b/>
                <w:bCs/>
                <w:color w:val="C8B87A"/>
                <w:sz w:val="19"/>
                <w:szCs w:val="19"/>
              </w:rPr>
              <w:t>Expected behaviour</w:t>
            </w:r>
          </w:p>
        </w:tc>
        <w:tc>
          <w:tcPr>
            <w:tcW w:w="5160" w:type="dxa"/>
            <w:shd w:val="clear" w:color="auto" w:fill="1A1A2E"/>
            <w:tcMar>
              <w:top w:w="80" w:type="dxa"/>
              <w:left w:w="100" w:type="dxa"/>
              <w:bottom w:w="80" w:type="dxa"/>
              <w:right w:w="100" w:type="dxa"/>
            </w:tcMar>
          </w:tcPr>
          <w:p w14:paraId="2FA4BA53" w14:textId="77777777" w:rsidR="00880EF6" w:rsidRDefault="008E6519">
            <w:r>
              <w:rPr>
                <w:b/>
                <w:bCs/>
                <w:color w:val="C8B87A"/>
                <w:sz w:val="19"/>
                <w:szCs w:val="19"/>
              </w:rPr>
              <w:t>How to verify</w:t>
            </w:r>
          </w:p>
        </w:tc>
      </w:tr>
      <w:tr w:rsidR="006C5E57" w14:paraId="37CD8B0C" w14:textId="77777777">
        <w:tc>
          <w:tcPr>
            <w:tcW w:w="4200" w:type="dxa"/>
            <w:shd w:val="clear" w:color="auto" w:fill="FFFFFF"/>
            <w:tcMar>
              <w:top w:w="80" w:type="dxa"/>
              <w:left w:w="100" w:type="dxa"/>
              <w:bottom w:w="80" w:type="dxa"/>
              <w:right w:w="100" w:type="dxa"/>
            </w:tcMar>
          </w:tcPr>
          <w:p w14:paraId="7E8D4034" w14:textId="77777777" w:rsidR="00880EF6" w:rsidRDefault="008E6519">
            <w:r>
              <w:rPr>
                <w:b/>
                <w:bCs/>
                <w:sz w:val="19"/>
                <w:szCs w:val="19"/>
              </w:rPr>
              <w:t>SI_CLUSTER hypothesis within Yakima Valley</w:t>
            </w:r>
          </w:p>
        </w:tc>
        <w:tc>
          <w:tcPr>
            <w:tcW w:w="5160" w:type="dxa"/>
            <w:shd w:val="clear" w:color="auto" w:fill="FFFEF5"/>
            <w:tcMar>
              <w:top w:w="80" w:type="dxa"/>
              <w:left w:w="100" w:type="dxa"/>
              <w:bottom w:w="80" w:type="dxa"/>
              <w:right w:w="100" w:type="dxa"/>
            </w:tcMar>
          </w:tcPr>
          <w:p w14:paraId="0BE4FE35" w14:textId="77777777" w:rsidR="00880EF6" w:rsidRDefault="008E6519">
            <w:r>
              <w:rPr>
                <w:color w:val="2D2D2D"/>
                <w:sz w:val="19"/>
                <w:szCs w:val="19"/>
              </w:rPr>
              <w:t>Signals 1, 2, and 7 are all from Yakima Valley domain. Multiple SI-bearing signals from one domain within a short period should trigger a SI_CLUSTER hypothesis: 'Multiple structurally incongruent signals from Yakima Valley Memorial Hospital suggest domain-internal structural driver.'</w:t>
            </w:r>
          </w:p>
        </w:tc>
      </w:tr>
      <w:tr w:rsidR="006C5E57" w14:paraId="5D4BD264" w14:textId="77777777">
        <w:tc>
          <w:tcPr>
            <w:tcW w:w="4200" w:type="dxa"/>
            <w:shd w:val="clear" w:color="auto" w:fill="F5F5FA"/>
            <w:tcMar>
              <w:top w:w="80" w:type="dxa"/>
              <w:left w:w="100" w:type="dxa"/>
              <w:bottom w:w="80" w:type="dxa"/>
              <w:right w:w="100" w:type="dxa"/>
            </w:tcMar>
          </w:tcPr>
          <w:p w14:paraId="6D76B564" w14:textId="77777777" w:rsidR="00880EF6" w:rsidRDefault="008E6519">
            <w:r>
              <w:rPr>
                <w:b/>
                <w:bCs/>
                <w:sz w:val="19"/>
                <w:szCs w:val="19"/>
              </w:rPr>
              <w:t>Cross-domain connections: all four hospitals</w:t>
            </w:r>
          </w:p>
        </w:tc>
        <w:tc>
          <w:tcPr>
            <w:tcW w:w="5160" w:type="dxa"/>
            <w:shd w:val="clear" w:color="auto" w:fill="FFFAF0"/>
            <w:tcMar>
              <w:top w:w="80" w:type="dxa"/>
              <w:left w:w="100" w:type="dxa"/>
              <w:bottom w:w="80" w:type="dxa"/>
              <w:right w:w="100" w:type="dxa"/>
            </w:tcMar>
          </w:tcPr>
          <w:p w14:paraId="7E19BA3B" w14:textId="77777777" w:rsidR="00880EF6" w:rsidRDefault="008E6519">
            <w:r>
              <w:rPr>
                <w:color w:val="2D2D2D"/>
                <w:sz w:val="19"/>
                <w:szCs w:val="19"/>
              </w:rPr>
              <w:t xml:space="preserve">By Signal 8, signals from Yakima (Signals 1, 7), East Texas (Signals 3, 6), Ontario (Signal 4), and </w:t>
            </w:r>
            <w:proofErr w:type="spellStart"/>
            <w:r>
              <w:rPr>
                <w:color w:val="2D2D2D"/>
                <w:sz w:val="19"/>
                <w:szCs w:val="19"/>
              </w:rPr>
              <w:t>Kennestone</w:t>
            </w:r>
            <w:proofErr w:type="spellEnd"/>
            <w:r>
              <w:rPr>
                <w:color w:val="2D2D2D"/>
                <w:sz w:val="19"/>
                <w:szCs w:val="19"/>
              </w:rPr>
              <w:t xml:space="preserve"> (Signal 8) should all be CONNECTED — same mismatch type (console shows normal, patient shows overdose), same dimension (treatment dose delivery), consistent temporal pattern, consistent direction (over-delivery).</w:t>
            </w:r>
          </w:p>
        </w:tc>
      </w:tr>
      <w:tr w:rsidR="006C5E57" w14:paraId="038229E0" w14:textId="77777777">
        <w:tc>
          <w:tcPr>
            <w:tcW w:w="4200" w:type="dxa"/>
            <w:shd w:val="clear" w:color="auto" w:fill="FFFFFF"/>
            <w:tcMar>
              <w:top w:w="80" w:type="dxa"/>
              <w:left w:w="100" w:type="dxa"/>
              <w:bottom w:w="80" w:type="dxa"/>
              <w:right w:w="100" w:type="dxa"/>
            </w:tcMar>
          </w:tcPr>
          <w:p w14:paraId="75587169" w14:textId="77777777" w:rsidR="00880EF6" w:rsidRDefault="008E6519">
            <w:r>
              <w:rPr>
                <w:b/>
                <w:bCs/>
                <w:sz w:val="19"/>
                <w:szCs w:val="19"/>
              </w:rPr>
              <w:t>HCL hypothesis auto-generated</w:t>
            </w:r>
          </w:p>
        </w:tc>
        <w:tc>
          <w:tcPr>
            <w:tcW w:w="5160" w:type="dxa"/>
            <w:shd w:val="clear" w:color="auto" w:fill="FFFEF5"/>
            <w:tcMar>
              <w:top w:w="80" w:type="dxa"/>
              <w:left w:w="100" w:type="dxa"/>
              <w:bottom w:w="80" w:type="dxa"/>
              <w:right w:w="100" w:type="dxa"/>
            </w:tcMar>
          </w:tcPr>
          <w:p w14:paraId="5D03B018" w14:textId="77777777" w:rsidR="00880EF6" w:rsidRDefault="008E6519">
            <w:r>
              <w:rPr>
                <w:color w:val="2D2D2D"/>
                <w:sz w:val="19"/>
                <w:szCs w:val="19"/>
              </w:rPr>
              <w:t>After connections from three or more independent domains accumulate, SHG should generate: 'Signals from four independent hospital domains show structural correspondence in radiation dose delivery dimension. Candidate shared structural cause: common component in the shared Therac-25 system deployed at all sites.' Type = HCL.</w:t>
            </w:r>
          </w:p>
        </w:tc>
      </w:tr>
      <w:tr w:rsidR="006C5E57" w14:paraId="4B3A8E78" w14:textId="77777777">
        <w:tc>
          <w:tcPr>
            <w:tcW w:w="4200" w:type="dxa"/>
            <w:shd w:val="clear" w:color="auto" w:fill="F5F5FA"/>
            <w:tcMar>
              <w:top w:w="80" w:type="dxa"/>
              <w:left w:w="100" w:type="dxa"/>
              <w:bottom w:w="80" w:type="dxa"/>
              <w:right w:w="100" w:type="dxa"/>
            </w:tcMar>
          </w:tcPr>
          <w:p w14:paraId="752FB356" w14:textId="77777777" w:rsidR="00880EF6" w:rsidRDefault="008E6519">
            <w:r>
              <w:rPr>
                <w:b/>
                <w:bCs/>
                <w:sz w:val="19"/>
                <w:szCs w:val="19"/>
              </w:rPr>
              <w:t>PATTERN hypothesis across periods 1–5</w:t>
            </w:r>
          </w:p>
        </w:tc>
        <w:tc>
          <w:tcPr>
            <w:tcW w:w="5160" w:type="dxa"/>
            <w:shd w:val="clear" w:color="auto" w:fill="FFFAF0"/>
            <w:tcMar>
              <w:top w:w="80" w:type="dxa"/>
              <w:left w:w="100" w:type="dxa"/>
              <w:bottom w:w="80" w:type="dxa"/>
              <w:right w:w="100" w:type="dxa"/>
            </w:tcMar>
          </w:tcPr>
          <w:p w14:paraId="41FFF1F0" w14:textId="77777777" w:rsidR="00880EF6" w:rsidRDefault="008E6519">
            <w:r>
              <w:rPr>
                <w:color w:val="2D2D2D"/>
                <w:sz w:val="19"/>
                <w:szCs w:val="19"/>
              </w:rPr>
              <w:t>As sub-threshold signals from period 1 accumulate alongside higher-significance signals from periods 2–5, a PATTERN hypothesis should be generated or the aggregate assessment should trigger re-evaluation of the period 1 signals.</w:t>
            </w:r>
          </w:p>
        </w:tc>
      </w:tr>
      <w:tr w:rsidR="006C5E57" w14:paraId="46065B46" w14:textId="77777777">
        <w:tc>
          <w:tcPr>
            <w:tcW w:w="4200" w:type="dxa"/>
            <w:shd w:val="clear" w:color="auto" w:fill="FFFFFF"/>
            <w:tcMar>
              <w:top w:w="80" w:type="dxa"/>
              <w:left w:w="100" w:type="dxa"/>
              <w:bottom w:w="80" w:type="dxa"/>
              <w:right w:w="100" w:type="dxa"/>
            </w:tcMar>
          </w:tcPr>
          <w:p w14:paraId="506C0751" w14:textId="77777777" w:rsidR="00880EF6" w:rsidRDefault="008E6519">
            <w:r>
              <w:rPr>
                <w:b/>
                <w:bCs/>
                <w:sz w:val="19"/>
                <w:szCs w:val="19"/>
              </w:rPr>
              <w:lastRenderedPageBreak/>
              <w:t>WSP: period 1 signals not expired</w:t>
            </w:r>
          </w:p>
        </w:tc>
        <w:tc>
          <w:tcPr>
            <w:tcW w:w="5160" w:type="dxa"/>
            <w:shd w:val="clear" w:color="auto" w:fill="FFFEF5"/>
            <w:tcMar>
              <w:top w:w="80" w:type="dxa"/>
              <w:left w:w="100" w:type="dxa"/>
              <w:bottom w:w="80" w:type="dxa"/>
              <w:right w:w="100" w:type="dxa"/>
            </w:tcMar>
          </w:tcPr>
          <w:p w14:paraId="5B619DFE" w14:textId="77777777" w:rsidR="00880EF6" w:rsidRDefault="008E6519">
            <w:r>
              <w:rPr>
                <w:color w:val="2D2D2D"/>
                <w:sz w:val="19"/>
                <w:szCs w:val="19"/>
              </w:rPr>
              <w:t>Signals 1 and 2 (period 1, Yakima Valley) should still be in the pool at period 5. They cannot expire during minimum retention (LP-2) and should not expire at all because the aggregate pattern makes them structurally significant (LP-5).</w:t>
            </w:r>
          </w:p>
        </w:tc>
      </w:tr>
    </w:tbl>
    <w:p w14:paraId="0182B290" w14:textId="77777777" w:rsidR="00880EF6" w:rsidRDefault="00880EF6">
      <w:pPr>
        <w:spacing w:before="200"/>
      </w:pPr>
    </w:p>
    <w:p w14:paraId="0E08DFBC" w14:textId="77777777" w:rsidR="00880EF6" w:rsidRDefault="008E6519">
      <w:pPr>
        <w:pStyle w:val="Ttulo2"/>
      </w:pPr>
      <w:r>
        <w:t>Step 6 — Add Evidence and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79DEFFCA" w14:textId="77777777">
        <w:trPr>
          <w:tblHeader/>
        </w:trPr>
        <w:tc>
          <w:tcPr>
            <w:tcW w:w="4200" w:type="dxa"/>
            <w:shd w:val="clear" w:color="auto" w:fill="1A1A2E"/>
            <w:tcMar>
              <w:top w:w="80" w:type="dxa"/>
              <w:left w:w="100" w:type="dxa"/>
              <w:bottom w:w="80" w:type="dxa"/>
              <w:right w:w="100" w:type="dxa"/>
            </w:tcMar>
          </w:tcPr>
          <w:p w14:paraId="057BE33A" w14:textId="77777777" w:rsidR="00880EF6" w:rsidRDefault="008E6519">
            <w:r>
              <w:rPr>
                <w:b/>
                <w:bCs/>
                <w:color w:val="C8B87A"/>
                <w:sz w:val="19"/>
                <w:szCs w:val="19"/>
              </w:rPr>
              <w:t>Evidence to add</w:t>
            </w:r>
          </w:p>
        </w:tc>
        <w:tc>
          <w:tcPr>
            <w:tcW w:w="5160" w:type="dxa"/>
            <w:shd w:val="clear" w:color="auto" w:fill="1A1A2E"/>
            <w:tcMar>
              <w:top w:w="80" w:type="dxa"/>
              <w:left w:w="100" w:type="dxa"/>
              <w:bottom w:w="80" w:type="dxa"/>
              <w:right w:w="100" w:type="dxa"/>
            </w:tcMar>
          </w:tcPr>
          <w:p w14:paraId="7CC8E253" w14:textId="77777777" w:rsidR="00880EF6" w:rsidRDefault="008E6519">
            <w:r>
              <w:rPr>
                <w:b/>
                <w:bCs/>
                <w:color w:val="C8B87A"/>
                <w:sz w:val="19"/>
                <w:szCs w:val="19"/>
              </w:rPr>
              <w:t>Content and reason</w:t>
            </w:r>
          </w:p>
        </w:tc>
      </w:tr>
      <w:tr w:rsidR="006C5E57" w14:paraId="769E34D3" w14:textId="77777777">
        <w:tc>
          <w:tcPr>
            <w:tcW w:w="4200" w:type="dxa"/>
            <w:shd w:val="clear" w:color="auto" w:fill="FFFFFF"/>
            <w:tcMar>
              <w:top w:w="80" w:type="dxa"/>
              <w:left w:w="100" w:type="dxa"/>
              <w:bottom w:w="80" w:type="dxa"/>
              <w:right w:w="100" w:type="dxa"/>
            </w:tcMar>
          </w:tcPr>
          <w:p w14:paraId="1EF7B904" w14:textId="77777777" w:rsidR="00880EF6" w:rsidRDefault="008E6519">
            <w:r>
              <w:rPr>
                <w:b/>
                <w:bCs/>
                <w:sz w:val="19"/>
                <w:szCs w:val="19"/>
              </w:rPr>
              <w:t>HCL hypothesis — SUPPORTING, weight 0.95:</w:t>
            </w:r>
          </w:p>
        </w:tc>
        <w:tc>
          <w:tcPr>
            <w:tcW w:w="5160" w:type="dxa"/>
            <w:shd w:val="clear" w:color="auto" w:fill="FFFEF5"/>
            <w:tcMar>
              <w:top w:w="80" w:type="dxa"/>
              <w:left w:w="100" w:type="dxa"/>
              <w:bottom w:w="80" w:type="dxa"/>
              <w:right w:w="100" w:type="dxa"/>
            </w:tcMar>
          </w:tcPr>
          <w:p w14:paraId="20818F7E" w14:textId="77777777" w:rsidR="00880EF6" w:rsidRDefault="008E6519">
            <w:r>
              <w:rPr>
                <w:color w:val="2D2D2D"/>
                <w:sz w:val="19"/>
                <w:szCs w:val="19"/>
              </w:rPr>
              <w:t>Independent software audit identified race condition in shared AECL Therac-25 codebase. Race condition reproducible in laboratory: rapid key entry through setup causes beam-spreading hardware bypass while full beam fires. Same code deployed identically across all units at all four hospitals.</w:t>
            </w:r>
          </w:p>
        </w:tc>
      </w:tr>
      <w:tr w:rsidR="006C5E57" w14:paraId="55D64D45" w14:textId="77777777">
        <w:tc>
          <w:tcPr>
            <w:tcW w:w="4200" w:type="dxa"/>
            <w:shd w:val="clear" w:color="auto" w:fill="F5F5FA"/>
            <w:tcMar>
              <w:top w:w="80" w:type="dxa"/>
              <w:left w:w="100" w:type="dxa"/>
              <w:bottom w:w="80" w:type="dxa"/>
              <w:right w:w="100" w:type="dxa"/>
            </w:tcMar>
          </w:tcPr>
          <w:p w14:paraId="06CB24F4" w14:textId="77777777" w:rsidR="00880EF6" w:rsidRDefault="008E6519">
            <w:r>
              <w:rPr>
                <w:b/>
                <w:bCs/>
                <w:sz w:val="19"/>
                <w:szCs w:val="19"/>
              </w:rPr>
              <w:t>HCL hypothesis — SUPPORTING, weight 0.85:</w:t>
            </w:r>
          </w:p>
        </w:tc>
        <w:tc>
          <w:tcPr>
            <w:tcW w:w="5160" w:type="dxa"/>
            <w:shd w:val="clear" w:color="auto" w:fill="FFFAF0"/>
            <w:tcMar>
              <w:top w:w="80" w:type="dxa"/>
              <w:left w:w="100" w:type="dxa"/>
              <w:bottom w:w="80" w:type="dxa"/>
              <w:right w:w="100" w:type="dxa"/>
            </w:tcMar>
          </w:tcPr>
          <w:p w14:paraId="3A5569F3" w14:textId="77777777" w:rsidR="00880EF6" w:rsidRDefault="008E6519">
            <w:r>
              <w:rPr>
                <w:color w:val="2D2D2D"/>
                <w:sz w:val="19"/>
                <w:szCs w:val="19"/>
              </w:rPr>
              <w:t>All four overdose incidents share: (1) rapid operator key entry, (2) MALFUNCTION error that allowed treatment to proceed, (3) console displaying normal completion, (4) patient receiving doses 17–125x therapeutic level. This structural pattern is inconsistent with independent operator errors at four separate facilities.</w:t>
            </w:r>
          </w:p>
        </w:tc>
      </w:tr>
      <w:tr w:rsidR="006C5E57" w14:paraId="71FA24E9" w14:textId="77777777">
        <w:tc>
          <w:tcPr>
            <w:tcW w:w="4200" w:type="dxa"/>
            <w:shd w:val="clear" w:color="auto" w:fill="FFFFFF"/>
            <w:tcMar>
              <w:top w:w="80" w:type="dxa"/>
              <w:left w:w="100" w:type="dxa"/>
              <w:bottom w:w="80" w:type="dxa"/>
              <w:right w:w="100" w:type="dxa"/>
            </w:tcMar>
          </w:tcPr>
          <w:p w14:paraId="7EBD5467" w14:textId="77777777" w:rsidR="00880EF6" w:rsidRDefault="008E6519">
            <w:r>
              <w:rPr>
                <w:b/>
                <w:bCs/>
                <w:sz w:val="19"/>
                <w:szCs w:val="19"/>
              </w:rPr>
              <w:t>HCL hypothesis — CONTRADICTING, weight 0.20:</w:t>
            </w:r>
          </w:p>
        </w:tc>
        <w:tc>
          <w:tcPr>
            <w:tcW w:w="5160" w:type="dxa"/>
            <w:shd w:val="clear" w:color="auto" w:fill="FFFEF5"/>
            <w:tcMar>
              <w:top w:w="80" w:type="dxa"/>
              <w:left w:w="100" w:type="dxa"/>
              <w:bottom w:w="80" w:type="dxa"/>
              <w:right w:w="100" w:type="dxa"/>
            </w:tcMar>
          </w:tcPr>
          <w:p w14:paraId="405BF485" w14:textId="77777777" w:rsidR="00880EF6" w:rsidRDefault="008E6519">
            <w:r>
              <w:rPr>
                <w:color w:val="2D2D2D"/>
                <w:sz w:val="19"/>
                <w:szCs w:val="19"/>
              </w:rPr>
              <w:t>AECL initial position: the software passed all AECL testing protocols before deployment. No race condition was identified in pre-market testing. — Why you add this: It's true. The testing didn't catch it. This is weak contradicting evidence (low weight) because test-pass does not disprove the race condition; it just explains why it wasn't caught earlier.</w:t>
            </w:r>
          </w:p>
        </w:tc>
      </w:tr>
      <w:tr w:rsidR="006C5E57" w14:paraId="1A0A2D85" w14:textId="77777777">
        <w:tc>
          <w:tcPr>
            <w:tcW w:w="4200" w:type="dxa"/>
            <w:shd w:val="clear" w:color="auto" w:fill="F5F5FA"/>
            <w:tcMar>
              <w:top w:w="80" w:type="dxa"/>
              <w:left w:w="100" w:type="dxa"/>
              <w:bottom w:w="80" w:type="dxa"/>
              <w:right w:w="100" w:type="dxa"/>
            </w:tcMar>
          </w:tcPr>
          <w:p w14:paraId="4AD40E46" w14:textId="77777777" w:rsidR="00880EF6" w:rsidRDefault="008E6519">
            <w:r>
              <w:rPr>
                <w:b/>
                <w:bCs/>
                <w:sz w:val="19"/>
                <w:szCs w:val="19"/>
              </w:rPr>
              <w:t>Confirm the hypothesis:</w:t>
            </w:r>
          </w:p>
        </w:tc>
        <w:tc>
          <w:tcPr>
            <w:tcW w:w="5160" w:type="dxa"/>
            <w:shd w:val="clear" w:color="auto" w:fill="FFFAF0"/>
            <w:tcMar>
              <w:top w:w="80" w:type="dxa"/>
              <w:left w:w="100" w:type="dxa"/>
              <w:bottom w:w="80" w:type="dxa"/>
              <w:right w:w="100" w:type="dxa"/>
            </w:tcMar>
          </w:tcPr>
          <w:p w14:paraId="44346208" w14:textId="77777777" w:rsidR="00880EF6" w:rsidRDefault="008E6519">
            <w:r>
              <w:rPr>
                <w:color w:val="2D2D2D"/>
                <w:sz w:val="19"/>
                <w:szCs w:val="19"/>
              </w:rPr>
              <w:t>Plausibility should be &gt;= 0.85 after the two supporting evidence items. Confirm with basis: Race condition confirmed by independent software audit. Shared AECL codebase common cause across all four hospital domains.</w:t>
            </w:r>
          </w:p>
        </w:tc>
      </w:tr>
    </w:tbl>
    <w:p w14:paraId="59E33D73" w14:textId="77777777" w:rsidR="00880EF6" w:rsidRDefault="00880EF6">
      <w:pPr>
        <w:spacing w:before="200"/>
      </w:pPr>
    </w:p>
    <w:p w14:paraId="7DB94788" w14:textId="77777777" w:rsidR="00880EF6" w:rsidRDefault="008E6519">
      <w:pPr>
        <w:pStyle w:val="Ttulo2"/>
      </w:pPr>
      <w:r>
        <w:t>Step 7 — Briefing Check</w:t>
      </w:r>
    </w:p>
    <w:p w14:paraId="47FA15AE" w14:textId="77777777" w:rsidR="00880EF6" w:rsidRDefault="008E6519">
      <w:pPr>
        <w:spacing w:before="80" w:after="80"/>
      </w:pPr>
      <w:r>
        <w:t>Generate a briefing. It should show:</w:t>
      </w:r>
    </w:p>
    <w:p w14:paraId="601E95FE" w14:textId="77777777" w:rsidR="00880EF6" w:rsidRDefault="008E6519">
      <w:pPr>
        <w:pStyle w:val="PargrafodaLista"/>
        <w:numPr>
          <w:ilvl w:val="0"/>
          <w:numId w:val="2"/>
        </w:numPr>
        <w:spacing w:before="40" w:after="40"/>
      </w:pPr>
      <w:r>
        <w:t>Four domains with cross-domain connections across all pairs</w:t>
      </w:r>
    </w:p>
    <w:p w14:paraId="106D0CB0" w14:textId="77777777" w:rsidR="00880EF6" w:rsidRDefault="008E6519">
      <w:pPr>
        <w:pStyle w:val="PargrafodaLista"/>
        <w:numPr>
          <w:ilvl w:val="0"/>
          <w:numId w:val="2"/>
        </w:numPr>
        <w:spacing w:before="40" w:after="40"/>
      </w:pPr>
      <w:r>
        <w:t>HCL hypothesis CONFIRMED with plausibility &gt;= 0.85</w:t>
      </w:r>
    </w:p>
    <w:p w14:paraId="428C867E" w14:textId="77777777" w:rsidR="00880EF6" w:rsidRDefault="008E6519">
      <w:pPr>
        <w:pStyle w:val="PargrafodaLista"/>
        <w:numPr>
          <w:ilvl w:val="0"/>
          <w:numId w:val="2"/>
        </w:numPr>
        <w:spacing w:before="40" w:after="40"/>
      </w:pPr>
      <w:r>
        <w:t>SI_CLUSTER hypothesis from Yakima Valley (3 signals)</w:t>
      </w:r>
    </w:p>
    <w:p w14:paraId="24105F59" w14:textId="77777777" w:rsidR="00880EF6" w:rsidRDefault="008E6519">
      <w:pPr>
        <w:pStyle w:val="PargrafodaLista"/>
        <w:numPr>
          <w:ilvl w:val="0"/>
          <w:numId w:val="2"/>
        </w:numPr>
        <w:spacing w:before="40" w:after="40"/>
      </w:pPr>
      <w:r>
        <w:t>Contradiction (Signal 5 vs Signal 3) RESOLVED via RC-2</w:t>
      </w:r>
    </w:p>
    <w:p w14:paraId="2326AF6D" w14:textId="77777777" w:rsidR="00880EF6" w:rsidRDefault="008E6519">
      <w:pPr>
        <w:pStyle w:val="PargrafodaLista"/>
        <w:numPr>
          <w:ilvl w:val="0"/>
          <w:numId w:val="2"/>
        </w:numPr>
        <w:spacing w:before="40" w:after="40"/>
      </w:pPr>
      <w:r>
        <w:t>Pool Status: majority of signals in CONNECTED or ASSESSED status</w:t>
      </w:r>
    </w:p>
    <w:p w14:paraId="1E24B720" w14:textId="77777777" w:rsidR="00880EF6" w:rsidRDefault="008E6519">
      <w:pPr>
        <w:pStyle w:val="PargrafodaLista"/>
        <w:numPr>
          <w:ilvl w:val="0"/>
          <w:numId w:val="2"/>
        </w:numPr>
        <w:spacing w:before="40" w:after="40"/>
      </w:pPr>
      <w:r>
        <w:t>Open Questions: empty or containing only the period 1 Yakima signals pending formal assignment</w:t>
      </w:r>
    </w:p>
    <w:p w14:paraId="019207E4" w14:textId="77777777" w:rsidR="00880EF6" w:rsidRDefault="008E6519">
      <w:pPr>
        <w:pStyle w:val="PargrafodaLista"/>
        <w:numPr>
          <w:ilvl w:val="0"/>
          <w:numId w:val="2"/>
        </w:numPr>
        <w:spacing w:before="40" w:after="40"/>
      </w:pPr>
      <w:r>
        <w:t>LP Flags: LP-5 flag should appear if the period 1 sub-threshold signals were aggregated before expiry consideration</w:t>
      </w:r>
    </w:p>
    <w:p w14:paraId="5A457152" w14:textId="77777777" w:rsidR="00880EF6" w:rsidRDefault="008E6519">
      <w:r>
        <w:lastRenderedPageBreak/>
        <w:br w:type="page"/>
      </w:r>
    </w:p>
    <w:p w14:paraId="3519392C" w14:textId="77777777" w:rsidR="00880EF6" w:rsidRDefault="008E6519">
      <w:pPr>
        <w:shd w:val="clear" w:color="auto" w:fill="1A1A2E"/>
        <w:spacing w:after="80"/>
      </w:pPr>
      <w:r>
        <w:rPr>
          <w:b/>
          <w:bCs/>
          <w:color w:val="C8B87A"/>
          <w:sz w:val="26"/>
          <w:szCs w:val="26"/>
        </w:rPr>
        <w:lastRenderedPageBreak/>
        <w:t xml:space="preserve">  CASE 3</w:t>
      </w:r>
    </w:p>
    <w:p w14:paraId="23B31EE2" w14:textId="77777777" w:rsidR="00880EF6" w:rsidRDefault="008E6519">
      <w:pPr>
        <w:shd w:val="clear" w:color="auto" w:fill="1A1A2E"/>
      </w:pPr>
      <w:r>
        <w:rPr>
          <w:b/>
          <w:bCs/>
          <w:color w:val="FFFFFF"/>
          <w:sz w:val="38"/>
          <w:szCs w:val="38"/>
        </w:rPr>
        <w:t xml:space="preserve">  Enron Corporation</w:t>
      </w:r>
    </w:p>
    <w:p w14:paraId="29B48C09" w14:textId="77777777" w:rsidR="00880EF6" w:rsidRDefault="008E6519">
      <w:pPr>
        <w:shd w:val="clear" w:color="auto" w:fill="1A1A2E"/>
        <w:spacing w:after="200"/>
      </w:pPr>
      <w:r>
        <w:rPr>
          <w:color w:val="9090B0"/>
          <w:sz w:val="22"/>
          <w:szCs w:val="22"/>
        </w:rPr>
        <w:t xml:space="preserve">  Houston, TX — 1997–2001</w:t>
      </w:r>
    </w:p>
    <w:p w14:paraId="0E6CF723" w14:textId="77777777" w:rsidR="00880EF6" w:rsidRDefault="00880EF6">
      <w:pPr>
        <w:spacing w:before="80"/>
      </w:pPr>
    </w:p>
    <w:p w14:paraId="0551A03B" w14:textId="77777777" w:rsidR="00880EF6" w:rsidRDefault="008E6519">
      <w:pPr>
        <w:pStyle w:val="Ttulo2"/>
      </w:pPr>
      <w:r>
        <w:t>Background</w:t>
      </w:r>
    </w:p>
    <w:p w14:paraId="277CB8D9" w14:textId="77777777" w:rsidR="00880EF6" w:rsidRDefault="008E6519">
      <w:pPr>
        <w:spacing w:before="80" w:after="80"/>
      </w:pPr>
      <w:r>
        <w:t>Enron was the seventh-largest company in America by revenue when it collapsed in December 2001. For four years prior, it had systematically moved debt off its balance sheet into Special Purpose Entities (SPEs) — shell companies designed to absorb losses and liabilities while Enron's reported financials showed continuous growth. The signals were present across multiple independent reporting domains: the public financial statements, the SEC filings, the internal trading desk reports, and the employee stock and retirement accounts. Each domain told a partially true story. Together they described load displacement on a massive scale.</w:t>
      </w:r>
    </w:p>
    <w:p w14:paraId="76CC2642" w14:textId="77777777" w:rsidR="00880EF6" w:rsidRDefault="00880EF6">
      <w:pPr>
        <w:spacing w:before="80"/>
      </w:pPr>
    </w:p>
    <w:p w14:paraId="10E4B27B" w14:textId="77777777" w:rsidR="00880EF6" w:rsidRDefault="008E6519">
      <w:pPr>
        <w:pBdr>
          <w:left w:val="single" w:sz="12" w:space="2" w:color="C8B87A"/>
        </w:pBdr>
        <w:shd w:val="clear" w:color="auto" w:fill="F5F0DC"/>
        <w:spacing w:before="120" w:after="120"/>
        <w:ind w:left="240"/>
      </w:pPr>
      <w:r>
        <w:rPr>
          <w:i/>
          <w:iCs/>
          <w:color w:val="2D2D2D"/>
          <w:sz w:val="20"/>
          <w:szCs w:val="20"/>
        </w:rPr>
        <w:t>Why CIS: Enron is the canonical Load Displacement + Fragility Accumulation case. Enron's core business (pipeline operations) was generating stable returns — that was the Source. Debt and losses were being systematically exported to SPEs — those were the Recipients. The Source stayed stable. The Recipients were accumulating fragility. CIS is designed to detect this pattern before the Recipients fail and pull the Source down with them.</w:t>
      </w:r>
    </w:p>
    <w:p w14:paraId="309FDFF1" w14:textId="77777777" w:rsidR="00880EF6" w:rsidRDefault="00880EF6">
      <w:pPr>
        <w:spacing w:before="80"/>
      </w:pPr>
    </w:p>
    <w:p w14:paraId="005EF06E" w14:textId="77777777" w:rsidR="00880EF6" w:rsidRDefault="008E6519">
      <w:pPr>
        <w:spacing w:before="80" w:after="80"/>
      </w:pPr>
      <w:r>
        <w:rPr>
          <w:b/>
          <w:bCs/>
        </w:rPr>
        <w:t>Features this case exercises:</w:t>
      </w:r>
      <w:r>
        <w:t xml:space="preserve"> Load displacement between independent financial reporting domains, fragility accumulation (LP-5 sub-threshold aggregation), admissibility boundary modification (accounting rule changes that determined what could be excluded from Enron balance sheet), PATTERN hypothesis across multiple periods, contradiction handling (public statements vs internal memos), LP-6 (significance not decayed — early signals treated as noise), LP-7 (signals not discarded on analyst coverage change).</w:t>
      </w:r>
    </w:p>
    <w:p w14:paraId="553A5133" w14:textId="77777777" w:rsidR="00880EF6" w:rsidRDefault="00880EF6">
      <w:pPr>
        <w:spacing w:before="160"/>
      </w:pPr>
    </w:p>
    <w:p w14:paraId="3949F5EF" w14:textId="77777777" w:rsidR="00880EF6" w:rsidRDefault="008E6519">
      <w:pPr>
        <w:pStyle w:val="Ttulo2"/>
      </w:pPr>
      <w:r>
        <w:t>Step 1 — Create the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5A2A00FD" w14:textId="77777777">
        <w:trPr>
          <w:tblHeader/>
        </w:trPr>
        <w:tc>
          <w:tcPr>
            <w:tcW w:w="4200" w:type="dxa"/>
            <w:shd w:val="clear" w:color="auto" w:fill="1A1A2E"/>
            <w:tcMar>
              <w:top w:w="80" w:type="dxa"/>
              <w:left w:w="100" w:type="dxa"/>
              <w:bottom w:w="80" w:type="dxa"/>
              <w:right w:w="100" w:type="dxa"/>
            </w:tcMar>
          </w:tcPr>
          <w:p w14:paraId="656CA2F8" w14:textId="77777777" w:rsidR="00880EF6" w:rsidRDefault="008E6519">
            <w:r>
              <w:rPr>
                <w:b/>
                <w:bCs/>
                <w:color w:val="C8B87A"/>
                <w:sz w:val="19"/>
                <w:szCs w:val="19"/>
              </w:rPr>
              <w:t>Field</w:t>
            </w:r>
          </w:p>
        </w:tc>
        <w:tc>
          <w:tcPr>
            <w:tcW w:w="5160" w:type="dxa"/>
            <w:shd w:val="clear" w:color="auto" w:fill="1A1A2E"/>
            <w:tcMar>
              <w:top w:w="80" w:type="dxa"/>
              <w:left w:w="100" w:type="dxa"/>
              <w:bottom w:w="80" w:type="dxa"/>
              <w:right w:w="100" w:type="dxa"/>
            </w:tcMar>
          </w:tcPr>
          <w:p w14:paraId="13B4F96F" w14:textId="77777777" w:rsidR="00880EF6" w:rsidRDefault="008E6519">
            <w:r>
              <w:rPr>
                <w:b/>
                <w:bCs/>
                <w:color w:val="C8B87A"/>
                <w:sz w:val="19"/>
                <w:szCs w:val="19"/>
              </w:rPr>
              <w:t>Entry</w:t>
            </w:r>
          </w:p>
        </w:tc>
      </w:tr>
      <w:tr w:rsidR="006C5E57" w14:paraId="54F6325B" w14:textId="77777777">
        <w:tc>
          <w:tcPr>
            <w:tcW w:w="4200" w:type="dxa"/>
            <w:shd w:val="clear" w:color="auto" w:fill="FFFFFF"/>
            <w:tcMar>
              <w:top w:w="80" w:type="dxa"/>
              <w:left w:w="100" w:type="dxa"/>
              <w:bottom w:w="80" w:type="dxa"/>
              <w:right w:w="100" w:type="dxa"/>
            </w:tcMar>
          </w:tcPr>
          <w:p w14:paraId="2DF30E67" w14:textId="77777777" w:rsidR="00880EF6" w:rsidRDefault="008E6519">
            <w:r>
              <w:rPr>
                <w:b/>
                <w:bCs/>
                <w:sz w:val="19"/>
                <w:szCs w:val="19"/>
              </w:rPr>
              <w:t>Case title:</w:t>
            </w:r>
          </w:p>
        </w:tc>
        <w:tc>
          <w:tcPr>
            <w:tcW w:w="5160" w:type="dxa"/>
            <w:shd w:val="clear" w:color="auto" w:fill="FFFEF5"/>
            <w:tcMar>
              <w:top w:w="80" w:type="dxa"/>
              <w:left w:w="100" w:type="dxa"/>
              <w:bottom w:w="80" w:type="dxa"/>
              <w:right w:w="100" w:type="dxa"/>
            </w:tcMar>
          </w:tcPr>
          <w:p w14:paraId="607C43AF" w14:textId="77777777" w:rsidR="00880EF6" w:rsidRDefault="008E6519">
            <w:r>
              <w:rPr>
                <w:color w:val="2D2D2D"/>
                <w:sz w:val="19"/>
                <w:szCs w:val="19"/>
              </w:rPr>
              <w:t>Enron Corporation — Financial Continuity Investigation</w:t>
            </w:r>
          </w:p>
        </w:tc>
      </w:tr>
      <w:tr w:rsidR="006C5E57" w14:paraId="2C530A5A" w14:textId="77777777">
        <w:tc>
          <w:tcPr>
            <w:tcW w:w="4200" w:type="dxa"/>
            <w:shd w:val="clear" w:color="auto" w:fill="F5F5FA"/>
            <w:tcMar>
              <w:top w:w="80" w:type="dxa"/>
              <w:left w:w="100" w:type="dxa"/>
              <w:bottom w:w="80" w:type="dxa"/>
              <w:right w:w="100" w:type="dxa"/>
            </w:tcMar>
          </w:tcPr>
          <w:p w14:paraId="40D4D9EE" w14:textId="77777777" w:rsidR="00880EF6" w:rsidRDefault="008E6519">
            <w:r>
              <w:rPr>
                <w:b/>
                <w:bCs/>
                <w:sz w:val="19"/>
                <w:szCs w:val="19"/>
              </w:rPr>
              <w:t>What to expect:</w:t>
            </w:r>
          </w:p>
        </w:tc>
        <w:tc>
          <w:tcPr>
            <w:tcW w:w="5160" w:type="dxa"/>
            <w:shd w:val="clear" w:color="auto" w:fill="FFFAF0"/>
            <w:tcMar>
              <w:top w:w="80" w:type="dxa"/>
              <w:left w:w="100" w:type="dxa"/>
              <w:bottom w:w="80" w:type="dxa"/>
              <w:right w:w="100" w:type="dxa"/>
            </w:tcMar>
          </w:tcPr>
          <w:p w14:paraId="40B95D45" w14:textId="77777777" w:rsidR="00880EF6" w:rsidRDefault="008E6519">
            <w:r>
              <w:rPr>
                <w:color w:val="2D2D2D"/>
                <w:sz w:val="19"/>
                <w:szCs w:val="19"/>
              </w:rPr>
              <w:t>Empty dashboard. You will create four domains reflecting independent financial reporting and oversight channels.</w:t>
            </w:r>
          </w:p>
        </w:tc>
      </w:tr>
    </w:tbl>
    <w:p w14:paraId="74506F88" w14:textId="77777777" w:rsidR="00880EF6" w:rsidRDefault="00880EF6">
      <w:pPr>
        <w:spacing w:before="160"/>
      </w:pPr>
    </w:p>
    <w:p w14:paraId="4CD3BCDA" w14:textId="77777777" w:rsidR="00880EF6" w:rsidRDefault="008E6519">
      <w:pPr>
        <w:pStyle w:val="Ttulo2"/>
      </w:pPr>
      <w:r>
        <w:t>Step 2 — Create Domains and Declare Independence</w:t>
      </w:r>
    </w:p>
    <w:p w14:paraId="7200C831" w14:textId="77777777" w:rsidR="00880EF6" w:rsidRDefault="008E6519">
      <w:pPr>
        <w:spacing w:before="80" w:after="80"/>
      </w:pPr>
      <w:r>
        <w:t>Enron's information was distributed across domains that had no integrated view of each other. The public financial reports, the SEC filings, the internal trading operations, and the employee retirement accounts were all independently managed.</w:t>
      </w:r>
    </w:p>
    <w:p w14:paraId="230CE734"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6C64E473" w14:textId="77777777">
        <w:trPr>
          <w:tblHeader/>
        </w:trPr>
        <w:tc>
          <w:tcPr>
            <w:tcW w:w="4200" w:type="dxa"/>
            <w:shd w:val="clear" w:color="auto" w:fill="1A1A2E"/>
            <w:tcMar>
              <w:top w:w="80" w:type="dxa"/>
              <w:left w:w="100" w:type="dxa"/>
              <w:bottom w:w="80" w:type="dxa"/>
              <w:right w:w="100" w:type="dxa"/>
            </w:tcMar>
          </w:tcPr>
          <w:p w14:paraId="410E82D8" w14:textId="77777777" w:rsidR="00880EF6" w:rsidRDefault="008E6519">
            <w:r>
              <w:rPr>
                <w:b/>
                <w:bCs/>
                <w:color w:val="C8B87A"/>
                <w:sz w:val="19"/>
                <w:szCs w:val="19"/>
              </w:rPr>
              <w:lastRenderedPageBreak/>
              <w:t>Action</w:t>
            </w:r>
          </w:p>
        </w:tc>
        <w:tc>
          <w:tcPr>
            <w:tcW w:w="5160" w:type="dxa"/>
            <w:shd w:val="clear" w:color="auto" w:fill="1A1A2E"/>
            <w:tcMar>
              <w:top w:w="80" w:type="dxa"/>
              <w:left w:w="100" w:type="dxa"/>
              <w:bottom w:w="80" w:type="dxa"/>
              <w:right w:w="100" w:type="dxa"/>
            </w:tcMar>
          </w:tcPr>
          <w:p w14:paraId="64BE60D9" w14:textId="77777777" w:rsidR="00880EF6" w:rsidRDefault="008E6519">
            <w:r>
              <w:rPr>
                <w:b/>
                <w:bCs/>
                <w:color w:val="C8B87A"/>
                <w:sz w:val="19"/>
                <w:szCs w:val="19"/>
              </w:rPr>
              <w:t>What to enter / why</w:t>
            </w:r>
          </w:p>
        </w:tc>
      </w:tr>
      <w:tr w:rsidR="006C5E57" w14:paraId="2436109F" w14:textId="77777777">
        <w:tc>
          <w:tcPr>
            <w:tcW w:w="4200" w:type="dxa"/>
            <w:shd w:val="clear" w:color="auto" w:fill="FFFFFF"/>
            <w:tcMar>
              <w:top w:w="80" w:type="dxa"/>
              <w:left w:w="100" w:type="dxa"/>
              <w:bottom w:w="80" w:type="dxa"/>
              <w:right w:w="100" w:type="dxa"/>
            </w:tcMar>
          </w:tcPr>
          <w:p w14:paraId="7F9B3F60" w14:textId="77777777" w:rsidR="00880EF6" w:rsidRDefault="008E6519">
            <w:r>
              <w:rPr>
                <w:b/>
                <w:bCs/>
                <w:sz w:val="19"/>
                <w:szCs w:val="19"/>
              </w:rPr>
              <w:t>Domain 1:</w:t>
            </w:r>
          </w:p>
        </w:tc>
        <w:tc>
          <w:tcPr>
            <w:tcW w:w="5160" w:type="dxa"/>
            <w:shd w:val="clear" w:color="auto" w:fill="FFFEF5"/>
            <w:tcMar>
              <w:top w:w="80" w:type="dxa"/>
              <w:left w:w="100" w:type="dxa"/>
              <w:bottom w:w="80" w:type="dxa"/>
              <w:right w:w="100" w:type="dxa"/>
            </w:tcMar>
          </w:tcPr>
          <w:p w14:paraId="01DB2FE7" w14:textId="77777777" w:rsidR="00880EF6" w:rsidRDefault="008E6519">
            <w:r>
              <w:rPr>
                <w:color w:val="2D2D2D"/>
                <w:sz w:val="19"/>
                <w:szCs w:val="19"/>
              </w:rPr>
              <w:t>Enron Public Financial Statements — Annual reports, quarterly earnings releases, press statements. What Enron told the public and markets.</w:t>
            </w:r>
          </w:p>
        </w:tc>
      </w:tr>
      <w:tr w:rsidR="006C5E57" w14:paraId="2E7BF03E" w14:textId="77777777">
        <w:tc>
          <w:tcPr>
            <w:tcW w:w="4200" w:type="dxa"/>
            <w:shd w:val="clear" w:color="auto" w:fill="F5F5FA"/>
            <w:tcMar>
              <w:top w:w="80" w:type="dxa"/>
              <w:left w:w="100" w:type="dxa"/>
              <w:bottom w:w="80" w:type="dxa"/>
              <w:right w:w="100" w:type="dxa"/>
            </w:tcMar>
          </w:tcPr>
          <w:p w14:paraId="593FC6D0" w14:textId="77777777" w:rsidR="00880EF6" w:rsidRDefault="008E6519">
            <w:r>
              <w:rPr>
                <w:b/>
                <w:bCs/>
                <w:sz w:val="19"/>
                <w:szCs w:val="19"/>
              </w:rPr>
              <w:t>Domain 2:</w:t>
            </w:r>
          </w:p>
        </w:tc>
        <w:tc>
          <w:tcPr>
            <w:tcW w:w="5160" w:type="dxa"/>
            <w:shd w:val="clear" w:color="auto" w:fill="FFFAF0"/>
            <w:tcMar>
              <w:top w:w="80" w:type="dxa"/>
              <w:left w:w="100" w:type="dxa"/>
              <w:bottom w:w="80" w:type="dxa"/>
              <w:right w:w="100" w:type="dxa"/>
            </w:tcMar>
          </w:tcPr>
          <w:p w14:paraId="7EBAFEDD" w14:textId="77777777" w:rsidR="00880EF6" w:rsidRDefault="008E6519">
            <w:r>
              <w:rPr>
                <w:color w:val="2D2D2D"/>
                <w:sz w:val="19"/>
                <w:szCs w:val="19"/>
              </w:rPr>
              <w:t>SEC Regulatory Filings — 10-K and 10-Q filings. Contains footnotes and disclosures not in the press releases. Different audience from the public statements.</w:t>
            </w:r>
          </w:p>
        </w:tc>
      </w:tr>
      <w:tr w:rsidR="006C5E57" w14:paraId="4A848AE3" w14:textId="77777777">
        <w:tc>
          <w:tcPr>
            <w:tcW w:w="4200" w:type="dxa"/>
            <w:shd w:val="clear" w:color="auto" w:fill="FFFFFF"/>
            <w:tcMar>
              <w:top w:w="80" w:type="dxa"/>
              <w:left w:w="100" w:type="dxa"/>
              <w:bottom w:w="80" w:type="dxa"/>
              <w:right w:w="100" w:type="dxa"/>
            </w:tcMar>
          </w:tcPr>
          <w:p w14:paraId="613EFD17" w14:textId="77777777" w:rsidR="00880EF6" w:rsidRDefault="008E6519">
            <w:r>
              <w:rPr>
                <w:b/>
                <w:bCs/>
                <w:sz w:val="19"/>
                <w:szCs w:val="19"/>
              </w:rPr>
              <w:t>Domain 3:</w:t>
            </w:r>
          </w:p>
        </w:tc>
        <w:tc>
          <w:tcPr>
            <w:tcW w:w="5160" w:type="dxa"/>
            <w:shd w:val="clear" w:color="auto" w:fill="FFFEF5"/>
            <w:tcMar>
              <w:top w:w="80" w:type="dxa"/>
              <w:left w:w="100" w:type="dxa"/>
              <w:bottom w:w="80" w:type="dxa"/>
              <w:right w:w="100" w:type="dxa"/>
            </w:tcMar>
          </w:tcPr>
          <w:p w14:paraId="48804381" w14:textId="77777777" w:rsidR="00880EF6" w:rsidRDefault="008E6519">
            <w:r>
              <w:rPr>
                <w:color w:val="2D2D2D"/>
                <w:sz w:val="19"/>
                <w:szCs w:val="19"/>
              </w:rPr>
              <w:t>Enron Trading Operations — Internal trading desk P&amp;L reports, energy contract positions, mark-to-market valuations. Not publicly available but subject to internal audit.</w:t>
            </w:r>
          </w:p>
        </w:tc>
      </w:tr>
      <w:tr w:rsidR="006C5E57" w14:paraId="44E560E6" w14:textId="77777777">
        <w:tc>
          <w:tcPr>
            <w:tcW w:w="4200" w:type="dxa"/>
            <w:shd w:val="clear" w:color="auto" w:fill="F5F5FA"/>
            <w:tcMar>
              <w:top w:w="80" w:type="dxa"/>
              <w:left w:w="100" w:type="dxa"/>
              <w:bottom w:w="80" w:type="dxa"/>
              <w:right w:w="100" w:type="dxa"/>
            </w:tcMar>
          </w:tcPr>
          <w:p w14:paraId="5A9B3C3F" w14:textId="77777777" w:rsidR="00880EF6" w:rsidRDefault="008E6519">
            <w:r>
              <w:rPr>
                <w:b/>
                <w:bCs/>
                <w:sz w:val="19"/>
                <w:szCs w:val="19"/>
              </w:rPr>
              <w:t>Domain 4:</w:t>
            </w:r>
          </w:p>
        </w:tc>
        <w:tc>
          <w:tcPr>
            <w:tcW w:w="5160" w:type="dxa"/>
            <w:shd w:val="clear" w:color="auto" w:fill="FFFAF0"/>
            <w:tcMar>
              <w:top w:w="80" w:type="dxa"/>
              <w:left w:w="100" w:type="dxa"/>
              <w:bottom w:w="80" w:type="dxa"/>
              <w:right w:w="100" w:type="dxa"/>
            </w:tcMar>
          </w:tcPr>
          <w:p w14:paraId="10632C4F" w14:textId="77777777" w:rsidR="00880EF6" w:rsidRDefault="008E6519">
            <w:r>
              <w:rPr>
                <w:color w:val="2D2D2D"/>
                <w:sz w:val="19"/>
                <w:szCs w:val="19"/>
              </w:rPr>
              <w:t>Employee Retirement Accounts (401k) — Employee stock holdings, lock-up periods, insider stock sale records. Structurally independent source: employee financial behaviour is a revealed preference — people act on what they actually believe about the company.</w:t>
            </w:r>
          </w:p>
        </w:tc>
      </w:tr>
      <w:tr w:rsidR="006C5E57" w14:paraId="14196109" w14:textId="77777777">
        <w:tc>
          <w:tcPr>
            <w:tcW w:w="4200" w:type="dxa"/>
            <w:shd w:val="clear" w:color="auto" w:fill="FFFFFF"/>
            <w:tcMar>
              <w:top w:w="80" w:type="dxa"/>
              <w:left w:w="100" w:type="dxa"/>
              <w:bottom w:w="80" w:type="dxa"/>
              <w:right w:w="100" w:type="dxa"/>
            </w:tcMar>
          </w:tcPr>
          <w:p w14:paraId="0165D76E" w14:textId="77777777" w:rsidR="00880EF6" w:rsidRDefault="008E6519">
            <w:r>
              <w:rPr>
                <w:b/>
                <w:bCs/>
                <w:sz w:val="19"/>
                <w:szCs w:val="19"/>
              </w:rPr>
              <w:t>Independence declarations:</w:t>
            </w:r>
          </w:p>
        </w:tc>
        <w:tc>
          <w:tcPr>
            <w:tcW w:w="5160" w:type="dxa"/>
            <w:shd w:val="clear" w:color="auto" w:fill="FFFEF5"/>
            <w:tcMar>
              <w:top w:w="80" w:type="dxa"/>
              <w:left w:w="100" w:type="dxa"/>
              <w:bottom w:w="80" w:type="dxa"/>
              <w:right w:w="100" w:type="dxa"/>
            </w:tcMar>
          </w:tcPr>
          <w:p w14:paraId="3B0637A1" w14:textId="77777777" w:rsidR="00880EF6" w:rsidRDefault="008E6519">
            <w:r>
              <w:rPr>
                <w:color w:val="2D2D2D"/>
                <w:sz w:val="19"/>
                <w:szCs w:val="19"/>
              </w:rPr>
              <w:t>Declare all six pairs INDEPENDENT. Basis: each domain was produced by a different group (investor relations, legal/compliance, trading operations, HR/benefits), served a different audience, and was subject to different review processes. No single integrated view existed across all four.</w:t>
            </w:r>
          </w:p>
        </w:tc>
      </w:tr>
      <w:tr w:rsidR="006C5E57" w14:paraId="69596D43" w14:textId="77777777">
        <w:tc>
          <w:tcPr>
            <w:tcW w:w="4200" w:type="dxa"/>
            <w:shd w:val="clear" w:color="auto" w:fill="F5F5FA"/>
            <w:tcMar>
              <w:top w:w="80" w:type="dxa"/>
              <w:left w:w="100" w:type="dxa"/>
              <w:bottom w:w="80" w:type="dxa"/>
              <w:right w:w="100" w:type="dxa"/>
            </w:tcMar>
          </w:tcPr>
          <w:p w14:paraId="6D3FE7B7" w14:textId="77777777" w:rsidR="00880EF6" w:rsidRDefault="008E6519">
            <w:r>
              <w:rPr>
                <w:b/>
                <w:bCs/>
                <w:sz w:val="19"/>
                <w:szCs w:val="19"/>
              </w:rPr>
              <w:t>Why independence matters here:</w:t>
            </w:r>
          </w:p>
        </w:tc>
        <w:tc>
          <w:tcPr>
            <w:tcW w:w="5160" w:type="dxa"/>
            <w:shd w:val="clear" w:color="auto" w:fill="FFFAF0"/>
            <w:tcMar>
              <w:top w:w="80" w:type="dxa"/>
              <w:left w:w="100" w:type="dxa"/>
              <w:bottom w:w="80" w:type="dxa"/>
              <w:right w:w="100" w:type="dxa"/>
            </w:tcMar>
          </w:tcPr>
          <w:p w14:paraId="47A9592E" w14:textId="77777777" w:rsidR="00880EF6" w:rsidRDefault="008E6519">
            <w:r>
              <w:rPr>
                <w:color w:val="2D2D2D"/>
                <w:sz w:val="19"/>
                <w:szCs w:val="19"/>
              </w:rPr>
              <w:t>The load displacement is only visible across domains. Enron's public statements showed stability. The SPE footnotes in SEC filings showed liability accumulation. The trading desk showed mark-to-market profit inflation. The executive stock sales showed insiders getting out. None of these domains alone tells the full story.</w:t>
            </w:r>
          </w:p>
        </w:tc>
      </w:tr>
    </w:tbl>
    <w:p w14:paraId="139ABDF7" w14:textId="77777777" w:rsidR="00880EF6" w:rsidRDefault="00880EF6">
      <w:pPr>
        <w:spacing w:before="160"/>
      </w:pPr>
    </w:p>
    <w:p w14:paraId="327657F7" w14:textId="77777777" w:rsidR="00880EF6" w:rsidRDefault="008E6519">
      <w:pPr>
        <w:pStyle w:val="Ttulo2"/>
      </w:pPr>
      <w:r>
        <w:t>Step 3 — Enter Signals</w:t>
      </w:r>
    </w:p>
    <w:p w14:paraId="01197128" w14:textId="77777777" w:rsidR="00880EF6" w:rsidRDefault="008E6519">
      <w:pPr>
        <w:spacing w:before="80" w:after="80"/>
      </w:pPr>
      <w:r>
        <w:t>Enron's collapse took four years to build. Periods here represent fiscal years: Period 1 = FY1997, Period 2 = FY1998, Period 3 = FY1999, Period 4 = FY2000, Period 5 = Q1–Q3 2001, Period 6 = Q4 2001 (collapse).</w:t>
      </w:r>
    </w:p>
    <w:p w14:paraId="4816B784" w14:textId="77777777" w:rsidR="00880EF6" w:rsidRDefault="00880EF6">
      <w:pPr>
        <w:spacing w:before="80"/>
      </w:pPr>
    </w:p>
    <w:p w14:paraId="2A8B0E55" w14:textId="77777777" w:rsidR="00880EF6" w:rsidRDefault="008E6519">
      <w:pPr>
        <w:pBdr>
          <w:left w:val="single" w:sz="12" w:space="2" w:color="C8B87A"/>
        </w:pBdr>
        <w:shd w:val="clear" w:color="auto" w:fill="F5F0DC"/>
        <w:spacing w:before="120" w:after="120"/>
        <w:ind w:left="240"/>
      </w:pPr>
      <w:r>
        <w:rPr>
          <w:i/>
          <w:iCs/>
          <w:color w:val="2D2D2D"/>
          <w:sz w:val="20"/>
          <w:szCs w:val="20"/>
        </w:rPr>
        <w:t>You are playing the role of an analyst who has access to all four information domains simultaneously — something no single analyst actually had at the time. CIS is giving you the cross-domain view that was missing.</w:t>
      </w:r>
    </w:p>
    <w:p w14:paraId="33B1ADD8" w14:textId="77777777" w:rsidR="00880EF6" w:rsidRDefault="00880EF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1387"/>
        <w:gridCol w:w="792"/>
        <w:gridCol w:w="3661"/>
        <w:gridCol w:w="3091"/>
      </w:tblGrid>
      <w:tr w:rsidR="006C5E57" w14:paraId="6BDA321E" w14:textId="77777777">
        <w:trPr>
          <w:tblHeader/>
        </w:trPr>
        <w:tc>
          <w:tcPr>
            <w:tcW w:w="400" w:type="dxa"/>
            <w:shd w:val="clear" w:color="auto" w:fill="1A1A2E"/>
            <w:tcMar>
              <w:top w:w="80" w:type="dxa"/>
              <w:left w:w="100" w:type="dxa"/>
              <w:bottom w:w="80" w:type="dxa"/>
              <w:right w:w="100" w:type="dxa"/>
            </w:tcMar>
          </w:tcPr>
          <w:p w14:paraId="4266FE93" w14:textId="77777777" w:rsidR="00880EF6" w:rsidRDefault="008E6519">
            <w:r>
              <w:rPr>
                <w:b/>
                <w:bCs/>
                <w:color w:val="C8B87A"/>
                <w:sz w:val="19"/>
                <w:szCs w:val="19"/>
              </w:rPr>
              <w:t>#</w:t>
            </w:r>
          </w:p>
        </w:tc>
        <w:tc>
          <w:tcPr>
            <w:tcW w:w="1400" w:type="dxa"/>
            <w:shd w:val="clear" w:color="auto" w:fill="1A1A2E"/>
            <w:tcMar>
              <w:top w:w="80" w:type="dxa"/>
              <w:left w:w="100" w:type="dxa"/>
              <w:bottom w:w="80" w:type="dxa"/>
              <w:right w:w="100" w:type="dxa"/>
            </w:tcMar>
          </w:tcPr>
          <w:p w14:paraId="044135B5" w14:textId="77777777" w:rsidR="00880EF6" w:rsidRDefault="008E6519">
            <w:r>
              <w:rPr>
                <w:b/>
                <w:bCs/>
                <w:color w:val="C8B87A"/>
                <w:sz w:val="19"/>
                <w:szCs w:val="19"/>
              </w:rPr>
              <w:t>Domain</w:t>
            </w:r>
          </w:p>
        </w:tc>
        <w:tc>
          <w:tcPr>
            <w:tcW w:w="600" w:type="dxa"/>
            <w:shd w:val="clear" w:color="auto" w:fill="1A1A2E"/>
            <w:tcMar>
              <w:top w:w="80" w:type="dxa"/>
              <w:left w:w="100" w:type="dxa"/>
              <w:bottom w:w="80" w:type="dxa"/>
              <w:right w:w="100" w:type="dxa"/>
            </w:tcMar>
          </w:tcPr>
          <w:p w14:paraId="54B60E3C" w14:textId="77777777" w:rsidR="00880EF6" w:rsidRDefault="008E6519">
            <w:r>
              <w:rPr>
                <w:b/>
                <w:bCs/>
                <w:color w:val="C8B87A"/>
                <w:sz w:val="19"/>
                <w:szCs w:val="19"/>
              </w:rPr>
              <w:t>Period</w:t>
            </w:r>
          </w:p>
        </w:tc>
        <w:tc>
          <w:tcPr>
            <w:tcW w:w="3800" w:type="dxa"/>
            <w:shd w:val="clear" w:color="auto" w:fill="1A1A2E"/>
            <w:tcMar>
              <w:top w:w="80" w:type="dxa"/>
              <w:left w:w="100" w:type="dxa"/>
              <w:bottom w:w="80" w:type="dxa"/>
              <w:right w:w="100" w:type="dxa"/>
            </w:tcMar>
          </w:tcPr>
          <w:p w14:paraId="674CF773" w14:textId="77777777" w:rsidR="00880EF6" w:rsidRDefault="008E6519">
            <w:r>
              <w:rPr>
                <w:b/>
                <w:bCs/>
                <w:color w:val="C8B87A"/>
                <w:sz w:val="19"/>
                <w:szCs w:val="19"/>
              </w:rPr>
              <w:t>What to enter in the Content field</w:t>
            </w:r>
          </w:p>
        </w:tc>
        <w:tc>
          <w:tcPr>
            <w:tcW w:w="3160" w:type="dxa"/>
            <w:shd w:val="clear" w:color="auto" w:fill="1A1A2E"/>
            <w:tcMar>
              <w:top w:w="80" w:type="dxa"/>
              <w:left w:w="100" w:type="dxa"/>
              <w:bottom w:w="80" w:type="dxa"/>
              <w:right w:w="100" w:type="dxa"/>
            </w:tcMar>
          </w:tcPr>
          <w:p w14:paraId="0EBDE6F3" w14:textId="77777777" w:rsidR="00880EF6" w:rsidRDefault="008E6519">
            <w:r>
              <w:rPr>
                <w:b/>
                <w:bCs/>
                <w:color w:val="C8B87A"/>
                <w:sz w:val="19"/>
                <w:szCs w:val="19"/>
              </w:rPr>
              <w:t xml:space="preserve">Why — what </w:t>
            </w:r>
            <w:proofErr w:type="gramStart"/>
            <w:r>
              <w:rPr>
                <w:b/>
                <w:bCs/>
                <w:color w:val="C8B87A"/>
                <w:sz w:val="19"/>
                <w:szCs w:val="19"/>
              </w:rPr>
              <w:t>this tests</w:t>
            </w:r>
            <w:proofErr w:type="gramEnd"/>
          </w:p>
        </w:tc>
      </w:tr>
      <w:tr w:rsidR="006C5E57" w14:paraId="1900448B" w14:textId="77777777">
        <w:tc>
          <w:tcPr>
            <w:tcW w:w="400" w:type="dxa"/>
            <w:shd w:val="clear" w:color="auto" w:fill="FFFFFF"/>
            <w:tcMar>
              <w:top w:w="80" w:type="dxa"/>
              <w:left w:w="100" w:type="dxa"/>
              <w:bottom w:w="80" w:type="dxa"/>
              <w:right w:w="100" w:type="dxa"/>
            </w:tcMar>
          </w:tcPr>
          <w:p w14:paraId="25BB4259" w14:textId="77777777" w:rsidR="00880EF6" w:rsidRDefault="008E6519">
            <w:r>
              <w:rPr>
                <w:rFonts w:ascii="Courier New" w:eastAsia="Courier New" w:hAnsi="Courier New" w:cs="Courier New"/>
                <w:b/>
                <w:bCs/>
                <w:color w:val="4A4A6A"/>
                <w:sz w:val="19"/>
                <w:szCs w:val="19"/>
              </w:rPr>
              <w:t>1</w:t>
            </w:r>
          </w:p>
        </w:tc>
        <w:tc>
          <w:tcPr>
            <w:tcW w:w="1400" w:type="dxa"/>
            <w:shd w:val="clear" w:color="auto" w:fill="FFFFFF"/>
            <w:tcMar>
              <w:top w:w="80" w:type="dxa"/>
              <w:left w:w="100" w:type="dxa"/>
              <w:bottom w:w="80" w:type="dxa"/>
              <w:right w:w="100" w:type="dxa"/>
            </w:tcMar>
          </w:tcPr>
          <w:p w14:paraId="1BED1B1D" w14:textId="77777777" w:rsidR="00880EF6" w:rsidRDefault="008E6519">
            <w:r>
              <w:rPr>
                <w:b/>
                <w:bCs/>
                <w:color w:val="2D3561"/>
                <w:sz w:val="19"/>
                <w:szCs w:val="19"/>
              </w:rPr>
              <w:t>Enron Public Financials</w:t>
            </w:r>
          </w:p>
        </w:tc>
        <w:tc>
          <w:tcPr>
            <w:tcW w:w="600" w:type="dxa"/>
            <w:shd w:val="clear" w:color="auto" w:fill="FFFFFF"/>
            <w:tcMar>
              <w:top w:w="80" w:type="dxa"/>
              <w:left w:w="100" w:type="dxa"/>
              <w:bottom w:w="80" w:type="dxa"/>
              <w:right w:w="100" w:type="dxa"/>
            </w:tcMar>
          </w:tcPr>
          <w:p w14:paraId="7235E5A6"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FFFFF"/>
            <w:tcMar>
              <w:top w:w="80" w:type="dxa"/>
              <w:left w:w="100" w:type="dxa"/>
              <w:bottom w:w="80" w:type="dxa"/>
              <w:right w:w="100" w:type="dxa"/>
            </w:tcMar>
          </w:tcPr>
          <w:p w14:paraId="18B80166" w14:textId="77777777" w:rsidR="00880EF6" w:rsidRDefault="008E6519">
            <w:r>
              <w:rPr>
                <w:sz w:val="19"/>
                <w:szCs w:val="19"/>
              </w:rPr>
              <w:t>Enron annual report FY1997: revenue $20.3B, net income $105M. Company described as 'the world's leading energy company.' Debt-to-equity ratio 0.63. Report emphasises pipeline business stability and growth in energy trading division.</w:t>
            </w:r>
          </w:p>
        </w:tc>
        <w:tc>
          <w:tcPr>
            <w:tcW w:w="3160" w:type="dxa"/>
            <w:shd w:val="clear" w:color="auto" w:fill="FFFEF5"/>
            <w:tcMar>
              <w:top w:w="80" w:type="dxa"/>
              <w:left w:w="100" w:type="dxa"/>
              <w:bottom w:w="80" w:type="dxa"/>
              <w:right w:w="100" w:type="dxa"/>
            </w:tcMar>
          </w:tcPr>
          <w:p w14:paraId="661A75B4" w14:textId="77777777" w:rsidR="00880EF6" w:rsidRDefault="008E6519">
            <w:r>
              <w:rPr>
                <w:i/>
                <w:iCs/>
                <w:color w:val="4A4040"/>
                <w:sz w:val="19"/>
                <w:szCs w:val="19"/>
              </w:rPr>
              <w:t xml:space="preserve">Low-medium SI. The numbers look solid at period 1. This establishes your baseline. Watch SI: it should be low. The structural incongruence will appear when you start entering the SEC and trading domain signals and see </w:t>
            </w:r>
            <w:r>
              <w:rPr>
                <w:i/>
                <w:iCs/>
                <w:color w:val="4A4040"/>
                <w:sz w:val="19"/>
                <w:szCs w:val="19"/>
              </w:rPr>
              <w:lastRenderedPageBreak/>
              <w:t>what the same period looks like from those angles.</w:t>
            </w:r>
          </w:p>
        </w:tc>
      </w:tr>
      <w:tr w:rsidR="006C5E57" w14:paraId="03C483BD" w14:textId="77777777">
        <w:tc>
          <w:tcPr>
            <w:tcW w:w="400" w:type="dxa"/>
            <w:shd w:val="clear" w:color="auto" w:fill="F5F5FA"/>
            <w:tcMar>
              <w:top w:w="80" w:type="dxa"/>
              <w:left w:w="100" w:type="dxa"/>
              <w:bottom w:w="80" w:type="dxa"/>
              <w:right w:w="100" w:type="dxa"/>
            </w:tcMar>
          </w:tcPr>
          <w:p w14:paraId="6081C78B" w14:textId="77777777" w:rsidR="00880EF6" w:rsidRDefault="008E6519">
            <w:r>
              <w:rPr>
                <w:rFonts w:ascii="Courier New" w:eastAsia="Courier New" w:hAnsi="Courier New" w:cs="Courier New"/>
                <w:b/>
                <w:bCs/>
                <w:color w:val="4A4A6A"/>
                <w:sz w:val="19"/>
                <w:szCs w:val="19"/>
              </w:rPr>
              <w:lastRenderedPageBreak/>
              <w:t>2</w:t>
            </w:r>
          </w:p>
        </w:tc>
        <w:tc>
          <w:tcPr>
            <w:tcW w:w="1400" w:type="dxa"/>
            <w:shd w:val="clear" w:color="auto" w:fill="F5F5FA"/>
            <w:tcMar>
              <w:top w:w="80" w:type="dxa"/>
              <w:left w:w="100" w:type="dxa"/>
              <w:bottom w:w="80" w:type="dxa"/>
              <w:right w:w="100" w:type="dxa"/>
            </w:tcMar>
          </w:tcPr>
          <w:p w14:paraId="6DD1077E" w14:textId="77777777" w:rsidR="00880EF6" w:rsidRDefault="008E6519">
            <w:r>
              <w:rPr>
                <w:b/>
                <w:bCs/>
                <w:color w:val="2D3561"/>
                <w:sz w:val="19"/>
                <w:szCs w:val="19"/>
              </w:rPr>
              <w:t>SEC Regulatory Filings</w:t>
            </w:r>
          </w:p>
        </w:tc>
        <w:tc>
          <w:tcPr>
            <w:tcW w:w="600" w:type="dxa"/>
            <w:shd w:val="clear" w:color="auto" w:fill="F5F5FA"/>
            <w:tcMar>
              <w:top w:w="80" w:type="dxa"/>
              <w:left w:w="100" w:type="dxa"/>
              <w:bottom w:w="80" w:type="dxa"/>
              <w:right w:w="100" w:type="dxa"/>
            </w:tcMar>
          </w:tcPr>
          <w:p w14:paraId="0719717A"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5F5FA"/>
            <w:tcMar>
              <w:top w:w="80" w:type="dxa"/>
              <w:left w:w="100" w:type="dxa"/>
              <w:bottom w:w="80" w:type="dxa"/>
              <w:right w:w="100" w:type="dxa"/>
            </w:tcMar>
          </w:tcPr>
          <w:p w14:paraId="7622FCCE" w14:textId="77777777" w:rsidR="00880EF6" w:rsidRDefault="008E6519">
            <w:r>
              <w:rPr>
                <w:sz w:val="19"/>
                <w:szCs w:val="19"/>
              </w:rPr>
              <w:t xml:space="preserve">Enron 10-K FY1997: footnote 8 discloses SPE arrangements — </w:t>
            </w:r>
            <w:proofErr w:type="spellStart"/>
            <w:r>
              <w:rPr>
                <w:sz w:val="19"/>
                <w:szCs w:val="19"/>
              </w:rPr>
              <w:t>Chewco</w:t>
            </w:r>
            <w:proofErr w:type="spellEnd"/>
            <w:r>
              <w:rPr>
                <w:sz w:val="19"/>
                <w:szCs w:val="19"/>
              </w:rPr>
              <w:t>, JEDI, LJM entities. Total SPE-related liabilities not consolidated on balance sheet: $711M. Footnote states consolidation not required per FAS 140 rules. Partnership managed by Enron CFO Andrew Fastow.</w:t>
            </w:r>
          </w:p>
        </w:tc>
        <w:tc>
          <w:tcPr>
            <w:tcW w:w="3160" w:type="dxa"/>
            <w:shd w:val="clear" w:color="auto" w:fill="FFFAF0"/>
            <w:tcMar>
              <w:top w:w="80" w:type="dxa"/>
              <w:left w:w="100" w:type="dxa"/>
              <w:bottom w:w="80" w:type="dxa"/>
              <w:right w:w="100" w:type="dxa"/>
            </w:tcMar>
          </w:tcPr>
          <w:p w14:paraId="37496079" w14:textId="77777777" w:rsidR="00880EF6" w:rsidRDefault="008E6519">
            <w:r>
              <w:rPr>
                <w:i/>
                <w:iCs/>
                <w:color w:val="4A4040"/>
                <w:sz w:val="19"/>
                <w:szCs w:val="19"/>
              </w:rPr>
              <w:t>Medium SI — this is a structural incongruence signal. The public statement (Signal 1) shows a healthy balance sheet. The SEC footnote shows $711M of liabilities that are NOT on that balance sheet, managed by the CFO. The admissibility boundary (FAS 140 rules) is being used to determine what gets excluded. Watch whether CIS scores the SI_DIRECTION dimension high here — the direction of the boundary is away from disclosure.</w:t>
            </w:r>
          </w:p>
        </w:tc>
      </w:tr>
      <w:tr w:rsidR="006C5E57" w14:paraId="587FE6A2" w14:textId="77777777">
        <w:tc>
          <w:tcPr>
            <w:tcW w:w="400" w:type="dxa"/>
            <w:shd w:val="clear" w:color="auto" w:fill="FFFFFF"/>
            <w:tcMar>
              <w:top w:w="80" w:type="dxa"/>
              <w:left w:w="100" w:type="dxa"/>
              <w:bottom w:w="80" w:type="dxa"/>
              <w:right w:w="100" w:type="dxa"/>
            </w:tcMar>
          </w:tcPr>
          <w:p w14:paraId="443366E2" w14:textId="77777777" w:rsidR="00880EF6" w:rsidRDefault="008E6519">
            <w:r>
              <w:rPr>
                <w:rFonts w:ascii="Courier New" w:eastAsia="Courier New" w:hAnsi="Courier New" w:cs="Courier New"/>
                <w:b/>
                <w:bCs/>
                <w:color w:val="4A4A6A"/>
                <w:sz w:val="19"/>
                <w:szCs w:val="19"/>
              </w:rPr>
              <w:t>3</w:t>
            </w:r>
          </w:p>
        </w:tc>
        <w:tc>
          <w:tcPr>
            <w:tcW w:w="1400" w:type="dxa"/>
            <w:shd w:val="clear" w:color="auto" w:fill="FFFFFF"/>
            <w:tcMar>
              <w:top w:w="80" w:type="dxa"/>
              <w:left w:w="100" w:type="dxa"/>
              <w:bottom w:w="80" w:type="dxa"/>
              <w:right w:w="100" w:type="dxa"/>
            </w:tcMar>
          </w:tcPr>
          <w:p w14:paraId="02FEC9FE" w14:textId="77777777" w:rsidR="00880EF6" w:rsidRDefault="008E6519">
            <w:r>
              <w:rPr>
                <w:b/>
                <w:bCs/>
                <w:color w:val="2D3561"/>
                <w:sz w:val="19"/>
                <w:szCs w:val="19"/>
              </w:rPr>
              <w:t>Enron Trading Operations</w:t>
            </w:r>
          </w:p>
        </w:tc>
        <w:tc>
          <w:tcPr>
            <w:tcW w:w="600" w:type="dxa"/>
            <w:shd w:val="clear" w:color="auto" w:fill="FFFFFF"/>
            <w:tcMar>
              <w:top w:w="80" w:type="dxa"/>
              <w:left w:w="100" w:type="dxa"/>
              <w:bottom w:w="80" w:type="dxa"/>
              <w:right w:w="100" w:type="dxa"/>
            </w:tcMar>
          </w:tcPr>
          <w:p w14:paraId="0397B93E"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FFFFF"/>
            <w:tcMar>
              <w:top w:w="80" w:type="dxa"/>
              <w:left w:w="100" w:type="dxa"/>
              <w:bottom w:w="80" w:type="dxa"/>
              <w:right w:w="100" w:type="dxa"/>
            </w:tcMar>
          </w:tcPr>
          <w:p w14:paraId="6EAA3A31" w14:textId="77777777" w:rsidR="00880EF6" w:rsidRDefault="008E6519">
            <w:r>
              <w:rPr>
                <w:sz w:val="19"/>
                <w:szCs w:val="19"/>
              </w:rPr>
              <w:t>Trading desk FY1997 internal review: $1.2B of long-term energy contracts valued on mark-to-market basis. Estimated future value used as current revenue. Contracts span 5–</w:t>
            </w:r>
            <w:proofErr w:type="gramStart"/>
            <w:r>
              <w:rPr>
                <w:sz w:val="19"/>
                <w:szCs w:val="19"/>
              </w:rPr>
              <w:t>20 year</w:t>
            </w:r>
            <w:proofErr w:type="gramEnd"/>
            <w:r>
              <w:rPr>
                <w:sz w:val="19"/>
                <w:szCs w:val="19"/>
              </w:rPr>
              <w:t xml:space="preserve"> durations. Actual cash not received. Revenue recognition approved by Arthur Andersen.</w:t>
            </w:r>
          </w:p>
        </w:tc>
        <w:tc>
          <w:tcPr>
            <w:tcW w:w="3160" w:type="dxa"/>
            <w:shd w:val="clear" w:color="auto" w:fill="FFFEF5"/>
            <w:tcMar>
              <w:top w:w="80" w:type="dxa"/>
              <w:left w:w="100" w:type="dxa"/>
              <w:bottom w:w="80" w:type="dxa"/>
              <w:right w:w="100" w:type="dxa"/>
            </w:tcMar>
          </w:tcPr>
          <w:p w14:paraId="13876341" w14:textId="77777777" w:rsidR="00880EF6" w:rsidRDefault="008E6519">
            <w:r>
              <w:rPr>
                <w:i/>
                <w:iCs/>
                <w:color w:val="4A4040"/>
                <w:sz w:val="19"/>
                <w:szCs w:val="19"/>
              </w:rPr>
              <w:t>High SI — mark-to-market accounting books 20-year contract value today, but cash doesn't arrive for years. The structural incongruence: reported income includes large amounts that have not materialised and may never materialise at those values. This tests SI scoring on rate-of-change dimension: revenue growing fast but cash flow growing slowly.</w:t>
            </w:r>
          </w:p>
        </w:tc>
      </w:tr>
      <w:tr w:rsidR="006C5E57" w14:paraId="7FFC12AE" w14:textId="77777777">
        <w:tc>
          <w:tcPr>
            <w:tcW w:w="400" w:type="dxa"/>
            <w:shd w:val="clear" w:color="auto" w:fill="F5F5FA"/>
            <w:tcMar>
              <w:top w:w="80" w:type="dxa"/>
              <w:left w:w="100" w:type="dxa"/>
              <w:bottom w:w="80" w:type="dxa"/>
              <w:right w:w="100" w:type="dxa"/>
            </w:tcMar>
          </w:tcPr>
          <w:p w14:paraId="6DA0492E" w14:textId="77777777" w:rsidR="00880EF6" w:rsidRDefault="008E6519">
            <w:r>
              <w:rPr>
                <w:rFonts w:ascii="Courier New" w:eastAsia="Courier New" w:hAnsi="Courier New" w:cs="Courier New"/>
                <w:b/>
                <w:bCs/>
                <w:color w:val="4A4A6A"/>
                <w:sz w:val="19"/>
                <w:szCs w:val="19"/>
              </w:rPr>
              <w:t>4</w:t>
            </w:r>
          </w:p>
        </w:tc>
        <w:tc>
          <w:tcPr>
            <w:tcW w:w="1400" w:type="dxa"/>
            <w:shd w:val="clear" w:color="auto" w:fill="F5F5FA"/>
            <w:tcMar>
              <w:top w:w="80" w:type="dxa"/>
              <w:left w:w="100" w:type="dxa"/>
              <w:bottom w:w="80" w:type="dxa"/>
              <w:right w:w="100" w:type="dxa"/>
            </w:tcMar>
          </w:tcPr>
          <w:p w14:paraId="39245B87" w14:textId="77777777" w:rsidR="00880EF6" w:rsidRDefault="008E6519">
            <w:r>
              <w:rPr>
                <w:b/>
                <w:bCs/>
                <w:color w:val="2D3561"/>
                <w:sz w:val="19"/>
                <w:szCs w:val="19"/>
              </w:rPr>
              <w:t>Employee Retirement Accounts</w:t>
            </w:r>
          </w:p>
        </w:tc>
        <w:tc>
          <w:tcPr>
            <w:tcW w:w="600" w:type="dxa"/>
            <w:shd w:val="clear" w:color="auto" w:fill="F5F5FA"/>
            <w:tcMar>
              <w:top w:w="80" w:type="dxa"/>
              <w:left w:w="100" w:type="dxa"/>
              <w:bottom w:w="80" w:type="dxa"/>
              <w:right w:w="100" w:type="dxa"/>
            </w:tcMar>
          </w:tcPr>
          <w:p w14:paraId="42D82096" w14:textId="77777777" w:rsidR="00880EF6" w:rsidRDefault="008E6519">
            <w:pPr>
              <w:jc w:val="center"/>
            </w:pPr>
            <w:r>
              <w:rPr>
                <w:rFonts w:ascii="Courier New" w:eastAsia="Courier New" w:hAnsi="Courier New" w:cs="Courier New"/>
                <w:color w:val="4A4A6A"/>
                <w:sz w:val="19"/>
                <w:szCs w:val="19"/>
              </w:rPr>
              <w:t>1</w:t>
            </w:r>
          </w:p>
        </w:tc>
        <w:tc>
          <w:tcPr>
            <w:tcW w:w="3800" w:type="dxa"/>
            <w:shd w:val="clear" w:color="auto" w:fill="F5F5FA"/>
            <w:tcMar>
              <w:top w:w="80" w:type="dxa"/>
              <w:left w:w="100" w:type="dxa"/>
              <w:bottom w:w="80" w:type="dxa"/>
              <w:right w:w="100" w:type="dxa"/>
            </w:tcMar>
          </w:tcPr>
          <w:p w14:paraId="7866EC76" w14:textId="77777777" w:rsidR="00880EF6" w:rsidRDefault="008E6519">
            <w:r>
              <w:rPr>
                <w:sz w:val="19"/>
                <w:szCs w:val="19"/>
              </w:rPr>
              <w:t>Enron 401k plan: 62% of employee retirement assets held in Enron stock. Annual company stock contribution to 401k: mandatory Enron shares. Employees encouraged to hold Enron stock as 'long-term investment.' CEO Kenneth Lay publicly advises employees to buy Enron stock in all-hands communications.</w:t>
            </w:r>
          </w:p>
        </w:tc>
        <w:tc>
          <w:tcPr>
            <w:tcW w:w="3160" w:type="dxa"/>
            <w:shd w:val="clear" w:color="auto" w:fill="FFFAF0"/>
            <w:tcMar>
              <w:top w:w="80" w:type="dxa"/>
              <w:left w:w="100" w:type="dxa"/>
              <w:bottom w:w="80" w:type="dxa"/>
              <w:right w:w="100" w:type="dxa"/>
            </w:tcMar>
          </w:tcPr>
          <w:p w14:paraId="1F8A6022" w14:textId="77777777" w:rsidR="00880EF6" w:rsidRDefault="008E6519">
            <w:r>
              <w:rPr>
                <w:i/>
                <w:iCs/>
                <w:color w:val="4A4040"/>
                <w:sz w:val="19"/>
                <w:szCs w:val="19"/>
              </w:rPr>
              <w:t>Medium SI. High concentration in a single stock for retirement accounts is structurally incongruent with standard diversification practice. Not a smoking gun at period 1 — companies often hold significant employee stock positions. This becomes significant in context of what the executives are doing with their own shares (Signal 11).</w:t>
            </w:r>
          </w:p>
        </w:tc>
      </w:tr>
      <w:tr w:rsidR="006C5E57" w14:paraId="4B2F07D7" w14:textId="77777777">
        <w:tc>
          <w:tcPr>
            <w:tcW w:w="400" w:type="dxa"/>
            <w:shd w:val="clear" w:color="auto" w:fill="FFFFFF"/>
            <w:tcMar>
              <w:top w:w="80" w:type="dxa"/>
              <w:left w:w="100" w:type="dxa"/>
              <w:bottom w:w="80" w:type="dxa"/>
              <w:right w:w="100" w:type="dxa"/>
            </w:tcMar>
          </w:tcPr>
          <w:p w14:paraId="22D763D8" w14:textId="77777777" w:rsidR="00880EF6" w:rsidRDefault="008E6519">
            <w:r>
              <w:rPr>
                <w:rFonts w:ascii="Courier New" w:eastAsia="Courier New" w:hAnsi="Courier New" w:cs="Courier New"/>
                <w:b/>
                <w:bCs/>
                <w:color w:val="4A4A6A"/>
                <w:sz w:val="19"/>
                <w:szCs w:val="19"/>
              </w:rPr>
              <w:t>5</w:t>
            </w:r>
          </w:p>
        </w:tc>
        <w:tc>
          <w:tcPr>
            <w:tcW w:w="1400" w:type="dxa"/>
            <w:shd w:val="clear" w:color="auto" w:fill="FFFFFF"/>
            <w:tcMar>
              <w:top w:w="80" w:type="dxa"/>
              <w:left w:w="100" w:type="dxa"/>
              <w:bottom w:w="80" w:type="dxa"/>
              <w:right w:w="100" w:type="dxa"/>
            </w:tcMar>
          </w:tcPr>
          <w:p w14:paraId="3C1E0F3D" w14:textId="77777777" w:rsidR="00880EF6" w:rsidRDefault="008E6519">
            <w:r>
              <w:rPr>
                <w:b/>
                <w:bCs/>
                <w:color w:val="2D3561"/>
                <w:sz w:val="19"/>
                <w:szCs w:val="19"/>
              </w:rPr>
              <w:t>Enron Public Financials</w:t>
            </w:r>
          </w:p>
        </w:tc>
        <w:tc>
          <w:tcPr>
            <w:tcW w:w="600" w:type="dxa"/>
            <w:shd w:val="clear" w:color="auto" w:fill="FFFFFF"/>
            <w:tcMar>
              <w:top w:w="80" w:type="dxa"/>
              <w:left w:w="100" w:type="dxa"/>
              <w:bottom w:w="80" w:type="dxa"/>
              <w:right w:w="100" w:type="dxa"/>
            </w:tcMar>
          </w:tcPr>
          <w:p w14:paraId="683B72B8"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FFFFF"/>
            <w:tcMar>
              <w:top w:w="80" w:type="dxa"/>
              <w:left w:w="100" w:type="dxa"/>
              <w:bottom w:w="80" w:type="dxa"/>
              <w:right w:w="100" w:type="dxa"/>
            </w:tcMar>
          </w:tcPr>
          <w:p w14:paraId="4BACFBB2" w14:textId="77777777" w:rsidR="00880EF6" w:rsidRDefault="008E6519">
            <w:r>
              <w:rPr>
                <w:sz w:val="19"/>
                <w:szCs w:val="19"/>
              </w:rPr>
              <w:t>Enron FY1998: revenue $31.2B (+54%). Net income $703M (+570%). Debt-to-equity 0.71. Earnings per share growth 28%. Analyst consensus: BUY. Management forecast FY1999 growth 20%.</w:t>
            </w:r>
          </w:p>
        </w:tc>
        <w:tc>
          <w:tcPr>
            <w:tcW w:w="3160" w:type="dxa"/>
            <w:shd w:val="clear" w:color="auto" w:fill="FFFEF5"/>
            <w:tcMar>
              <w:top w:w="80" w:type="dxa"/>
              <w:left w:w="100" w:type="dxa"/>
              <w:bottom w:w="80" w:type="dxa"/>
              <w:right w:w="100" w:type="dxa"/>
            </w:tcMar>
          </w:tcPr>
          <w:p w14:paraId="4640C95C" w14:textId="77777777" w:rsidR="00880EF6" w:rsidRDefault="008E6519">
            <w:r>
              <w:rPr>
                <w:i/>
                <w:iCs/>
                <w:color w:val="4A4040"/>
                <w:sz w:val="19"/>
                <w:szCs w:val="19"/>
              </w:rPr>
              <w:t>Medium SI — the revenue growth rate (+54% in one year) is structurally incongruent with the underlying pipeline business, which grew 3%. The incongruence: where is the growth coming from? Combined with Signal 3 (mark-to-market trading), the rate-of-change dimension should score high. Enter this and check if the cross-domain connection to Signal 3 fires.</w:t>
            </w:r>
          </w:p>
        </w:tc>
      </w:tr>
      <w:tr w:rsidR="006C5E57" w14:paraId="25B1D021" w14:textId="77777777">
        <w:tc>
          <w:tcPr>
            <w:tcW w:w="400" w:type="dxa"/>
            <w:shd w:val="clear" w:color="auto" w:fill="F5F5FA"/>
            <w:tcMar>
              <w:top w:w="80" w:type="dxa"/>
              <w:left w:w="100" w:type="dxa"/>
              <w:bottom w:w="80" w:type="dxa"/>
              <w:right w:w="100" w:type="dxa"/>
            </w:tcMar>
          </w:tcPr>
          <w:p w14:paraId="5BC5E92F" w14:textId="77777777" w:rsidR="00880EF6" w:rsidRDefault="008E6519">
            <w:r>
              <w:rPr>
                <w:rFonts w:ascii="Courier New" w:eastAsia="Courier New" w:hAnsi="Courier New" w:cs="Courier New"/>
                <w:b/>
                <w:bCs/>
                <w:color w:val="4A4A6A"/>
                <w:sz w:val="19"/>
                <w:szCs w:val="19"/>
              </w:rPr>
              <w:lastRenderedPageBreak/>
              <w:t>6</w:t>
            </w:r>
          </w:p>
        </w:tc>
        <w:tc>
          <w:tcPr>
            <w:tcW w:w="1400" w:type="dxa"/>
            <w:shd w:val="clear" w:color="auto" w:fill="F5F5FA"/>
            <w:tcMar>
              <w:top w:w="80" w:type="dxa"/>
              <w:left w:w="100" w:type="dxa"/>
              <w:bottom w:w="80" w:type="dxa"/>
              <w:right w:w="100" w:type="dxa"/>
            </w:tcMar>
          </w:tcPr>
          <w:p w14:paraId="528F94DA" w14:textId="77777777" w:rsidR="00880EF6" w:rsidRDefault="008E6519">
            <w:r>
              <w:rPr>
                <w:b/>
                <w:bCs/>
                <w:color w:val="2D3561"/>
                <w:sz w:val="19"/>
                <w:szCs w:val="19"/>
              </w:rPr>
              <w:t>SEC Regulatory Filings</w:t>
            </w:r>
          </w:p>
        </w:tc>
        <w:tc>
          <w:tcPr>
            <w:tcW w:w="600" w:type="dxa"/>
            <w:shd w:val="clear" w:color="auto" w:fill="F5F5FA"/>
            <w:tcMar>
              <w:top w:w="80" w:type="dxa"/>
              <w:left w:w="100" w:type="dxa"/>
              <w:bottom w:w="80" w:type="dxa"/>
              <w:right w:w="100" w:type="dxa"/>
            </w:tcMar>
          </w:tcPr>
          <w:p w14:paraId="694E54CC"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5F5FA"/>
            <w:tcMar>
              <w:top w:w="80" w:type="dxa"/>
              <w:left w:w="100" w:type="dxa"/>
              <w:bottom w:w="80" w:type="dxa"/>
              <w:right w:w="100" w:type="dxa"/>
            </w:tcMar>
          </w:tcPr>
          <w:p w14:paraId="7D17FBA2" w14:textId="77777777" w:rsidR="00880EF6" w:rsidRDefault="008E6519">
            <w:r>
              <w:rPr>
                <w:sz w:val="19"/>
                <w:szCs w:val="19"/>
              </w:rPr>
              <w:t>Enron 10-K FY1998: SPE disclosures expanded. LJM Cayman LP and LJM2 Co-Investment LP formed. Total off-balance-sheet obligations now $2.1B (up from $711M). Footnote 11: SPE structures require Enron to maintain investment-grade credit rating to avoid consolidation trigger. If Enron credit rating falls below BBB, SPE liabilities must be consolidated onto balance sheet.</w:t>
            </w:r>
          </w:p>
        </w:tc>
        <w:tc>
          <w:tcPr>
            <w:tcW w:w="3160" w:type="dxa"/>
            <w:shd w:val="clear" w:color="auto" w:fill="FFFAF0"/>
            <w:tcMar>
              <w:top w:w="80" w:type="dxa"/>
              <w:left w:w="100" w:type="dxa"/>
              <w:bottom w:w="80" w:type="dxa"/>
              <w:right w:w="100" w:type="dxa"/>
            </w:tcMar>
          </w:tcPr>
          <w:p w14:paraId="1C1D7AC7" w14:textId="77777777" w:rsidR="00880EF6" w:rsidRDefault="008E6519">
            <w:r>
              <w:rPr>
                <w:i/>
                <w:iCs/>
                <w:color w:val="4A4040"/>
                <w:sz w:val="19"/>
                <w:szCs w:val="19"/>
              </w:rPr>
              <w:t>High SI — this is the trigger mechanism. The off-balance-sheet liabilities ($2.1B, now tripled from period 1) will collapse back onto the balance sheet if Enron's credit rating falls. This is a threshold instability signal: the system is in a fragile equilibrium maintained by one variable (credit rating). SI should be very high on SI_CONFIGURATION dimension — the constraint architecture is designed to exclude these liabilities only as long as the credit threshold holds.</w:t>
            </w:r>
          </w:p>
        </w:tc>
      </w:tr>
      <w:tr w:rsidR="006C5E57" w14:paraId="20FDA7B4" w14:textId="77777777">
        <w:tc>
          <w:tcPr>
            <w:tcW w:w="400" w:type="dxa"/>
            <w:shd w:val="clear" w:color="auto" w:fill="FFFFFF"/>
            <w:tcMar>
              <w:top w:w="80" w:type="dxa"/>
              <w:left w:w="100" w:type="dxa"/>
              <w:bottom w:w="80" w:type="dxa"/>
              <w:right w:w="100" w:type="dxa"/>
            </w:tcMar>
          </w:tcPr>
          <w:p w14:paraId="26EA62B9" w14:textId="77777777" w:rsidR="00880EF6" w:rsidRDefault="008E6519">
            <w:r>
              <w:rPr>
                <w:rFonts w:ascii="Courier New" w:eastAsia="Courier New" w:hAnsi="Courier New" w:cs="Courier New"/>
                <w:b/>
                <w:bCs/>
                <w:color w:val="4A4A6A"/>
                <w:sz w:val="19"/>
                <w:szCs w:val="19"/>
              </w:rPr>
              <w:t>7</w:t>
            </w:r>
          </w:p>
        </w:tc>
        <w:tc>
          <w:tcPr>
            <w:tcW w:w="1400" w:type="dxa"/>
            <w:shd w:val="clear" w:color="auto" w:fill="FFFFFF"/>
            <w:tcMar>
              <w:top w:w="80" w:type="dxa"/>
              <w:left w:w="100" w:type="dxa"/>
              <w:bottom w:w="80" w:type="dxa"/>
              <w:right w:w="100" w:type="dxa"/>
            </w:tcMar>
          </w:tcPr>
          <w:p w14:paraId="08DA0A6F" w14:textId="77777777" w:rsidR="00880EF6" w:rsidRDefault="008E6519">
            <w:r>
              <w:rPr>
                <w:b/>
                <w:bCs/>
                <w:color w:val="2D3561"/>
                <w:sz w:val="19"/>
                <w:szCs w:val="19"/>
              </w:rPr>
              <w:t>Enron Trading Operations</w:t>
            </w:r>
          </w:p>
        </w:tc>
        <w:tc>
          <w:tcPr>
            <w:tcW w:w="600" w:type="dxa"/>
            <w:shd w:val="clear" w:color="auto" w:fill="FFFFFF"/>
            <w:tcMar>
              <w:top w:w="80" w:type="dxa"/>
              <w:left w:w="100" w:type="dxa"/>
              <w:bottom w:w="80" w:type="dxa"/>
              <w:right w:w="100" w:type="dxa"/>
            </w:tcMar>
          </w:tcPr>
          <w:p w14:paraId="2FCEF2C8" w14:textId="77777777" w:rsidR="00880EF6" w:rsidRDefault="008E6519">
            <w:pPr>
              <w:jc w:val="center"/>
            </w:pPr>
            <w:r>
              <w:rPr>
                <w:rFonts w:ascii="Courier New" w:eastAsia="Courier New" w:hAnsi="Courier New" w:cs="Courier New"/>
                <w:color w:val="4A4A6A"/>
                <w:sz w:val="19"/>
                <w:szCs w:val="19"/>
              </w:rPr>
              <w:t>2</w:t>
            </w:r>
          </w:p>
        </w:tc>
        <w:tc>
          <w:tcPr>
            <w:tcW w:w="3800" w:type="dxa"/>
            <w:shd w:val="clear" w:color="auto" w:fill="FFFFFF"/>
            <w:tcMar>
              <w:top w:w="80" w:type="dxa"/>
              <w:left w:w="100" w:type="dxa"/>
              <w:bottom w:w="80" w:type="dxa"/>
              <w:right w:w="100" w:type="dxa"/>
            </w:tcMar>
          </w:tcPr>
          <w:p w14:paraId="3144ADD0" w14:textId="77777777" w:rsidR="00880EF6" w:rsidRDefault="008E6519">
            <w:r>
              <w:rPr>
                <w:sz w:val="19"/>
                <w:szCs w:val="19"/>
              </w:rPr>
              <w:t>FY1998 mark-to-market valuations: total forward contract book marked at $6.8B. Of this, $2.4B in contracts with counterparties whose creditworthiness has not been independently verified. Valuation models produced internally, not reviewed by external market participants. Internal audit note: 'mark assumptions aggressive relative to market.'</w:t>
            </w:r>
          </w:p>
        </w:tc>
        <w:tc>
          <w:tcPr>
            <w:tcW w:w="3160" w:type="dxa"/>
            <w:shd w:val="clear" w:color="auto" w:fill="FFFEF5"/>
            <w:tcMar>
              <w:top w:w="80" w:type="dxa"/>
              <w:left w:w="100" w:type="dxa"/>
              <w:bottom w:w="80" w:type="dxa"/>
              <w:right w:w="100" w:type="dxa"/>
            </w:tcMar>
          </w:tcPr>
          <w:p w14:paraId="32CCBF28" w14:textId="77777777" w:rsidR="00880EF6" w:rsidRDefault="008E6519">
            <w:r>
              <w:rPr>
                <w:i/>
                <w:iCs/>
                <w:color w:val="4A4040"/>
                <w:sz w:val="19"/>
                <w:szCs w:val="19"/>
              </w:rPr>
              <w:t>High SI — 'aggressive relative to market' is an internal assessment that revenue may be overstated. Combined with Signal 5 (public financials showing 54% revenue growth), this cross-domain pair should show high correspondence. Watch whether CIS connects Signals 5 and 7 as a contradiction or as a cross-domain connection pointing to HCL.</w:t>
            </w:r>
          </w:p>
        </w:tc>
      </w:tr>
      <w:tr w:rsidR="006C5E57" w14:paraId="21F4416A" w14:textId="77777777">
        <w:tc>
          <w:tcPr>
            <w:tcW w:w="400" w:type="dxa"/>
            <w:shd w:val="clear" w:color="auto" w:fill="F5F5FA"/>
            <w:tcMar>
              <w:top w:w="80" w:type="dxa"/>
              <w:left w:w="100" w:type="dxa"/>
              <w:bottom w:w="80" w:type="dxa"/>
              <w:right w:w="100" w:type="dxa"/>
            </w:tcMar>
          </w:tcPr>
          <w:p w14:paraId="4A07BA57" w14:textId="77777777" w:rsidR="00880EF6" w:rsidRDefault="008E6519">
            <w:r>
              <w:rPr>
                <w:rFonts w:ascii="Courier New" w:eastAsia="Courier New" w:hAnsi="Courier New" w:cs="Courier New"/>
                <w:b/>
                <w:bCs/>
                <w:color w:val="4A4A6A"/>
                <w:sz w:val="19"/>
                <w:szCs w:val="19"/>
              </w:rPr>
              <w:t>8</w:t>
            </w:r>
          </w:p>
        </w:tc>
        <w:tc>
          <w:tcPr>
            <w:tcW w:w="1400" w:type="dxa"/>
            <w:shd w:val="clear" w:color="auto" w:fill="F5F5FA"/>
            <w:tcMar>
              <w:top w:w="80" w:type="dxa"/>
              <w:left w:w="100" w:type="dxa"/>
              <w:bottom w:w="80" w:type="dxa"/>
              <w:right w:w="100" w:type="dxa"/>
            </w:tcMar>
          </w:tcPr>
          <w:p w14:paraId="2584670F" w14:textId="77777777" w:rsidR="00880EF6" w:rsidRDefault="008E6519">
            <w:r>
              <w:rPr>
                <w:b/>
                <w:bCs/>
                <w:color w:val="2D3561"/>
                <w:sz w:val="19"/>
                <w:szCs w:val="19"/>
              </w:rPr>
              <w:t>Employee Retirement Accounts</w:t>
            </w:r>
          </w:p>
        </w:tc>
        <w:tc>
          <w:tcPr>
            <w:tcW w:w="600" w:type="dxa"/>
            <w:shd w:val="clear" w:color="auto" w:fill="F5F5FA"/>
            <w:tcMar>
              <w:top w:w="80" w:type="dxa"/>
              <w:left w:w="100" w:type="dxa"/>
              <w:bottom w:w="80" w:type="dxa"/>
              <w:right w:w="100" w:type="dxa"/>
            </w:tcMar>
          </w:tcPr>
          <w:p w14:paraId="637280EA"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5F5FA"/>
            <w:tcMar>
              <w:top w:w="80" w:type="dxa"/>
              <w:left w:w="100" w:type="dxa"/>
              <w:bottom w:w="80" w:type="dxa"/>
              <w:right w:w="100" w:type="dxa"/>
            </w:tcMar>
          </w:tcPr>
          <w:p w14:paraId="3AC88260" w14:textId="77777777" w:rsidR="00880EF6" w:rsidRDefault="008E6519">
            <w:r>
              <w:rPr>
                <w:sz w:val="19"/>
                <w:szCs w:val="19"/>
              </w:rPr>
              <w:t>FY1999 401k records: Enron executives including CFO Andrew Fastow and CEO Kenneth Lay exercised stock options totalling $67M across FY1999. All proceeds sold immediately. Employee 401k plans: lock-up restriction on employee-contributed Enron shares in place — employees cannot sell until age 50 or termination.</w:t>
            </w:r>
          </w:p>
        </w:tc>
        <w:tc>
          <w:tcPr>
            <w:tcW w:w="3160" w:type="dxa"/>
            <w:shd w:val="clear" w:color="auto" w:fill="FFFAF0"/>
            <w:tcMar>
              <w:top w:w="80" w:type="dxa"/>
              <w:left w:w="100" w:type="dxa"/>
              <w:bottom w:w="80" w:type="dxa"/>
              <w:right w:w="100" w:type="dxa"/>
            </w:tcMar>
          </w:tcPr>
          <w:p w14:paraId="393E6FE5" w14:textId="77777777" w:rsidR="00880EF6" w:rsidRDefault="008E6519">
            <w:r>
              <w:rPr>
                <w:i/>
                <w:iCs/>
                <w:color w:val="4A4040"/>
                <w:sz w:val="19"/>
                <w:szCs w:val="19"/>
              </w:rPr>
              <w:t>Very high SI — executives are selling $67M of Enron stock while simultaneously advising employees to buy and hold. Admissibility boundary modification: the lock-up restriction was changed in FY1999, extending the period employees cannot sell. The direction of this boundary change is asymmetric — restricted for employees, open for executives. This tests SI_DIRECTION scoring.</w:t>
            </w:r>
          </w:p>
        </w:tc>
      </w:tr>
      <w:tr w:rsidR="006C5E57" w14:paraId="32EBEBE1" w14:textId="77777777">
        <w:tc>
          <w:tcPr>
            <w:tcW w:w="400" w:type="dxa"/>
            <w:shd w:val="clear" w:color="auto" w:fill="FFFFFF"/>
            <w:tcMar>
              <w:top w:w="80" w:type="dxa"/>
              <w:left w:w="100" w:type="dxa"/>
              <w:bottom w:w="80" w:type="dxa"/>
              <w:right w:w="100" w:type="dxa"/>
            </w:tcMar>
          </w:tcPr>
          <w:p w14:paraId="58063982" w14:textId="77777777" w:rsidR="00880EF6" w:rsidRDefault="008E6519">
            <w:r>
              <w:rPr>
                <w:rFonts w:ascii="Courier New" w:eastAsia="Courier New" w:hAnsi="Courier New" w:cs="Courier New"/>
                <w:b/>
                <w:bCs/>
                <w:color w:val="4A4A6A"/>
                <w:sz w:val="19"/>
                <w:szCs w:val="19"/>
              </w:rPr>
              <w:t>9</w:t>
            </w:r>
          </w:p>
        </w:tc>
        <w:tc>
          <w:tcPr>
            <w:tcW w:w="1400" w:type="dxa"/>
            <w:shd w:val="clear" w:color="auto" w:fill="FFFFFF"/>
            <w:tcMar>
              <w:top w:w="80" w:type="dxa"/>
              <w:left w:w="100" w:type="dxa"/>
              <w:bottom w:w="80" w:type="dxa"/>
              <w:right w:w="100" w:type="dxa"/>
            </w:tcMar>
          </w:tcPr>
          <w:p w14:paraId="01D902BA" w14:textId="77777777" w:rsidR="00880EF6" w:rsidRDefault="008E6519">
            <w:r>
              <w:rPr>
                <w:b/>
                <w:bCs/>
                <w:color w:val="2D3561"/>
                <w:sz w:val="19"/>
                <w:szCs w:val="19"/>
              </w:rPr>
              <w:t>Enron Public Financials</w:t>
            </w:r>
          </w:p>
        </w:tc>
        <w:tc>
          <w:tcPr>
            <w:tcW w:w="600" w:type="dxa"/>
            <w:shd w:val="clear" w:color="auto" w:fill="FFFFFF"/>
            <w:tcMar>
              <w:top w:w="80" w:type="dxa"/>
              <w:left w:w="100" w:type="dxa"/>
              <w:bottom w:w="80" w:type="dxa"/>
              <w:right w:w="100" w:type="dxa"/>
            </w:tcMar>
          </w:tcPr>
          <w:p w14:paraId="7D4A4C85" w14:textId="77777777" w:rsidR="00880EF6" w:rsidRDefault="008E6519">
            <w:pPr>
              <w:jc w:val="center"/>
            </w:pPr>
            <w:r>
              <w:rPr>
                <w:rFonts w:ascii="Courier New" w:eastAsia="Courier New" w:hAnsi="Courier New" w:cs="Courier New"/>
                <w:color w:val="4A4A6A"/>
                <w:sz w:val="19"/>
                <w:szCs w:val="19"/>
              </w:rPr>
              <w:t>3</w:t>
            </w:r>
          </w:p>
        </w:tc>
        <w:tc>
          <w:tcPr>
            <w:tcW w:w="3800" w:type="dxa"/>
            <w:shd w:val="clear" w:color="auto" w:fill="FFFFFF"/>
            <w:tcMar>
              <w:top w:w="80" w:type="dxa"/>
              <w:left w:w="100" w:type="dxa"/>
              <w:bottom w:w="80" w:type="dxa"/>
              <w:right w:w="100" w:type="dxa"/>
            </w:tcMar>
          </w:tcPr>
          <w:p w14:paraId="266677F1" w14:textId="77777777" w:rsidR="00880EF6" w:rsidRDefault="008E6519">
            <w:r>
              <w:rPr>
                <w:sz w:val="19"/>
                <w:szCs w:val="19"/>
              </w:rPr>
              <w:t>Enron Q3 FY1999 earnings release: 'Enron continues to lead the energy industry. Our diversified business model delivers consistent earnings growth. We are confident in our FY2000 outlook and raise guidance to 25% EPS growth.' Stock price $62. Fortune magazine names Enron 'Most Innovative Company in America' for fourth consecutive year.</w:t>
            </w:r>
          </w:p>
        </w:tc>
        <w:tc>
          <w:tcPr>
            <w:tcW w:w="3160" w:type="dxa"/>
            <w:shd w:val="clear" w:color="auto" w:fill="FFFEF5"/>
            <w:tcMar>
              <w:top w:w="80" w:type="dxa"/>
              <w:left w:w="100" w:type="dxa"/>
              <w:bottom w:w="80" w:type="dxa"/>
              <w:right w:w="100" w:type="dxa"/>
            </w:tcMar>
          </w:tcPr>
          <w:p w14:paraId="44141910" w14:textId="77777777" w:rsidR="00880EF6" w:rsidRDefault="008E6519">
            <w:r>
              <w:rPr>
                <w:i/>
                <w:iCs/>
                <w:color w:val="4A4040"/>
                <w:sz w:val="19"/>
                <w:szCs w:val="19"/>
              </w:rPr>
              <w:t xml:space="preserve">Low-medium SI from the public statement alone. But cross-domain: at period 3, you now have $2.4B in potentially overstated mark-to-market contracts (Signal 7), $2.1B off-balance-sheet (Signal 6), executives selling (Signal 8), and a public statement claiming consistent earnings growth. The public statement should now generate a cross-domain </w:t>
            </w:r>
            <w:r>
              <w:rPr>
                <w:i/>
                <w:iCs/>
                <w:color w:val="4A4040"/>
                <w:sz w:val="19"/>
                <w:szCs w:val="19"/>
              </w:rPr>
              <w:lastRenderedPageBreak/>
              <w:t>contradiction with Signals 6, 7, and 8.</w:t>
            </w:r>
          </w:p>
        </w:tc>
      </w:tr>
      <w:tr w:rsidR="006C5E57" w14:paraId="5D857B05" w14:textId="77777777">
        <w:tc>
          <w:tcPr>
            <w:tcW w:w="400" w:type="dxa"/>
            <w:shd w:val="clear" w:color="auto" w:fill="F5F5FA"/>
            <w:tcMar>
              <w:top w:w="80" w:type="dxa"/>
              <w:left w:w="100" w:type="dxa"/>
              <w:bottom w:w="80" w:type="dxa"/>
              <w:right w:w="100" w:type="dxa"/>
            </w:tcMar>
          </w:tcPr>
          <w:p w14:paraId="26882259" w14:textId="77777777" w:rsidR="00880EF6" w:rsidRDefault="008E6519">
            <w:r>
              <w:rPr>
                <w:rFonts w:ascii="Courier New" w:eastAsia="Courier New" w:hAnsi="Courier New" w:cs="Courier New"/>
                <w:b/>
                <w:bCs/>
                <w:color w:val="4A4A6A"/>
                <w:sz w:val="19"/>
                <w:szCs w:val="19"/>
              </w:rPr>
              <w:lastRenderedPageBreak/>
              <w:t>10</w:t>
            </w:r>
          </w:p>
        </w:tc>
        <w:tc>
          <w:tcPr>
            <w:tcW w:w="1400" w:type="dxa"/>
            <w:shd w:val="clear" w:color="auto" w:fill="F5F5FA"/>
            <w:tcMar>
              <w:top w:w="80" w:type="dxa"/>
              <w:left w:w="100" w:type="dxa"/>
              <w:bottom w:w="80" w:type="dxa"/>
              <w:right w:w="100" w:type="dxa"/>
            </w:tcMar>
          </w:tcPr>
          <w:p w14:paraId="4F9A7305" w14:textId="77777777" w:rsidR="00880EF6" w:rsidRDefault="008E6519">
            <w:r>
              <w:rPr>
                <w:b/>
                <w:bCs/>
                <w:color w:val="2D3561"/>
                <w:sz w:val="19"/>
                <w:szCs w:val="19"/>
              </w:rPr>
              <w:t>SEC Regulatory Filings</w:t>
            </w:r>
          </w:p>
        </w:tc>
        <w:tc>
          <w:tcPr>
            <w:tcW w:w="600" w:type="dxa"/>
            <w:shd w:val="clear" w:color="auto" w:fill="F5F5FA"/>
            <w:tcMar>
              <w:top w:w="80" w:type="dxa"/>
              <w:left w:w="100" w:type="dxa"/>
              <w:bottom w:w="80" w:type="dxa"/>
              <w:right w:w="100" w:type="dxa"/>
            </w:tcMar>
          </w:tcPr>
          <w:p w14:paraId="733B539D"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5F5FA"/>
            <w:tcMar>
              <w:top w:w="80" w:type="dxa"/>
              <w:left w:w="100" w:type="dxa"/>
              <w:bottom w:w="80" w:type="dxa"/>
              <w:right w:w="100" w:type="dxa"/>
            </w:tcMar>
          </w:tcPr>
          <w:p w14:paraId="4603B535" w14:textId="77777777" w:rsidR="00880EF6" w:rsidRDefault="008E6519">
            <w:r>
              <w:rPr>
                <w:sz w:val="19"/>
                <w:szCs w:val="19"/>
              </w:rPr>
              <w:t>Enron 10-K FY2000: SPE obligations now $3.9B off-balance-sheet. New footnote: Enron has guaranteed SPE debt with Enron stock as collateral — if Enron stock falls below $47/share, additional collateral required. If stock falls below $34/share, SPE structures collapse and all obligations consolidate. Stock at time of filing: $68/share.</w:t>
            </w:r>
          </w:p>
        </w:tc>
        <w:tc>
          <w:tcPr>
            <w:tcW w:w="3160" w:type="dxa"/>
            <w:shd w:val="clear" w:color="auto" w:fill="FFFAF0"/>
            <w:tcMar>
              <w:top w:w="80" w:type="dxa"/>
              <w:left w:w="100" w:type="dxa"/>
              <w:bottom w:w="80" w:type="dxa"/>
              <w:right w:w="100" w:type="dxa"/>
            </w:tcMar>
          </w:tcPr>
          <w:p w14:paraId="174B7FCF" w14:textId="77777777" w:rsidR="00880EF6" w:rsidRDefault="008E6519">
            <w:r>
              <w:rPr>
                <w:i/>
                <w:iCs/>
                <w:color w:val="4A4040"/>
                <w:sz w:val="19"/>
                <w:szCs w:val="19"/>
              </w:rPr>
              <w:t>Very high SI — now you can see the full fragility structure. The SPE system will collapse if stock falls 50%. The stock-as-collateral for SPE-debt is load displacement in its most extreme form: the liabilities that should be on the balance sheet are being kept off it by the stock price that the public statements are supporting. The fragility accumulation rate should score at maximum.</w:t>
            </w:r>
          </w:p>
        </w:tc>
      </w:tr>
      <w:tr w:rsidR="006C5E57" w14:paraId="337FFA29" w14:textId="77777777">
        <w:tc>
          <w:tcPr>
            <w:tcW w:w="400" w:type="dxa"/>
            <w:shd w:val="clear" w:color="auto" w:fill="FFFFFF"/>
            <w:tcMar>
              <w:top w:w="80" w:type="dxa"/>
              <w:left w:w="100" w:type="dxa"/>
              <w:bottom w:w="80" w:type="dxa"/>
              <w:right w:w="100" w:type="dxa"/>
            </w:tcMar>
          </w:tcPr>
          <w:p w14:paraId="3F5F6DA6" w14:textId="77777777" w:rsidR="00880EF6" w:rsidRDefault="008E6519">
            <w:r>
              <w:rPr>
                <w:rFonts w:ascii="Courier New" w:eastAsia="Courier New" w:hAnsi="Courier New" w:cs="Courier New"/>
                <w:b/>
                <w:bCs/>
                <w:color w:val="4A4A6A"/>
                <w:sz w:val="19"/>
                <w:szCs w:val="19"/>
              </w:rPr>
              <w:t>11</w:t>
            </w:r>
          </w:p>
        </w:tc>
        <w:tc>
          <w:tcPr>
            <w:tcW w:w="1400" w:type="dxa"/>
            <w:shd w:val="clear" w:color="auto" w:fill="FFFFFF"/>
            <w:tcMar>
              <w:top w:w="80" w:type="dxa"/>
              <w:left w:w="100" w:type="dxa"/>
              <w:bottom w:w="80" w:type="dxa"/>
              <w:right w:w="100" w:type="dxa"/>
            </w:tcMar>
          </w:tcPr>
          <w:p w14:paraId="4AFE56D1" w14:textId="77777777" w:rsidR="00880EF6" w:rsidRDefault="008E6519">
            <w:r>
              <w:rPr>
                <w:b/>
                <w:bCs/>
                <w:color w:val="2D3561"/>
                <w:sz w:val="19"/>
                <w:szCs w:val="19"/>
              </w:rPr>
              <w:t>Enron Trading Operations</w:t>
            </w:r>
          </w:p>
        </w:tc>
        <w:tc>
          <w:tcPr>
            <w:tcW w:w="600" w:type="dxa"/>
            <w:shd w:val="clear" w:color="auto" w:fill="FFFFFF"/>
            <w:tcMar>
              <w:top w:w="80" w:type="dxa"/>
              <w:left w:w="100" w:type="dxa"/>
              <w:bottom w:w="80" w:type="dxa"/>
              <w:right w:w="100" w:type="dxa"/>
            </w:tcMar>
          </w:tcPr>
          <w:p w14:paraId="1A555DC7"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FFFFF"/>
            <w:tcMar>
              <w:top w:w="80" w:type="dxa"/>
              <w:left w:w="100" w:type="dxa"/>
              <w:bottom w:w="80" w:type="dxa"/>
              <w:right w:w="100" w:type="dxa"/>
            </w:tcMar>
          </w:tcPr>
          <w:p w14:paraId="57FB6A91" w14:textId="77777777" w:rsidR="00880EF6" w:rsidRDefault="008E6519">
            <w:r>
              <w:rPr>
                <w:sz w:val="19"/>
                <w:szCs w:val="19"/>
              </w:rPr>
              <w:t>FY2000 trading operations: total mark-to-market book $12.8B. External audit note (Arthur Andersen): 'significant portion of Enron's reported earnings dependent on mark-to-market valuations that cannot be independently verified by external market data.' Internal memo, not disclosed publicly. Andersen classified Enron as 'maximum risk' client.</w:t>
            </w:r>
          </w:p>
        </w:tc>
        <w:tc>
          <w:tcPr>
            <w:tcW w:w="3160" w:type="dxa"/>
            <w:shd w:val="clear" w:color="auto" w:fill="FFFEF5"/>
            <w:tcMar>
              <w:top w:w="80" w:type="dxa"/>
              <w:left w:w="100" w:type="dxa"/>
              <w:bottom w:w="80" w:type="dxa"/>
              <w:right w:w="100" w:type="dxa"/>
            </w:tcMar>
          </w:tcPr>
          <w:p w14:paraId="63341D42" w14:textId="77777777" w:rsidR="00880EF6" w:rsidRDefault="008E6519">
            <w:r>
              <w:rPr>
                <w:i/>
                <w:iCs/>
                <w:color w:val="4A4040"/>
                <w:sz w:val="19"/>
                <w:szCs w:val="19"/>
              </w:rPr>
              <w:t>Very high SI — Arthur Andersen's internal classification of Enron as 'maximum risk' while publicly auditing its books as clean is a direct structural contradiction. This is the RC-1 territory: the audit certification (public) and the internal risk classification (private) are from the same source, directly contradicting each other. Register this as a contradiction with Signal 9 (public earnings statement).</w:t>
            </w:r>
          </w:p>
        </w:tc>
      </w:tr>
      <w:tr w:rsidR="006C5E57" w14:paraId="31554A8D" w14:textId="77777777">
        <w:tc>
          <w:tcPr>
            <w:tcW w:w="400" w:type="dxa"/>
            <w:shd w:val="clear" w:color="auto" w:fill="F5F5FA"/>
            <w:tcMar>
              <w:top w:w="80" w:type="dxa"/>
              <w:left w:w="100" w:type="dxa"/>
              <w:bottom w:w="80" w:type="dxa"/>
              <w:right w:w="100" w:type="dxa"/>
            </w:tcMar>
          </w:tcPr>
          <w:p w14:paraId="5396E8AC" w14:textId="77777777" w:rsidR="00880EF6" w:rsidRDefault="008E6519">
            <w:r>
              <w:rPr>
                <w:rFonts w:ascii="Courier New" w:eastAsia="Courier New" w:hAnsi="Courier New" w:cs="Courier New"/>
                <w:b/>
                <w:bCs/>
                <w:color w:val="4A4A6A"/>
                <w:sz w:val="19"/>
                <w:szCs w:val="19"/>
              </w:rPr>
              <w:t>12</w:t>
            </w:r>
          </w:p>
        </w:tc>
        <w:tc>
          <w:tcPr>
            <w:tcW w:w="1400" w:type="dxa"/>
            <w:shd w:val="clear" w:color="auto" w:fill="F5F5FA"/>
            <w:tcMar>
              <w:top w:w="80" w:type="dxa"/>
              <w:left w:w="100" w:type="dxa"/>
              <w:bottom w:w="80" w:type="dxa"/>
              <w:right w:w="100" w:type="dxa"/>
            </w:tcMar>
          </w:tcPr>
          <w:p w14:paraId="5F68FE6D" w14:textId="77777777" w:rsidR="00880EF6" w:rsidRDefault="008E6519">
            <w:r>
              <w:rPr>
                <w:b/>
                <w:bCs/>
                <w:color w:val="2D3561"/>
                <w:sz w:val="19"/>
                <w:szCs w:val="19"/>
              </w:rPr>
              <w:t>Employee Retirement Accounts</w:t>
            </w:r>
          </w:p>
        </w:tc>
        <w:tc>
          <w:tcPr>
            <w:tcW w:w="600" w:type="dxa"/>
            <w:shd w:val="clear" w:color="auto" w:fill="F5F5FA"/>
            <w:tcMar>
              <w:top w:w="80" w:type="dxa"/>
              <w:left w:w="100" w:type="dxa"/>
              <w:bottom w:w="80" w:type="dxa"/>
              <w:right w:w="100" w:type="dxa"/>
            </w:tcMar>
          </w:tcPr>
          <w:p w14:paraId="59F583AC" w14:textId="77777777" w:rsidR="00880EF6" w:rsidRDefault="008E6519">
            <w:pPr>
              <w:jc w:val="center"/>
            </w:pPr>
            <w:r>
              <w:rPr>
                <w:rFonts w:ascii="Courier New" w:eastAsia="Courier New" w:hAnsi="Courier New" w:cs="Courier New"/>
                <w:color w:val="4A4A6A"/>
                <w:sz w:val="19"/>
                <w:szCs w:val="19"/>
              </w:rPr>
              <w:t>4</w:t>
            </w:r>
          </w:p>
        </w:tc>
        <w:tc>
          <w:tcPr>
            <w:tcW w:w="3800" w:type="dxa"/>
            <w:shd w:val="clear" w:color="auto" w:fill="F5F5FA"/>
            <w:tcMar>
              <w:top w:w="80" w:type="dxa"/>
              <w:left w:w="100" w:type="dxa"/>
              <w:bottom w:w="80" w:type="dxa"/>
              <w:right w:w="100" w:type="dxa"/>
            </w:tcMar>
          </w:tcPr>
          <w:p w14:paraId="3AC942CA" w14:textId="77777777" w:rsidR="00880EF6" w:rsidRDefault="008E6519">
            <w:r>
              <w:rPr>
                <w:sz w:val="19"/>
                <w:szCs w:val="19"/>
              </w:rPr>
              <w:t xml:space="preserve">FY2000: additional 5,200 Enron employees enrolled in 401k with mandatory Enron stock component. Lock-up period extended to age 55 for new </w:t>
            </w:r>
            <w:proofErr w:type="spellStart"/>
            <w:r>
              <w:rPr>
                <w:sz w:val="19"/>
                <w:szCs w:val="19"/>
              </w:rPr>
              <w:t>enrollees</w:t>
            </w:r>
            <w:proofErr w:type="spellEnd"/>
            <w:r>
              <w:rPr>
                <w:sz w:val="19"/>
                <w:szCs w:val="19"/>
              </w:rPr>
              <w:t>. Executive stock options: $245M exercised and sold across FY2000 by top 20 executives. Enron HR communication to employees: 'Enron stock is the safest investment in your portfolio.'</w:t>
            </w:r>
          </w:p>
        </w:tc>
        <w:tc>
          <w:tcPr>
            <w:tcW w:w="3160" w:type="dxa"/>
            <w:shd w:val="clear" w:color="auto" w:fill="FFFAF0"/>
            <w:tcMar>
              <w:top w:w="80" w:type="dxa"/>
              <w:left w:w="100" w:type="dxa"/>
              <w:bottom w:w="80" w:type="dxa"/>
              <w:right w:w="100" w:type="dxa"/>
            </w:tcMar>
          </w:tcPr>
          <w:p w14:paraId="56140909" w14:textId="77777777" w:rsidR="00880EF6" w:rsidRDefault="008E6519">
            <w:r>
              <w:rPr>
                <w:i/>
                <w:iCs/>
                <w:color w:val="4A4040"/>
                <w:sz w:val="19"/>
                <w:szCs w:val="19"/>
              </w:rPr>
              <w:t>High SI — the asymmetry is now at maximum: executives have sold $312M of Enron stock across FY1999–2000 while extending employee lock-up periods and characterising Enron stock as 'the safest investment.' This is extractive coherence: the internal stability of executive compensation is maintained by loading fragility onto employees who cannot exit.</w:t>
            </w:r>
          </w:p>
        </w:tc>
      </w:tr>
      <w:tr w:rsidR="006C5E57" w14:paraId="69B2F275" w14:textId="77777777">
        <w:tc>
          <w:tcPr>
            <w:tcW w:w="400" w:type="dxa"/>
            <w:shd w:val="clear" w:color="auto" w:fill="FFFFFF"/>
            <w:tcMar>
              <w:top w:w="80" w:type="dxa"/>
              <w:left w:w="100" w:type="dxa"/>
              <w:bottom w:w="80" w:type="dxa"/>
              <w:right w:w="100" w:type="dxa"/>
            </w:tcMar>
          </w:tcPr>
          <w:p w14:paraId="2559173F" w14:textId="77777777" w:rsidR="00880EF6" w:rsidRDefault="008E6519">
            <w:r>
              <w:rPr>
                <w:rFonts w:ascii="Courier New" w:eastAsia="Courier New" w:hAnsi="Courier New" w:cs="Courier New"/>
                <w:b/>
                <w:bCs/>
                <w:color w:val="4A4A6A"/>
                <w:sz w:val="19"/>
                <w:szCs w:val="19"/>
              </w:rPr>
              <w:t>13</w:t>
            </w:r>
          </w:p>
        </w:tc>
        <w:tc>
          <w:tcPr>
            <w:tcW w:w="1400" w:type="dxa"/>
            <w:shd w:val="clear" w:color="auto" w:fill="FFFFFF"/>
            <w:tcMar>
              <w:top w:w="80" w:type="dxa"/>
              <w:left w:w="100" w:type="dxa"/>
              <w:bottom w:w="80" w:type="dxa"/>
              <w:right w:w="100" w:type="dxa"/>
            </w:tcMar>
          </w:tcPr>
          <w:p w14:paraId="65DD95EA" w14:textId="77777777" w:rsidR="00880EF6" w:rsidRDefault="008E6519">
            <w:r>
              <w:rPr>
                <w:b/>
                <w:bCs/>
                <w:color w:val="2D3561"/>
                <w:sz w:val="19"/>
                <w:szCs w:val="19"/>
              </w:rPr>
              <w:t>Enron Public Financials</w:t>
            </w:r>
          </w:p>
        </w:tc>
        <w:tc>
          <w:tcPr>
            <w:tcW w:w="600" w:type="dxa"/>
            <w:shd w:val="clear" w:color="auto" w:fill="FFFFFF"/>
            <w:tcMar>
              <w:top w:w="80" w:type="dxa"/>
              <w:left w:w="100" w:type="dxa"/>
              <w:bottom w:w="80" w:type="dxa"/>
              <w:right w:w="100" w:type="dxa"/>
            </w:tcMar>
          </w:tcPr>
          <w:p w14:paraId="00CD1D89" w14:textId="77777777" w:rsidR="00880EF6" w:rsidRDefault="008E6519">
            <w:pPr>
              <w:jc w:val="center"/>
            </w:pPr>
            <w:r>
              <w:rPr>
                <w:rFonts w:ascii="Courier New" w:eastAsia="Courier New" w:hAnsi="Courier New" w:cs="Courier New"/>
                <w:color w:val="4A4A6A"/>
                <w:sz w:val="19"/>
                <w:szCs w:val="19"/>
              </w:rPr>
              <w:t>5</w:t>
            </w:r>
          </w:p>
        </w:tc>
        <w:tc>
          <w:tcPr>
            <w:tcW w:w="3800" w:type="dxa"/>
            <w:shd w:val="clear" w:color="auto" w:fill="FFFFFF"/>
            <w:tcMar>
              <w:top w:w="80" w:type="dxa"/>
              <w:left w:w="100" w:type="dxa"/>
              <w:bottom w:w="80" w:type="dxa"/>
              <w:right w:w="100" w:type="dxa"/>
            </w:tcMar>
          </w:tcPr>
          <w:p w14:paraId="57F2B6FB" w14:textId="77777777" w:rsidR="00880EF6" w:rsidRDefault="008E6519">
            <w:r>
              <w:rPr>
                <w:sz w:val="19"/>
                <w:szCs w:val="19"/>
              </w:rPr>
              <w:t>August 2001: Enron stock at $42 (below the $47 collateral trigger in Signal 10's SPE structure). CEO Kenneth Lay sells additional $30M of Enron stock. Internal all-hands memo to employees: 'The third quarter is looking great. I am personally buying more Enron stock.' Enron issues press release affirming FY2001 guidance.</w:t>
            </w:r>
          </w:p>
        </w:tc>
        <w:tc>
          <w:tcPr>
            <w:tcW w:w="3160" w:type="dxa"/>
            <w:shd w:val="clear" w:color="auto" w:fill="FFFEF5"/>
            <w:tcMar>
              <w:top w:w="80" w:type="dxa"/>
              <w:left w:w="100" w:type="dxa"/>
              <w:bottom w:w="80" w:type="dxa"/>
              <w:right w:w="100" w:type="dxa"/>
            </w:tcMar>
          </w:tcPr>
          <w:p w14:paraId="1562AD74" w14:textId="77777777" w:rsidR="00880EF6" w:rsidRDefault="008E6519">
            <w:r>
              <w:rPr>
                <w:i/>
                <w:iCs/>
                <w:color w:val="4A4040"/>
                <w:sz w:val="19"/>
                <w:szCs w:val="19"/>
              </w:rPr>
              <w:t>This is the terminal signal. CEO is selling while telling employees to buy. Stock is below the SPE collateral trigger. You now have a direct contradiction between the internal executive behaviour (selling) and the public employee communication (buy). This is the most direct LP-7 scenario: if a conventional investigation closed after each individual signal, these signals would never have been connected.</w:t>
            </w:r>
          </w:p>
        </w:tc>
      </w:tr>
      <w:tr w:rsidR="006C5E57" w14:paraId="252380BB" w14:textId="77777777">
        <w:tc>
          <w:tcPr>
            <w:tcW w:w="400" w:type="dxa"/>
            <w:shd w:val="clear" w:color="auto" w:fill="F5F5FA"/>
            <w:tcMar>
              <w:top w:w="80" w:type="dxa"/>
              <w:left w:w="100" w:type="dxa"/>
              <w:bottom w:w="80" w:type="dxa"/>
              <w:right w:w="100" w:type="dxa"/>
            </w:tcMar>
          </w:tcPr>
          <w:p w14:paraId="251DA128" w14:textId="77777777" w:rsidR="00880EF6" w:rsidRDefault="008E6519">
            <w:r>
              <w:rPr>
                <w:rFonts w:ascii="Courier New" w:eastAsia="Courier New" w:hAnsi="Courier New" w:cs="Courier New"/>
                <w:b/>
                <w:bCs/>
                <w:color w:val="4A4A6A"/>
                <w:sz w:val="19"/>
                <w:szCs w:val="19"/>
              </w:rPr>
              <w:lastRenderedPageBreak/>
              <w:t>14</w:t>
            </w:r>
          </w:p>
        </w:tc>
        <w:tc>
          <w:tcPr>
            <w:tcW w:w="1400" w:type="dxa"/>
            <w:shd w:val="clear" w:color="auto" w:fill="F5F5FA"/>
            <w:tcMar>
              <w:top w:w="80" w:type="dxa"/>
              <w:left w:w="100" w:type="dxa"/>
              <w:bottom w:w="80" w:type="dxa"/>
              <w:right w:w="100" w:type="dxa"/>
            </w:tcMar>
          </w:tcPr>
          <w:p w14:paraId="7CBC4016" w14:textId="77777777" w:rsidR="00880EF6" w:rsidRDefault="008E6519">
            <w:r>
              <w:rPr>
                <w:b/>
                <w:bCs/>
                <w:color w:val="2D3561"/>
                <w:sz w:val="19"/>
                <w:szCs w:val="19"/>
              </w:rPr>
              <w:t>SEC Regulatory Filings</w:t>
            </w:r>
          </w:p>
        </w:tc>
        <w:tc>
          <w:tcPr>
            <w:tcW w:w="600" w:type="dxa"/>
            <w:shd w:val="clear" w:color="auto" w:fill="F5F5FA"/>
            <w:tcMar>
              <w:top w:w="80" w:type="dxa"/>
              <w:left w:w="100" w:type="dxa"/>
              <w:bottom w:w="80" w:type="dxa"/>
              <w:right w:w="100" w:type="dxa"/>
            </w:tcMar>
          </w:tcPr>
          <w:p w14:paraId="5CF393E9" w14:textId="77777777" w:rsidR="00880EF6" w:rsidRDefault="008E6519">
            <w:pPr>
              <w:jc w:val="center"/>
            </w:pPr>
            <w:r>
              <w:rPr>
                <w:rFonts w:ascii="Courier New" w:eastAsia="Courier New" w:hAnsi="Courier New" w:cs="Courier New"/>
                <w:color w:val="4A4A6A"/>
                <w:sz w:val="19"/>
                <w:szCs w:val="19"/>
              </w:rPr>
              <w:t>6</w:t>
            </w:r>
          </w:p>
        </w:tc>
        <w:tc>
          <w:tcPr>
            <w:tcW w:w="3800" w:type="dxa"/>
            <w:shd w:val="clear" w:color="auto" w:fill="F5F5FA"/>
            <w:tcMar>
              <w:top w:w="80" w:type="dxa"/>
              <w:left w:w="100" w:type="dxa"/>
              <w:bottom w:w="80" w:type="dxa"/>
              <w:right w:w="100" w:type="dxa"/>
            </w:tcMar>
          </w:tcPr>
          <w:p w14:paraId="077E3EAB" w14:textId="77777777" w:rsidR="00880EF6" w:rsidRDefault="008E6519">
            <w:r>
              <w:rPr>
                <w:sz w:val="19"/>
                <w:szCs w:val="19"/>
              </w:rPr>
              <w:t>October 2001: Enron files 8-K announcing $1.2B write-down related to SPE unwinding. SEC opens investigation. November 2001: Enron restates earnings FY1997–2001 — $586M in previously reported net income was fictitious. December 2001: Enron files for bankruptcy. $63B in assets, largest corporate bankruptcy in US history at that time.</w:t>
            </w:r>
          </w:p>
        </w:tc>
        <w:tc>
          <w:tcPr>
            <w:tcW w:w="3160" w:type="dxa"/>
            <w:shd w:val="clear" w:color="auto" w:fill="FFFAF0"/>
            <w:tcMar>
              <w:top w:w="80" w:type="dxa"/>
              <w:left w:w="100" w:type="dxa"/>
              <w:bottom w:w="80" w:type="dxa"/>
              <w:right w:w="100" w:type="dxa"/>
            </w:tcMar>
          </w:tcPr>
          <w:p w14:paraId="1136E49D" w14:textId="77777777" w:rsidR="00880EF6" w:rsidRDefault="008E6519">
            <w:r>
              <w:rPr>
                <w:i/>
                <w:iCs/>
                <w:color w:val="4A4040"/>
                <w:sz w:val="19"/>
                <w:szCs w:val="19"/>
              </w:rPr>
              <w:t>The collapse signal. All previous signals now resolved against this outcome. HCL hypothesis confirmed: the shared structural cause across all four domains was systematic load displacement from Enron's balance sheet to SPE Recipient entities, maintained by mark-to-market valuation inflation and admissibility boundary manipulation (accounting rules), sustained only by the stock price used as collateral.</w:t>
            </w:r>
          </w:p>
        </w:tc>
      </w:tr>
    </w:tbl>
    <w:p w14:paraId="012128EF" w14:textId="77777777" w:rsidR="00880EF6" w:rsidRDefault="00880EF6">
      <w:pPr>
        <w:spacing w:before="200"/>
      </w:pPr>
    </w:p>
    <w:p w14:paraId="702C1165" w14:textId="77777777" w:rsidR="00880EF6" w:rsidRDefault="008E6519">
      <w:pPr>
        <w:pStyle w:val="Ttulo2"/>
      </w:pPr>
      <w:r>
        <w:t>Step 4 — Register Contradictions</w:t>
      </w:r>
    </w:p>
    <w:p w14:paraId="65A445D8" w14:textId="77777777" w:rsidR="00880EF6" w:rsidRDefault="008E6519">
      <w:pPr>
        <w:spacing w:before="80" w:after="80"/>
      </w:pPr>
      <w:r>
        <w:t>This case has two key contradictions to register:</w:t>
      </w:r>
    </w:p>
    <w:p w14:paraId="6A186DB8" w14:textId="77777777" w:rsidR="00880EF6" w:rsidRDefault="00880E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64FF08D2" w14:textId="77777777">
        <w:trPr>
          <w:tblHeader/>
        </w:trPr>
        <w:tc>
          <w:tcPr>
            <w:tcW w:w="4200" w:type="dxa"/>
            <w:shd w:val="clear" w:color="auto" w:fill="1A1A2E"/>
            <w:tcMar>
              <w:top w:w="80" w:type="dxa"/>
              <w:left w:w="100" w:type="dxa"/>
              <w:bottom w:w="80" w:type="dxa"/>
              <w:right w:w="100" w:type="dxa"/>
            </w:tcMar>
          </w:tcPr>
          <w:p w14:paraId="46362E85" w14:textId="77777777" w:rsidR="00880EF6" w:rsidRDefault="008E6519">
            <w:r>
              <w:rPr>
                <w:b/>
                <w:bCs/>
                <w:color w:val="C8B87A"/>
                <w:sz w:val="19"/>
                <w:szCs w:val="19"/>
              </w:rPr>
              <w:t>Action</w:t>
            </w:r>
          </w:p>
        </w:tc>
        <w:tc>
          <w:tcPr>
            <w:tcW w:w="5160" w:type="dxa"/>
            <w:shd w:val="clear" w:color="auto" w:fill="1A1A2E"/>
            <w:tcMar>
              <w:top w:w="80" w:type="dxa"/>
              <w:left w:w="100" w:type="dxa"/>
              <w:bottom w:w="80" w:type="dxa"/>
              <w:right w:w="100" w:type="dxa"/>
            </w:tcMar>
          </w:tcPr>
          <w:p w14:paraId="27A375C4" w14:textId="77777777" w:rsidR="00880EF6" w:rsidRDefault="008E6519">
            <w:r>
              <w:rPr>
                <w:b/>
                <w:bCs/>
                <w:color w:val="C8B87A"/>
                <w:sz w:val="19"/>
                <w:szCs w:val="19"/>
              </w:rPr>
              <w:t>What to enter</w:t>
            </w:r>
          </w:p>
        </w:tc>
      </w:tr>
      <w:tr w:rsidR="006C5E57" w14:paraId="1DC45B69" w14:textId="77777777">
        <w:tc>
          <w:tcPr>
            <w:tcW w:w="4200" w:type="dxa"/>
            <w:shd w:val="clear" w:color="auto" w:fill="FFFFFF"/>
            <w:tcMar>
              <w:top w:w="80" w:type="dxa"/>
              <w:left w:w="100" w:type="dxa"/>
              <w:bottom w:w="80" w:type="dxa"/>
              <w:right w:w="100" w:type="dxa"/>
            </w:tcMar>
          </w:tcPr>
          <w:p w14:paraId="525FCE86" w14:textId="77777777" w:rsidR="00880EF6" w:rsidRDefault="008E6519">
            <w:r>
              <w:rPr>
                <w:b/>
                <w:bCs/>
                <w:sz w:val="19"/>
                <w:szCs w:val="19"/>
              </w:rPr>
              <w:t>Contradiction 1 — Signal 9 vs Signal 7:</w:t>
            </w:r>
          </w:p>
        </w:tc>
        <w:tc>
          <w:tcPr>
            <w:tcW w:w="5160" w:type="dxa"/>
            <w:shd w:val="clear" w:color="auto" w:fill="FFFEF5"/>
            <w:tcMar>
              <w:top w:w="80" w:type="dxa"/>
              <w:left w:w="100" w:type="dxa"/>
              <w:bottom w:w="80" w:type="dxa"/>
              <w:right w:w="100" w:type="dxa"/>
            </w:tcMar>
          </w:tcPr>
          <w:p w14:paraId="4082DBAC" w14:textId="77777777" w:rsidR="00880EF6" w:rsidRDefault="008E6519">
            <w:r>
              <w:rPr>
                <w:color w:val="2D2D2D"/>
                <w:sz w:val="19"/>
                <w:szCs w:val="19"/>
              </w:rPr>
              <w:t>Signal 9 (Enron public statement: 'consistent earnings growth, confident outlook') vs Signal 7 (internal trading audit: 'mark assumptions aggressive, $2.4B in unverified valuations'). Description: Enron public statements assert earnings are genuine and outlook is positive. Internal trading operations audit identifies that a significant portion of reported earnings depends on aggressive mark-to-market assumptions that cannot be externally verified.</w:t>
            </w:r>
          </w:p>
        </w:tc>
      </w:tr>
      <w:tr w:rsidR="006C5E57" w14:paraId="6958BF67" w14:textId="77777777">
        <w:tc>
          <w:tcPr>
            <w:tcW w:w="4200" w:type="dxa"/>
            <w:shd w:val="clear" w:color="auto" w:fill="F5F5FA"/>
            <w:tcMar>
              <w:top w:w="80" w:type="dxa"/>
              <w:left w:w="100" w:type="dxa"/>
              <w:bottom w:w="80" w:type="dxa"/>
              <w:right w:w="100" w:type="dxa"/>
            </w:tcMar>
          </w:tcPr>
          <w:p w14:paraId="5ACFDA83" w14:textId="77777777" w:rsidR="00880EF6" w:rsidRDefault="008E6519">
            <w:r>
              <w:rPr>
                <w:b/>
                <w:bCs/>
                <w:sz w:val="19"/>
                <w:szCs w:val="19"/>
              </w:rPr>
              <w:t>Contradiction 1 resolution type:</w:t>
            </w:r>
          </w:p>
        </w:tc>
        <w:tc>
          <w:tcPr>
            <w:tcW w:w="5160" w:type="dxa"/>
            <w:shd w:val="clear" w:color="auto" w:fill="FFFAF0"/>
            <w:tcMar>
              <w:top w:w="80" w:type="dxa"/>
              <w:left w:w="100" w:type="dxa"/>
              <w:bottom w:w="80" w:type="dxa"/>
              <w:right w:w="100" w:type="dxa"/>
            </w:tcMar>
          </w:tcPr>
          <w:p w14:paraId="72FEC900" w14:textId="77777777" w:rsidR="00880EF6" w:rsidRDefault="008E6519">
            <w:r>
              <w:rPr>
                <w:color w:val="2D2D2D"/>
                <w:sz w:val="19"/>
                <w:szCs w:val="19"/>
              </w:rPr>
              <w:t>RC-3 — Domain resolution. Congressional investigation and SEC forensic accounting team with direct access to Enron books confirmed that mark-to-market valuations were materially overstated and could not be independently verified. Accepted account: Signal 7 (internal audit concern).</w:t>
            </w:r>
          </w:p>
        </w:tc>
      </w:tr>
      <w:tr w:rsidR="006C5E57" w14:paraId="69A10F90" w14:textId="77777777">
        <w:tc>
          <w:tcPr>
            <w:tcW w:w="4200" w:type="dxa"/>
            <w:shd w:val="clear" w:color="auto" w:fill="FFFFFF"/>
            <w:tcMar>
              <w:top w:w="80" w:type="dxa"/>
              <w:left w:w="100" w:type="dxa"/>
              <w:bottom w:w="80" w:type="dxa"/>
              <w:right w:w="100" w:type="dxa"/>
            </w:tcMar>
          </w:tcPr>
          <w:p w14:paraId="361F2628" w14:textId="77777777" w:rsidR="00880EF6" w:rsidRDefault="008E6519">
            <w:r>
              <w:rPr>
                <w:b/>
                <w:bCs/>
                <w:sz w:val="19"/>
                <w:szCs w:val="19"/>
              </w:rPr>
              <w:t>Contradiction 2 — Signal 12 vs Signal 13:</w:t>
            </w:r>
          </w:p>
        </w:tc>
        <w:tc>
          <w:tcPr>
            <w:tcW w:w="5160" w:type="dxa"/>
            <w:shd w:val="clear" w:color="auto" w:fill="FFFEF5"/>
            <w:tcMar>
              <w:top w:w="80" w:type="dxa"/>
              <w:left w:w="100" w:type="dxa"/>
              <w:bottom w:w="80" w:type="dxa"/>
              <w:right w:w="100" w:type="dxa"/>
            </w:tcMar>
          </w:tcPr>
          <w:p w14:paraId="6407991B" w14:textId="77777777" w:rsidR="00880EF6" w:rsidRDefault="008E6519">
            <w:r>
              <w:rPr>
                <w:color w:val="2D2D2D"/>
                <w:sz w:val="19"/>
                <w:szCs w:val="19"/>
              </w:rPr>
              <w:t>Signal 12 (Enron HR to employees: 'Enron stock is the safest investment in your portfolio') vs Signal 13 (CEO sells $30M of Enron stock in same period, stock below SPE collateral trigger). Description: Enron's public communications to employees assert that Enron stock is a safe investment. Simultaneously, the CEO is selling large volumes of that stock and the SPE structures have been triggered into collateral stress.</w:t>
            </w:r>
          </w:p>
        </w:tc>
      </w:tr>
      <w:tr w:rsidR="006C5E57" w14:paraId="1BFD4081" w14:textId="77777777">
        <w:tc>
          <w:tcPr>
            <w:tcW w:w="4200" w:type="dxa"/>
            <w:shd w:val="clear" w:color="auto" w:fill="F5F5FA"/>
            <w:tcMar>
              <w:top w:w="80" w:type="dxa"/>
              <w:left w:w="100" w:type="dxa"/>
              <w:bottom w:w="80" w:type="dxa"/>
              <w:right w:w="100" w:type="dxa"/>
            </w:tcMar>
          </w:tcPr>
          <w:p w14:paraId="42DC19D1" w14:textId="77777777" w:rsidR="00880EF6" w:rsidRDefault="008E6519">
            <w:r>
              <w:rPr>
                <w:b/>
                <w:bCs/>
                <w:sz w:val="19"/>
                <w:szCs w:val="19"/>
              </w:rPr>
              <w:t>Contradiction 2 resolution type:</w:t>
            </w:r>
          </w:p>
        </w:tc>
        <w:tc>
          <w:tcPr>
            <w:tcW w:w="5160" w:type="dxa"/>
            <w:shd w:val="clear" w:color="auto" w:fill="FFFAF0"/>
            <w:tcMar>
              <w:top w:w="80" w:type="dxa"/>
              <w:left w:w="100" w:type="dxa"/>
              <w:bottom w:w="80" w:type="dxa"/>
              <w:right w:w="100" w:type="dxa"/>
            </w:tcMar>
          </w:tcPr>
          <w:p w14:paraId="10D73F92" w14:textId="77777777" w:rsidR="00880EF6" w:rsidRDefault="008E6519">
            <w:r>
              <w:rPr>
                <w:color w:val="2D2D2D"/>
                <w:sz w:val="19"/>
                <w:szCs w:val="19"/>
              </w:rPr>
              <w:t>RC-2 — Falsification. If Enron stock were genuinely the safest investment, the CEO would not be selling $30M of it in August 2001 while advising employees to buy. CEO behaviour directly falsifies the claim. Accepted account: Signal 13 (CEO selling = revealed preference that the claim is false).</w:t>
            </w:r>
          </w:p>
        </w:tc>
      </w:tr>
    </w:tbl>
    <w:p w14:paraId="3B7C7C84" w14:textId="77777777" w:rsidR="00880EF6" w:rsidRDefault="00880EF6">
      <w:pPr>
        <w:spacing w:before="200"/>
      </w:pPr>
    </w:p>
    <w:p w14:paraId="31C19C2F" w14:textId="77777777" w:rsidR="00880EF6" w:rsidRDefault="008E6519">
      <w:pPr>
        <w:pStyle w:val="Ttulo2"/>
      </w:pPr>
      <w:r>
        <w:t>Step 5 — What the System Should Have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6D2E734C" w14:textId="77777777">
        <w:trPr>
          <w:tblHeader/>
        </w:trPr>
        <w:tc>
          <w:tcPr>
            <w:tcW w:w="4200" w:type="dxa"/>
            <w:shd w:val="clear" w:color="auto" w:fill="1A1A2E"/>
            <w:tcMar>
              <w:top w:w="80" w:type="dxa"/>
              <w:left w:w="100" w:type="dxa"/>
              <w:bottom w:w="80" w:type="dxa"/>
              <w:right w:w="100" w:type="dxa"/>
            </w:tcMar>
          </w:tcPr>
          <w:p w14:paraId="6B9194CF" w14:textId="77777777" w:rsidR="00880EF6" w:rsidRDefault="008E6519">
            <w:r>
              <w:rPr>
                <w:b/>
                <w:bCs/>
                <w:color w:val="C8B87A"/>
                <w:sz w:val="19"/>
                <w:szCs w:val="19"/>
              </w:rPr>
              <w:t>Expected behaviour</w:t>
            </w:r>
          </w:p>
        </w:tc>
        <w:tc>
          <w:tcPr>
            <w:tcW w:w="5160" w:type="dxa"/>
            <w:shd w:val="clear" w:color="auto" w:fill="1A1A2E"/>
            <w:tcMar>
              <w:top w:w="80" w:type="dxa"/>
              <w:left w:w="100" w:type="dxa"/>
              <w:bottom w:w="80" w:type="dxa"/>
              <w:right w:w="100" w:type="dxa"/>
            </w:tcMar>
          </w:tcPr>
          <w:p w14:paraId="4B06ABF4" w14:textId="77777777" w:rsidR="00880EF6" w:rsidRDefault="008E6519">
            <w:r>
              <w:rPr>
                <w:b/>
                <w:bCs/>
                <w:color w:val="C8B87A"/>
                <w:sz w:val="19"/>
                <w:szCs w:val="19"/>
              </w:rPr>
              <w:t>How to verify</w:t>
            </w:r>
          </w:p>
        </w:tc>
      </w:tr>
      <w:tr w:rsidR="006C5E57" w14:paraId="5E1FD886" w14:textId="77777777">
        <w:tc>
          <w:tcPr>
            <w:tcW w:w="4200" w:type="dxa"/>
            <w:shd w:val="clear" w:color="auto" w:fill="FFFFFF"/>
            <w:tcMar>
              <w:top w:w="80" w:type="dxa"/>
              <w:left w:w="100" w:type="dxa"/>
              <w:bottom w:w="80" w:type="dxa"/>
              <w:right w:w="100" w:type="dxa"/>
            </w:tcMar>
          </w:tcPr>
          <w:p w14:paraId="3D9FEA75" w14:textId="77777777" w:rsidR="00880EF6" w:rsidRDefault="008E6519">
            <w:r>
              <w:rPr>
                <w:b/>
                <w:bCs/>
                <w:sz w:val="19"/>
                <w:szCs w:val="19"/>
              </w:rPr>
              <w:t>Load displacement cross-domain connection</w:t>
            </w:r>
          </w:p>
        </w:tc>
        <w:tc>
          <w:tcPr>
            <w:tcW w:w="5160" w:type="dxa"/>
            <w:shd w:val="clear" w:color="auto" w:fill="FFFEF5"/>
            <w:tcMar>
              <w:top w:w="80" w:type="dxa"/>
              <w:left w:w="100" w:type="dxa"/>
              <w:bottom w:w="80" w:type="dxa"/>
              <w:right w:w="100" w:type="dxa"/>
            </w:tcMar>
          </w:tcPr>
          <w:p w14:paraId="3AF256B5" w14:textId="77777777" w:rsidR="00880EF6" w:rsidRDefault="008E6519">
            <w:r>
              <w:rPr>
                <w:color w:val="2D2D2D"/>
                <w:sz w:val="19"/>
                <w:szCs w:val="19"/>
              </w:rPr>
              <w:t>Signals 1 (public: stable) + 2 (SEC: growing off-balance-sheet obligations) + 10 (SEC: $3.9B off-balance-sheet, stock-as-collateral) should connect as a cross-domain load displacement pattern. Source system (Enron reported financials) staying stable while Recipient system (SPE entities) accumulates obligations.</w:t>
            </w:r>
          </w:p>
        </w:tc>
      </w:tr>
      <w:tr w:rsidR="006C5E57" w14:paraId="6E33C7D6" w14:textId="77777777">
        <w:tc>
          <w:tcPr>
            <w:tcW w:w="4200" w:type="dxa"/>
            <w:shd w:val="clear" w:color="auto" w:fill="F5F5FA"/>
            <w:tcMar>
              <w:top w:w="80" w:type="dxa"/>
              <w:left w:w="100" w:type="dxa"/>
              <w:bottom w:w="80" w:type="dxa"/>
              <w:right w:w="100" w:type="dxa"/>
            </w:tcMar>
          </w:tcPr>
          <w:p w14:paraId="41D305DE" w14:textId="77777777" w:rsidR="00880EF6" w:rsidRDefault="008E6519">
            <w:r>
              <w:rPr>
                <w:b/>
                <w:bCs/>
                <w:sz w:val="19"/>
                <w:szCs w:val="19"/>
              </w:rPr>
              <w:t>PATTERN hypothesis: SPE liability growth</w:t>
            </w:r>
          </w:p>
        </w:tc>
        <w:tc>
          <w:tcPr>
            <w:tcW w:w="5160" w:type="dxa"/>
            <w:shd w:val="clear" w:color="auto" w:fill="FFFAF0"/>
            <w:tcMar>
              <w:top w:w="80" w:type="dxa"/>
              <w:left w:w="100" w:type="dxa"/>
              <w:bottom w:w="80" w:type="dxa"/>
              <w:right w:w="100" w:type="dxa"/>
            </w:tcMar>
          </w:tcPr>
          <w:p w14:paraId="5794EC7D" w14:textId="77777777" w:rsidR="00880EF6" w:rsidRDefault="008E6519">
            <w:r>
              <w:rPr>
                <w:color w:val="2D2D2D"/>
                <w:sz w:val="19"/>
                <w:szCs w:val="19"/>
              </w:rPr>
              <w:t>Off-balance-sheet obligations grow from $711M (period 1) to $2.1B (period 2) to $3.9B (period 4). Three consecutive periods of accelerating growth. PATTERN hypothesis: 'Progressive off-balance-sheet liability accumulation suggests systematic load displacement from Enron balance sheet to SPE Recipient entities.'</w:t>
            </w:r>
          </w:p>
        </w:tc>
      </w:tr>
      <w:tr w:rsidR="006C5E57" w14:paraId="60A09003" w14:textId="77777777">
        <w:tc>
          <w:tcPr>
            <w:tcW w:w="4200" w:type="dxa"/>
            <w:shd w:val="clear" w:color="auto" w:fill="FFFFFF"/>
            <w:tcMar>
              <w:top w:w="80" w:type="dxa"/>
              <w:left w:w="100" w:type="dxa"/>
              <w:bottom w:w="80" w:type="dxa"/>
              <w:right w:w="100" w:type="dxa"/>
            </w:tcMar>
          </w:tcPr>
          <w:p w14:paraId="72D65364" w14:textId="77777777" w:rsidR="00880EF6" w:rsidRDefault="008E6519">
            <w:r>
              <w:rPr>
                <w:b/>
                <w:bCs/>
                <w:sz w:val="19"/>
                <w:szCs w:val="19"/>
              </w:rPr>
              <w:t>Admissibility boundary signal: LP flag</w:t>
            </w:r>
          </w:p>
        </w:tc>
        <w:tc>
          <w:tcPr>
            <w:tcW w:w="5160" w:type="dxa"/>
            <w:shd w:val="clear" w:color="auto" w:fill="FFFEF5"/>
            <w:tcMar>
              <w:top w:w="80" w:type="dxa"/>
              <w:left w:w="100" w:type="dxa"/>
              <w:bottom w:w="80" w:type="dxa"/>
              <w:right w:w="100" w:type="dxa"/>
            </w:tcMar>
          </w:tcPr>
          <w:p w14:paraId="234A08EF" w14:textId="77777777" w:rsidR="00880EF6" w:rsidRDefault="008E6519">
            <w:r>
              <w:rPr>
                <w:color w:val="2D2D2D"/>
                <w:sz w:val="19"/>
                <w:szCs w:val="19"/>
              </w:rPr>
              <w:t>Signals 2 and 6 both describe changes to accounting rules (FAS 140, SPE consolidation triggers) that determine what gets admitted to Enron's balance sheet. CIS should flag admissibility boundary modification as a structural signal — the rule being used to keep obligations off-balance-sheet is itself a structural feature of the system, not just an accounting technicality.</w:t>
            </w:r>
          </w:p>
        </w:tc>
      </w:tr>
      <w:tr w:rsidR="006C5E57" w14:paraId="43DBA389" w14:textId="77777777">
        <w:tc>
          <w:tcPr>
            <w:tcW w:w="4200" w:type="dxa"/>
            <w:shd w:val="clear" w:color="auto" w:fill="F5F5FA"/>
            <w:tcMar>
              <w:top w:w="80" w:type="dxa"/>
              <w:left w:w="100" w:type="dxa"/>
              <w:bottom w:w="80" w:type="dxa"/>
              <w:right w:w="100" w:type="dxa"/>
            </w:tcMar>
          </w:tcPr>
          <w:p w14:paraId="06190379" w14:textId="77777777" w:rsidR="00880EF6" w:rsidRDefault="008E6519">
            <w:r>
              <w:rPr>
                <w:b/>
                <w:bCs/>
                <w:sz w:val="19"/>
                <w:szCs w:val="19"/>
              </w:rPr>
              <w:t>Employee domain: SI_CLUSTER from asymmetric exit</w:t>
            </w:r>
          </w:p>
        </w:tc>
        <w:tc>
          <w:tcPr>
            <w:tcW w:w="5160" w:type="dxa"/>
            <w:shd w:val="clear" w:color="auto" w:fill="FFFAF0"/>
            <w:tcMar>
              <w:top w:w="80" w:type="dxa"/>
              <w:left w:w="100" w:type="dxa"/>
              <w:bottom w:w="80" w:type="dxa"/>
              <w:right w:w="100" w:type="dxa"/>
            </w:tcMar>
          </w:tcPr>
          <w:p w14:paraId="08A6F547" w14:textId="77777777" w:rsidR="00880EF6" w:rsidRDefault="008E6519">
            <w:r>
              <w:rPr>
                <w:color w:val="2D2D2D"/>
                <w:sz w:val="19"/>
                <w:szCs w:val="19"/>
              </w:rPr>
              <w:t>Signals 8, 12, 13: executives selling while employees are locked in, with extending lock-up periods. Three signals from the same domain (Employee Retirement Accounts) showing a consistent structural direction (executive exit, employee entrapment). SI_CLUSTER hypothesis should trigger within Employee Retirement Accounts domain.</w:t>
            </w:r>
          </w:p>
        </w:tc>
      </w:tr>
      <w:tr w:rsidR="006C5E57" w14:paraId="7415E5A1" w14:textId="77777777">
        <w:tc>
          <w:tcPr>
            <w:tcW w:w="4200" w:type="dxa"/>
            <w:shd w:val="clear" w:color="auto" w:fill="FFFFFF"/>
            <w:tcMar>
              <w:top w:w="80" w:type="dxa"/>
              <w:left w:w="100" w:type="dxa"/>
              <w:bottom w:w="80" w:type="dxa"/>
              <w:right w:w="100" w:type="dxa"/>
            </w:tcMar>
          </w:tcPr>
          <w:p w14:paraId="43B7F220" w14:textId="77777777" w:rsidR="00880EF6" w:rsidRDefault="008E6519">
            <w:r>
              <w:rPr>
                <w:b/>
                <w:bCs/>
                <w:sz w:val="19"/>
                <w:szCs w:val="19"/>
              </w:rPr>
              <w:t>LP-6 flag: significance not decayed</w:t>
            </w:r>
          </w:p>
        </w:tc>
        <w:tc>
          <w:tcPr>
            <w:tcW w:w="5160" w:type="dxa"/>
            <w:shd w:val="clear" w:color="auto" w:fill="FFFEF5"/>
            <w:tcMar>
              <w:top w:w="80" w:type="dxa"/>
              <w:left w:w="100" w:type="dxa"/>
              <w:bottom w:w="80" w:type="dxa"/>
              <w:right w:w="100" w:type="dxa"/>
            </w:tcMar>
          </w:tcPr>
          <w:p w14:paraId="02D089B3" w14:textId="77777777" w:rsidR="00880EF6" w:rsidRDefault="008E6519">
            <w:r>
              <w:rPr>
                <w:color w:val="2D2D2D"/>
                <w:sz w:val="19"/>
                <w:szCs w:val="19"/>
              </w:rPr>
              <w:t>Signal 2 (period 1, off-balance-sheet $711M footnote) should still be in the pool at period 5 with its original significance score. If any process reduced its significance because it was 'old news,' LP-6 fires.</w:t>
            </w:r>
          </w:p>
        </w:tc>
      </w:tr>
      <w:tr w:rsidR="006C5E57" w14:paraId="22A8FC04" w14:textId="77777777">
        <w:tc>
          <w:tcPr>
            <w:tcW w:w="4200" w:type="dxa"/>
            <w:shd w:val="clear" w:color="auto" w:fill="F5F5FA"/>
            <w:tcMar>
              <w:top w:w="80" w:type="dxa"/>
              <w:left w:w="100" w:type="dxa"/>
              <w:bottom w:w="80" w:type="dxa"/>
              <w:right w:w="100" w:type="dxa"/>
            </w:tcMar>
          </w:tcPr>
          <w:p w14:paraId="371B32BB" w14:textId="77777777" w:rsidR="00880EF6" w:rsidRDefault="008E6519">
            <w:r>
              <w:rPr>
                <w:b/>
                <w:bCs/>
                <w:sz w:val="19"/>
                <w:szCs w:val="19"/>
              </w:rPr>
              <w:t>Open Questions: mark-to-market gap</w:t>
            </w:r>
          </w:p>
        </w:tc>
        <w:tc>
          <w:tcPr>
            <w:tcW w:w="5160" w:type="dxa"/>
            <w:shd w:val="clear" w:color="auto" w:fill="FFFAF0"/>
            <w:tcMar>
              <w:top w:w="80" w:type="dxa"/>
              <w:left w:w="100" w:type="dxa"/>
              <w:bottom w:w="80" w:type="dxa"/>
              <w:right w:w="100" w:type="dxa"/>
            </w:tcMar>
          </w:tcPr>
          <w:p w14:paraId="2975F851" w14:textId="77777777" w:rsidR="00880EF6" w:rsidRDefault="008E6519">
            <w:r>
              <w:rPr>
                <w:color w:val="2D2D2D"/>
                <w:sz w:val="19"/>
                <w:szCs w:val="19"/>
              </w:rPr>
              <w:t>Signal 3 (period 1: mark-to-market accounting), Signal 7 (period 2: aggressive assumptions), Signal 11 (period 4: Andersen internal 'maximum risk' classification). These should appear in Open Questions as high-SI signals pointing to revenue overstatement — a question the investigation needs to formally address through evidence and hypothesis.</w:t>
            </w:r>
          </w:p>
        </w:tc>
      </w:tr>
    </w:tbl>
    <w:p w14:paraId="535D06CF" w14:textId="77777777" w:rsidR="00880EF6" w:rsidRDefault="00880EF6">
      <w:pPr>
        <w:spacing w:before="200"/>
      </w:pPr>
    </w:p>
    <w:p w14:paraId="32DB1D39" w14:textId="77777777" w:rsidR="00880EF6" w:rsidRDefault="008E6519">
      <w:pPr>
        <w:pStyle w:val="Ttulo2"/>
      </w:pPr>
      <w:r>
        <w:t>Step 6 — Add Evidence and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6C5E57" w14:paraId="67207BF2" w14:textId="77777777">
        <w:trPr>
          <w:tblHeader/>
        </w:trPr>
        <w:tc>
          <w:tcPr>
            <w:tcW w:w="4200" w:type="dxa"/>
            <w:shd w:val="clear" w:color="auto" w:fill="1A1A2E"/>
            <w:tcMar>
              <w:top w:w="80" w:type="dxa"/>
              <w:left w:w="100" w:type="dxa"/>
              <w:bottom w:w="80" w:type="dxa"/>
              <w:right w:w="100" w:type="dxa"/>
            </w:tcMar>
          </w:tcPr>
          <w:p w14:paraId="1AFCEE5F" w14:textId="77777777" w:rsidR="00880EF6" w:rsidRDefault="008E6519">
            <w:r>
              <w:rPr>
                <w:b/>
                <w:bCs/>
                <w:color w:val="C8B87A"/>
                <w:sz w:val="19"/>
                <w:szCs w:val="19"/>
              </w:rPr>
              <w:t>Evidence to add</w:t>
            </w:r>
          </w:p>
        </w:tc>
        <w:tc>
          <w:tcPr>
            <w:tcW w:w="5160" w:type="dxa"/>
            <w:shd w:val="clear" w:color="auto" w:fill="1A1A2E"/>
            <w:tcMar>
              <w:top w:w="80" w:type="dxa"/>
              <w:left w:w="100" w:type="dxa"/>
              <w:bottom w:w="80" w:type="dxa"/>
              <w:right w:w="100" w:type="dxa"/>
            </w:tcMar>
          </w:tcPr>
          <w:p w14:paraId="7451841B" w14:textId="77777777" w:rsidR="00880EF6" w:rsidRDefault="008E6519">
            <w:r>
              <w:rPr>
                <w:b/>
                <w:bCs/>
                <w:color w:val="C8B87A"/>
                <w:sz w:val="19"/>
                <w:szCs w:val="19"/>
              </w:rPr>
              <w:t>Content and reason</w:t>
            </w:r>
          </w:p>
        </w:tc>
      </w:tr>
      <w:tr w:rsidR="006C5E57" w14:paraId="03CBFE2B" w14:textId="77777777">
        <w:tc>
          <w:tcPr>
            <w:tcW w:w="4200" w:type="dxa"/>
            <w:shd w:val="clear" w:color="auto" w:fill="FFFFFF"/>
            <w:tcMar>
              <w:top w:w="80" w:type="dxa"/>
              <w:left w:w="100" w:type="dxa"/>
              <w:bottom w:w="80" w:type="dxa"/>
              <w:right w:w="100" w:type="dxa"/>
            </w:tcMar>
          </w:tcPr>
          <w:p w14:paraId="755EB190" w14:textId="77777777" w:rsidR="00880EF6" w:rsidRDefault="008E6519">
            <w:r>
              <w:rPr>
                <w:b/>
                <w:bCs/>
                <w:sz w:val="19"/>
                <w:szCs w:val="19"/>
              </w:rPr>
              <w:t>PATTERN hypothesis — SUPPORTING, weight 0.90:</w:t>
            </w:r>
          </w:p>
        </w:tc>
        <w:tc>
          <w:tcPr>
            <w:tcW w:w="5160" w:type="dxa"/>
            <w:shd w:val="clear" w:color="auto" w:fill="FFFEF5"/>
            <w:tcMar>
              <w:top w:w="80" w:type="dxa"/>
              <w:left w:w="100" w:type="dxa"/>
              <w:bottom w:w="80" w:type="dxa"/>
              <w:right w:w="100" w:type="dxa"/>
            </w:tcMar>
          </w:tcPr>
          <w:p w14:paraId="4CCED321" w14:textId="77777777" w:rsidR="00880EF6" w:rsidRDefault="008E6519">
            <w:r>
              <w:rPr>
                <w:color w:val="2D2D2D"/>
                <w:sz w:val="19"/>
                <w:szCs w:val="19"/>
              </w:rPr>
              <w:t xml:space="preserve">SPE liability schedule: </w:t>
            </w:r>
            <w:proofErr w:type="spellStart"/>
            <w:r>
              <w:rPr>
                <w:color w:val="2D2D2D"/>
                <w:sz w:val="19"/>
                <w:szCs w:val="19"/>
              </w:rPr>
              <w:t>Chewco</w:t>
            </w:r>
            <w:proofErr w:type="spellEnd"/>
            <w:r>
              <w:rPr>
                <w:color w:val="2D2D2D"/>
                <w:sz w:val="19"/>
                <w:szCs w:val="19"/>
              </w:rPr>
              <w:t xml:space="preserve"> $383M (FY1997), JEDI $628M (FY1998), LJM entities $1.1B (FY1999), LJM2 + Raptors $2.3B (FY2000). Consistent acceleration over four </w:t>
            </w:r>
            <w:r>
              <w:rPr>
                <w:color w:val="2D2D2D"/>
                <w:sz w:val="19"/>
                <w:szCs w:val="19"/>
              </w:rPr>
              <w:lastRenderedPageBreak/>
              <w:t>periods. All structured to keep liabilities off Enron balance sheet using FAS 140 accounting rules.</w:t>
            </w:r>
          </w:p>
        </w:tc>
      </w:tr>
      <w:tr w:rsidR="006C5E57" w14:paraId="62E270D8" w14:textId="77777777">
        <w:tc>
          <w:tcPr>
            <w:tcW w:w="4200" w:type="dxa"/>
            <w:shd w:val="clear" w:color="auto" w:fill="F5F5FA"/>
            <w:tcMar>
              <w:top w:w="80" w:type="dxa"/>
              <w:left w:w="100" w:type="dxa"/>
              <w:bottom w:w="80" w:type="dxa"/>
              <w:right w:w="100" w:type="dxa"/>
            </w:tcMar>
          </w:tcPr>
          <w:p w14:paraId="01718662" w14:textId="77777777" w:rsidR="00880EF6" w:rsidRDefault="008E6519">
            <w:r>
              <w:rPr>
                <w:b/>
                <w:bCs/>
                <w:sz w:val="19"/>
                <w:szCs w:val="19"/>
              </w:rPr>
              <w:lastRenderedPageBreak/>
              <w:t>PATTERN hypothesis — SUPPORTING, weight 0.85:</w:t>
            </w:r>
          </w:p>
        </w:tc>
        <w:tc>
          <w:tcPr>
            <w:tcW w:w="5160" w:type="dxa"/>
            <w:shd w:val="clear" w:color="auto" w:fill="FFFAF0"/>
            <w:tcMar>
              <w:top w:w="80" w:type="dxa"/>
              <w:left w:w="100" w:type="dxa"/>
              <w:bottom w:w="80" w:type="dxa"/>
              <w:right w:w="100" w:type="dxa"/>
            </w:tcMar>
          </w:tcPr>
          <w:p w14:paraId="7B3D0622" w14:textId="77777777" w:rsidR="00880EF6" w:rsidRDefault="008E6519">
            <w:r>
              <w:rPr>
                <w:color w:val="2D2D2D"/>
                <w:sz w:val="19"/>
                <w:szCs w:val="19"/>
              </w:rPr>
              <w:t>Each SPE structure included a stock-price trigger that would force consolidation if Enron stock fell. As stock price fell from $90 to $42 between January and August 2001, the collateral triggers were sequentially breached. The fragility accumulation rate: the SPE system was maintained only by the stock price that the overstatement was itself supporting.</w:t>
            </w:r>
          </w:p>
        </w:tc>
      </w:tr>
      <w:tr w:rsidR="006C5E57" w14:paraId="131EBB8D" w14:textId="77777777">
        <w:tc>
          <w:tcPr>
            <w:tcW w:w="4200" w:type="dxa"/>
            <w:shd w:val="clear" w:color="auto" w:fill="FFFFFF"/>
            <w:tcMar>
              <w:top w:w="80" w:type="dxa"/>
              <w:left w:w="100" w:type="dxa"/>
              <w:bottom w:w="80" w:type="dxa"/>
              <w:right w:w="100" w:type="dxa"/>
            </w:tcMar>
          </w:tcPr>
          <w:p w14:paraId="6C266114" w14:textId="77777777" w:rsidR="00880EF6" w:rsidRDefault="008E6519">
            <w:r>
              <w:rPr>
                <w:b/>
                <w:bCs/>
                <w:sz w:val="19"/>
                <w:szCs w:val="19"/>
              </w:rPr>
              <w:t>PATTERN hypothesis — CONTRADICTING, weight 0.25:</w:t>
            </w:r>
          </w:p>
        </w:tc>
        <w:tc>
          <w:tcPr>
            <w:tcW w:w="5160" w:type="dxa"/>
            <w:shd w:val="clear" w:color="auto" w:fill="FFFEF5"/>
            <w:tcMar>
              <w:top w:w="80" w:type="dxa"/>
              <w:left w:w="100" w:type="dxa"/>
              <w:bottom w:w="80" w:type="dxa"/>
              <w:right w:w="100" w:type="dxa"/>
            </w:tcMar>
          </w:tcPr>
          <w:p w14:paraId="17671F8C" w14:textId="77777777" w:rsidR="00880EF6" w:rsidRDefault="008E6519">
            <w:r>
              <w:rPr>
                <w:color w:val="2D2D2D"/>
                <w:sz w:val="19"/>
                <w:szCs w:val="19"/>
              </w:rPr>
              <w:t>Arthur Andersen certified Enron financial statements as clean through FY2000. Professional audit opinion is evidence that the statements were materially accurate. — Why low weight: Andersen's internal memo classified Enron as 'maximum risk' in the same period. The public certification and the internal risk assessment are contradictory. The contradiction weakens the weight of the public certification as evidence.</w:t>
            </w:r>
          </w:p>
        </w:tc>
      </w:tr>
      <w:tr w:rsidR="006C5E57" w14:paraId="3815EDCA" w14:textId="77777777">
        <w:tc>
          <w:tcPr>
            <w:tcW w:w="4200" w:type="dxa"/>
            <w:shd w:val="clear" w:color="auto" w:fill="F5F5FA"/>
            <w:tcMar>
              <w:top w:w="80" w:type="dxa"/>
              <w:left w:w="100" w:type="dxa"/>
              <w:bottom w:w="80" w:type="dxa"/>
              <w:right w:w="100" w:type="dxa"/>
            </w:tcMar>
          </w:tcPr>
          <w:p w14:paraId="1CE6D52B" w14:textId="77777777" w:rsidR="00880EF6" w:rsidRDefault="008E6519">
            <w:r>
              <w:rPr>
                <w:b/>
                <w:bCs/>
                <w:sz w:val="19"/>
                <w:szCs w:val="19"/>
              </w:rPr>
              <w:t>Confirm PATTERN hypothesis:</w:t>
            </w:r>
          </w:p>
        </w:tc>
        <w:tc>
          <w:tcPr>
            <w:tcW w:w="5160" w:type="dxa"/>
            <w:shd w:val="clear" w:color="auto" w:fill="FFFAF0"/>
            <w:tcMar>
              <w:top w:w="80" w:type="dxa"/>
              <w:left w:w="100" w:type="dxa"/>
              <w:bottom w:w="80" w:type="dxa"/>
              <w:right w:w="100" w:type="dxa"/>
            </w:tcMar>
          </w:tcPr>
          <w:p w14:paraId="5E8CA591" w14:textId="77777777" w:rsidR="00880EF6" w:rsidRDefault="008E6519">
            <w:r>
              <w:rPr>
                <w:color w:val="2D2D2D"/>
                <w:sz w:val="19"/>
                <w:szCs w:val="19"/>
              </w:rPr>
              <w:t>Load displacement confirmed. Source (Enron public reporting) maintained stability through systematic transfer of obligations to SPE Recipient entities. Fragility accumulated in the SPE system until the stock-price collateral trigger failed. Resolution basis: SEC forensic accounting confirms $586M fictitious net income, $3.9B off-balance-sheet obligations, systematic admissibility boundary manipulation through FAS 140 rule application.</w:t>
            </w:r>
          </w:p>
        </w:tc>
      </w:tr>
    </w:tbl>
    <w:p w14:paraId="46570595" w14:textId="77777777" w:rsidR="00880EF6" w:rsidRDefault="00880EF6">
      <w:pPr>
        <w:spacing w:before="200"/>
      </w:pPr>
    </w:p>
    <w:p w14:paraId="137DF741" w14:textId="77777777" w:rsidR="00880EF6" w:rsidRDefault="008E6519">
      <w:pPr>
        <w:pStyle w:val="Ttulo2"/>
      </w:pPr>
      <w:r>
        <w:t>Step 7 — Briefing Check</w:t>
      </w:r>
    </w:p>
    <w:p w14:paraId="62832F16" w14:textId="77777777" w:rsidR="00880EF6" w:rsidRDefault="008E6519">
      <w:pPr>
        <w:spacing w:before="80" w:after="80"/>
      </w:pPr>
      <w:r>
        <w:t>Generate a final briefing. It should show:</w:t>
      </w:r>
    </w:p>
    <w:p w14:paraId="5DB23ADA" w14:textId="77777777" w:rsidR="00880EF6" w:rsidRDefault="008E6519">
      <w:pPr>
        <w:pStyle w:val="PargrafodaLista"/>
        <w:numPr>
          <w:ilvl w:val="0"/>
          <w:numId w:val="2"/>
        </w:numPr>
        <w:spacing w:before="40" w:after="40"/>
      </w:pPr>
      <w:r>
        <w:t>Pool Status: 14 signals, most in CONNECTED or ASSESSED status. Several RESOLVED.</w:t>
      </w:r>
    </w:p>
    <w:p w14:paraId="1988B190" w14:textId="77777777" w:rsidR="00880EF6" w:rsidRDefault="008E6519">
      <w:pPr>
        <w:pStyle w:val="PargrafodaLista"/>
        <w:numPr>
          <w:ilvl w:val="0"/>
          <w:numId w:val="2"/>
        </w:numPr>
        <w:spacing w:before="40" w:after="40"/>
      </w:pPr>
      <w:r>
        <w:t>AI Summary: load displacement pattern across four independent financial reporting domains. SPE liability accumulation as fragility accumulation in Recipient entities.</w:t>
      </w:r>
    </w:p>
    <w:p w14:paraId="2C109829" w14:textId="77777777" w:rsidR="00880EF6" w:rsidRDefault="008E6519">
      <w:pPr>
        <w:pStyle w:val="PargrafodaLista"/>
        <w:numPr>
          <w:ilvl w:val="0"/>
          <w:numId w:val="2"/>
        </w:numPr>
        <w:spacing w:before="40" w:after="40"/>
      </w:pPr>
      <w:r>
        <w:t>Active Hypotheses: PATTERN hypothesis CONFIRMED. SI_CLUSTER from Employee Retirement Accounts domain. HCL hypothesis from cross-domain connections.</w:t>
      </w:r>
    </w:p>
    <w:p w14:paraId="13AA353D" w14:textId="77777777" w:rsidR="00880EF6" w:rsidRDefault="008E6519">
      <w:pPr>
        <w:pStyle w:val="PargrafodaLista"/>
        <w:numPr>
          <w:ilvl w:val="0"/>
          <w:numId w:val="2"/>
        </w:numPr>
        <w:spacing w:before="40" w:after="40"/>
      </w:pPr>
      <w:r>
        <w:t>Two contradictions: both RESOLVED via RC-3 and RC-2.</w:t>
      </w:r>
    </w:p>
    <w:p w14:paraId="03C91E8F" w14:textId="77777777" w:rsidR="00880EF6" w:rsidRDefault="008E6519">
      <w:pPr>
        <w:pStyle w:val="PargrafodaLista"/>
        <w:numPr>
          <w:ilvl w:val="0"/>
          <w:numId w:val="2"/>
        </w:numPr>
        <w:spacing w:before="40" w:after="40"/>
      </w:pPr>
      <w:r>
        <w:t>LP Flags: LP-6 if early signals' significance was at risk of decay. LP-5 if sub-threshold period 1 signals were aggregated before expiry.</w:t>
      </w:r>
    </w:p>
    <w:p w14:paraId="55A60CAB" w14:textId="77777777" w:rsidR="00880EF6" w:rsidRDefault="008E6519">
      <w:pPr>
        <w:pStyle w:val="PargrafodaLista"/>
        <w:numPr>
          <w:ilvl w:val="0"/>
          <w:numId w:val="2"/>
        </w:numPr>
        <w:spacing w:before="40" w:after="40"/>
      </w:pPr>
      <w:r>
        <w:t>Open Questions: mark-to-market gap signals, if not yet formally addressed.</w:t>
      </w:r>
    </w:p>
    <w:p w14:paraId="5E40E937" w14:textId="77777777" w:rsidR="00880EF6" w:rsidRDefault="00880EF6">
      <w:pPr>
        <w:spacing w:before="80"/>
      </w:pPr>
    </w:p>
    <w:p w14:paraId="7B3FCECD" w14:textId="77777777" w:rsidR="00880EF6" w:rsidRDefault="008E6519">
      <w:pPr>
        <w:pBdr>
          <w:left w:val="single" w:sz="12" w:space="2" w:color="C8B87A"/>
        </w:pBdr>
        <w:shd w:val="clear" w:color="auto" w:fill="F5F0DC"/>
        <w:spacing w:before="120" w:after="120"/>
        <w:ind w:left="240"/>
      </w:pPr>
      <w:r>
        <w:rPr>
          <w:i/>
          <w:iCs/>
          <w:color w:val="2D2D2D"/>
          <w:sz w:val="20"/>
          <w:szCs w:val="20"/>
        </w:rPr>
        <w:t>The Enron briefing, if CIS is working correctly, should read like what the SEC investigation eventually concluded — but based only on signals that were publicly available or internally documented before the collapse. That is what CIS is for.</w:t>
      </w:r>
    </w:p>
    <w:p w14:paraId="59ED76EC" w14:textId="77777777" w:rsidR="00880EF6" w:rsidRDefault="00880EF6">
      <w:pPr>
        <w:spacing w:before="160"/>
      </w:pPr>
    </w:p>
    <w:p w14:paraId="05F81DAB" w14:textId="77777777" w:rsidR="00880EF6" w:rsidRDefault="00880EF6">
      <w:pPr>
        <w:pBdr>
          <w:bottom w:val="single" w:sz="6" w:space="1" w:color="C8B87A"/>
        </w:pBdr>
        <w:spacing w:before="240" w:after="240"/>
      </w:pPr>
    </w:p>
    <w:p w14:paraId="1A96EC1C" w14:textId="77777777" w:rsidR="00880EF6" w:rsidRDefault="008E6519">
      <w:pPr>
        <w:spacing w:before="200" w:after="80"/>
        <w:jc w:val="center"/>
      </w:pPr>
      <w:r>
        <w:rPr>
          <w:i/>
          <w:iCs/>
          <w:color w:val="606078"/>
          <w:sz w:val="18"/>
          <w:szCs w:val="18"/>
        </w:rPr>
        <w:t xml:space="preserve">CIS Practice Investigation </w:t>
      </w:r>
      <w:proofErr w:type="gramStart"/>
      <w:r>
        <w:rPr>
          <w:i/>
          <w:iCs/>
          <w:color w:val="606078"/>
          <w:sz w:val="18"/>
          <w:szCs w:val="18"/>
        </w:rPr>
        <w:t>Cases  ·</w:t>
      </w:r>
      <w:proofErr w:type="gramEnd"/>
      <w:r>
        <w:rPr>
          <w:i/>
          <w:iCs/>
          <w:color w:val="606078"/>
          <w:sz w:val="18"/>
          <w:szCs w:val="18"/>
        </w:rPr>
        <w:t xml:space="preserve">  </w:t>
      </w:r>
      <w:proofErr w:type="spellStart"/>
      <w:r>
        <w:rPr>
          <w:i/>
          <w:iCs/>
          <w:color w:val="606078"/>
          <w:sz w:val="18"/>
          <w:szCs w:val="18"/>
        </w:rPr>
        <w:t>cisnew.vercel.app</w:t>
      </w:r>
      <w:proofErr w:type="spellEnd"/>
      <w:r>
        <w:rPr>
          <w:i/>
          <w:iCs/>
          <w:color w:val="606078"/>
          <w:sz w:val="18"/>
          <w:szCs w:val="18"/>
        </w:rPr>
        <w:t xml:space="preserve">  ·  2026</w:t>
      </w:r>
    </w:p>
    <w:sectPr w:rsidR="00880E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F4328" w14:textId="77777777" w:rsidR="008E6519" w:rsidRDefault="008E6519">
      <w:r>
        <w:separator/>
      </w:r>
    </w:p>
  </w:endnote>
  <w:endnote w:type="continuationSeparator" w:id="0">
    <w:p w14:paraId="5C5B68CC" w14:textId="77777777" w:rsidR="008E6519" w:rsidRDefault="008E6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D8729" w14:textId="77777777" w:rsidR="00880EF6" w:rsidRDefault="008E6519">
    <w:pPr>
      <w:pBdr>
        <w:top w:val="single" w:sz="2" w:space="1" w:color="C8B87A"/>
      </w:pBdr>
      <w:jc w:val="center"/>
    </w:pPr>
    <w:r>
      <w:rPr>
        <w:color w:val="606078"/>
        <w:sz w:val="18"/>
        <w:szCs w:val="18"/>
      </w:rPr>
      <w:t xml:space="preserve">Page </w:t>
    </w:r>
    <w:r>
      <w:rPr>
        <w:color w:val="606078"/>
        <w:sz w:val="18"/>
        <w:szCs w:val="18"/>
      </w:rPr>
      <w:fldChar w:fldCharType="begin"/>
    </w:r>
    <w:r>
      <w:rPr>
        <w:color w:val="606078"/>
        <w:sz w:val="18"/>
        <w:szCs w:val="18"/>
      </w:rPr>
      <w:instrText>PAGE</w:instrText>
    </w:r>
    <w:r>
      <w:rPr>
        <w:color w:val="606078"/>
        <w:sz w:val="18"/>
        <w:szCs w:val="18"/>
      </w:rPr>
      <w:fldChar w:fldCharType="separate"/>
    </w:r>
    <w:r w:rsidR="00224E78">
      <w:rPr>
        <w:noProof/>
        <w:color w:val="606078"/>
        <w:sz w:val="18"/>
        <w:szCs w:val="18"/>
      </w:rPr>
      <w:t>2</w:t>
    </w:r>
    <w:r>
      <w:rPr>
        <w:color w:val="606078"/>
        <w:sz w:val="18"/>
        <w:szCs w:val="18"/>
      </w:rPr>
      <w:fldChar w:fldCharType="end"/>
    </w:r>
    <w:r>
      <w:rPr>
        <w:color w:val="606078"/>
        <w:sz w:val="18"/>
        <w:szCs w:val="18"/>
      </w:rPr>
      <w:t xml:space="preserve"> of </w:t>
    </w:r>
    <w:r>
      <w:rPr>
        <w:color w:val="606078"/>
        <w:sz w:val="18"/>
        <w:szCs w:val="18"/>
      </w:rPr>
      <w:fldChar w:fldCharType="begin"/>
    </w:r>
    <w:r>
      <w:rPr>
        <w:color w:val="606078"/>
        <w:sz w:val="18"/>
        <w:szCs w:val="18"/>
      </w:rPr>
      <w:instrText>NUMPAGES</w:instrText>
    </w:r>
    <w:r>
      <w:rPr>
        <w:color w:val="606078"/>
        <w:sz w:val="18"/>
        <w:szCs w:val="18"/>
      </w:rPr>
      <w:fldChar w:fldCharType="separate"/>
    </w:r>
    <w:r w:rsidR="00224E78">
      <w:rPr>
        <w:noProof/>
        <w:color w:val="606078"/>
        <w:sz w:val="18"/>
        <w:szCs w:val="18"/>
      </w:rPr>
      <w:t>3</w:t>
    </w:r>
    <w:r>
      <w:rPr>
        <w:color w:val="6060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B555E" w14:textId="77777777" w:rsidR="008E6519" w:rsidRDefault="008E6519">
      <w:r>
        <w:separator/>
      </w:r>
    </w:p>
  </w:footnote>
  <w:footnote w:type="continuationSeparator" w:id="0">
    <w:p w14:paraId="1BEE1BFE" w14:textId="77777777" w:rsidR="008E6519" w:rsidRDefault="008E6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5F8DE" w14:textId="77777777" w:rsidR="00880EF6" w:rsidRDefault="008E6519">
    <w:pPr>
      <w:pBdr>
        <w:bottom w:val="single" w:sz="2" w:space="1" w:color="C8B87A"/>
      </w:pBdr>
      <w:jc w:val="right"/>
    </w:pPr>
    <w:r>
      <w:rPr>
        <w:color w:val="606078"/>
        <w:sz w:val="18"/>
        <w:szCs w:val="18"/>
      </w:rPr>
      <w:t>CIS — Practice Investigation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F613A"/>
    <w:multiLevelType w:val="hybridMultilevel"/>
    <w:tmpl w:val="693692DC"/>
    <w:lvl w:ilvl="0" w:tplc="8D2C3366">
      <w:start w:val="1"/>
      <w:numFmt w:val="bullet"/>
      <w:lvlText w:val="●"/>
      <w:lvlJc w:val="left"/>
      <w:pPr>
        <w:ind w:left="720" w:hanging="360"/>
      </w:pPr>
    </w:lvl>
    <w:lvl w:ilvl="1" w:tplc="3F28599E">
      <w:start w:val="1"/>
      <w:numFmt w:val="bullet"/>
      <w:lvlText w:val="○"/>
      <w:lvlJc w:val="left"/>
      <w:pPr>
        <w:ind w:left="1440" w:hanging="360"/>
      </w:pPr>
    </w:lvl>
    <w:lvl w:ilvl="2" w:tplc="73502CAC">
      <w:start w:val="1"/>
      <w:numFmt w:val="bullet"/>
      <w:lvlText w:val="■"/>
      <w:lvlJc w:val="left"/>
      <w:pPr>
        <w:ind w:left="2160" w:hanging="360"/>
      </w:pPr>
    </w:lvl>
    <w:lvl w:ilvl="3" w:tplc="19E0EA38">
      <w:start w:val="1"/>
      <w:numFmt w:val="bullet"/>
      <w:lvlText w:val="●"/>
      <w:lvlJc w:val="left"/>
      <w:pPr>
        <w:ind w:left="2880" w:hanging="360"/>
      </w:pPr>
    </w:lvl>
    <w:lvl w:ilvl="4" w:tplc="296A4D76">
      <w:start w:val="1"/>
      <w:numFmt w:val="bullet"/>
      <w:lvlText w:val="○"/>
      <w:lvlJc w:val="left"/>
      <w:pPr>
        <w:ind w:left="3600" w:hanging="360"/>
      </w:pPr>
    </w:lvl>
    <w:lvl w:ilvl="5" w:tplc="143C8A9C">
      <w:start w:val="1"/>
      <w:numFmt w:val="bullet"/>
      <w:lvlText w:val="■"/>
      <w:lvlJc w:val="left"/>
      <w:pPr>
        <w:ind w:left="4320" w:hanging="360"/>
      </w:pPr>
    </w:lvl>
    <w:lvl w:ilvl="6" w:tplc="1CC4EFB0">
      <w:start w:val="1"/>
      <w:numFmt w:val="bullet"/>
      <w:lvlText w:val="●"/>
      <w:lvlJc w:val="left"/>
      <w:pPr>
        <w:ind w:left="5040" w:hanging="360"/>
      </w:pPr>
    </w:lvl>
    <w:lvl w:ilvl="7" w:tplc="C396DB56">
      <w:start w:val="1"/>
      <w:numFmt w:val="bullet"/>
      <w:lvlText w:val="●"/>
      <w:lvlJc w:val="left"/>
      <w:pPr>
        <w:ind w:left="5760" w:hanging="360"/>
      </w:pPr>
    </w:lvl>
    <w:lvl w:ilvl="8" w:tplc="33D4D13A">
      <w:start w:val="1"/>
      <w:numFmt w:val="bullet"/>
      <w:lvlText w:val="●"/>
      <w:lvlJc w:val="left"/>
      <w:pPr>
        <w:ind w:left="6480" w:hanging="360"/>
      </w:pPr>
    </w:lvl>
  </w:abstractNum>
  <w:abstractNum w:abstractNumId="1" w15:restartNumberingAfterBreak="0">
    <w:nsid w:val="1CCA213B"/>
    <w:multiLevelType w:val="hybridMultilevel"/>
    <w:tmpl w:val="217E34E2"/>
    <w:lvl w:ilvl="0" w:tplc="51C8BDE2">
      <w:start w:val="1"/>
      <w:numFmt w:val="bullet"/>
      <w:lvlText w:val="•"/>
      <w:lvlJc w:val="left"/>
      <w:pPr>
        <w:ind w:left="720" w:hanging="360"/>
      </w:pPr>
    </w:lvl>
    <w:lvl w:ilvl="1" w:tplc="2D0A5792">
      <w:start w:val="1"/>
      <w:numFmt w:val="bullet"/>
      <w:lvlText w:val="–"/>
      <w:lvlJc w:val="left"/>
      <w:pPr>
        <w:ind w:left="1080" w:hanging="360"/>
      </w:pPr>
    </w:lvl>
    <w:lvl w:ilvl="2" w:tplc="FD0AFC98">
      <w:numFmt w:val="decimal"/>
      <w:lvlText w:val=""/>
      <w:lvlJc w:val="left"/>
    </w:lvl>
    <w:lvl w:ilvl="3" w:tplc="10481AA0">
      <w:numFmt w:val="decimal"/>
      <w:lvlText w:val=""/>
      <w:lvlJc w:val="left"/>
    </w:lvl>
    <w:lvl w:ilvl="4" w:tplc="BEB0203A">
      <w:numFmt w:val="decimal"/>
      <w:lvlText w:val=""/>
      <w:lvlJc w:val="left"/>
    </w:lvl>
    <w:lvl w:ilvl="5" w:tplc="D110F13A">
      <w:numFmt w:val="decimal"/>
      <w:lvlText w:val=""/>
      <w:lvlJc w:val="left"/>
    </w:lvl>
    <w:lvl w:ilvl="6" w:tplc="F4DC3044">
      <w:numFmt w:val="decimal"/>
      <w:lvlText w:val=""/>
      <w:lvlJc w:val="left"/>
    </w:lvl>
    <w:lvl w:ilvl="7" w:tplc="FEF6CEB4">
      <w:numFmt w:val="decimal"/>
      <w:lvlText w:val=""/>
      <w:lvlJc w:val="left"/>
    </w:lvl>
    <w:lvl w:ilvl="8" w:tplc="6DCC8FB8">
      <w:numFmt w:val="decimal"/>
      <w:lvlText w:val=""/>
      <w:lvlJc w:val="left"/>
    </w:lvl>
  </w:abstractNum>
  <w:abstractNum w:abstractNumId="2" w15:restartNumberingAfterBreak="0">
    <w:nsid w:val="757319F8"/>
    <w:multiLevelType w:val="hybridMultilevel"/>
    <w:tmpl w:val="C5E6A194"/>
    <w:lvl w:ilvl="0" w:tplc="537C20B2">
      <w:start w:val="1"/>
      <w:numFmt w:val="decimal"/>
      <w:lvlText w:val="%1."/>
      <w:lvlJc w:val="left"/>
      <w:pPr>
        <w:ind w:left="720" w:hanging="360"/>
      </w:pPr>
    </w:lvl>
    <w:lvl w:ilvl="1" w:tplc="BB6A3FDE">
      <w:numFmt w:val="decimal"/>
      <w:lvlText w:val=""/>
      <w:lvlJc w:val="left"/>
    </w:lvl>
    <w:lvl w:ilvl="2" w:tplc="B65ED1F8">
      <w:numFmt w:val="decimal"/>
      <w:lvlText w:val=""/>
      <w:lvlJc w:val="left"/>
    </w:lvl>
    <w:lvl w:ilvl="3" w:tplc="9EE06DA6">
      <w:numFmt w:val="decimal"/>
      <w:lvlText w:val=""/>
      <w:lvlJc w:val="left"/>
    </w:lvl>
    <w:lvl w:ilvl="4" w:tplc="19E610A8">
      <w:numFmt w:val="decimal"/>
      <w:lvlText w:val=""/>
      <w:lvlJc w:val="left"/>
    </w:lvl>
    <w:lvl w:ilvl="5" w:tplc="38325BCC">
      <w:numFmt w:val="decimal"/>
      <w:lvlText w:val=""/>
      <w:lvlJc w:val="left"/>
    </w:lvl>
    <w:lvl w:ilvl="6" w:tplc="F44253D4">
      <w:numFmt w:val="decimal"/>
      <w:lvlText w:val=""/>
      <w:lvlJc w:val="left"/>
    </w:lvl>
    <w:lvl w:ilvl="7" w:tplc="5B288308">
      <w:numFmt w:val="decimal"/>
      <w:lvlText w:val=""/>
      <w:lvlJc w:val="left"/>
    </w:lvl>
    <w:lvl w:ilvl="8" w:tplc="5BAA1CC2">
      <w:numFmt w:val="decimal"/>
      <w:lvlText w:val=""/>
      <w:lvlJc w:val="left"/>
    </w:lvl>
  </w:abstractNum>
  <w:num w:numId="1" w16cid:durableId="1503160399">
    <w:abstractNumId w:val="0"/>
    <w:lvlOverride w:ilvl="0">
      <w:startOverride w:val="1"/>
    </w:lvlOverride>
  </w:num>
  <w:num w:numId="2" w16cid:durableId="1320692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EF6"/>
    <w:rsid w:val="00224E78"/>
    <w:rsid w:val="00363D79"/>
    <w:rsid w:val="006C5E57"/>
    <w:rsid w:val="00880EF6"/>
    <w:rsid w:val="008E6519"/>
    <w:rsid w:val="00BA4891"/>
    <w:rsid w:val="00CE2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31D58"/>
  <w15:docId w15:val="{C68D0E7B-307A-4D25-9622-DDB985DD1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A1A2E"/>
      <w:sz w:val="38"/>
      <w:szCs w:val="38"/>
    </w:rPr>
  </w:style>
  <w:style w:type="paragraph" w:styleId="Ttulo2">
    <w:name w:val="heading 2"/>
    <w:uiPriority w:val="9"/>
    <w:unhideWhenUsed/>
    <w:qFormat/>
    <w:pPr>
      <w:spacing w:before="320" w:after="140"/>
      <w:outlineLvl w:val="1"/>
    </w:pPr>
    <w:rPr>
      <w:b/>
      <w:bCs/>
      <w:color w:val="2D3561"/>
      <w:sz w:val="28"/>
      <w:szCs w:val="28"/>
    </w:rPr>
  </w:style>
  <w:style w:type="paragraph" w:styleId="Ttulo3">
    <w:name w:val="heading 3"/>
    <w:uiPriority w:val="9"/>
    <w:semiHidden/>
    <w:unhideWhenUsed/>
    <w:qFormat/>
    <w:pPr>
      <w:spacing w:before="240" w:after="100"/>
      <w:outlineLvl w:val="2"/>
    </w:pPr>
    <w:rPr>
      <w:b/>
      <w:bCs/>
      <w:color w:val="4A4A6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7800</Words>
  <Characters>44464</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Ana Vila Chã Esteves</cp:lastModifiedBy>
  <cp:revision>1</cp:revision>
  <dcterms:created xsi:type="dcterms:W3CDTF">2026-06-05T16:31:00Z</dcterms:created>
  <dcterms:modified xsi:type="dcterms:W3CDTF">2026-06-06T16:29:00Z</dcterms:modified>
</cp:coreProperties>
</file>