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5FA8"/>
          <w:spacing w:val="30"/>
          <w:sz w:val="19"/>
          <w:szCs w:val="19"/>
        </w:rPr>
        <w:t xml:space="preserve">EXECUTIVE SUMMARY FOR GOVERNMENT STAKEHOLDERS</w:t>
      </w:r>
    </w:p>
    <w:p>
      <w:pPr>
        <w:spacing w:after="60" w:line="252" w:lineRule="auto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Spain’s Top 50: a revolving door at the bottom, a stable core at the top</w:t>
      </w:r>
    </w:p>
    <w:p>
      <w:pPr>
        <w:spacing w:after="140" w:before="0" w:line="276" w:lineRule="auto"/>
      </w:pPr>
      <w:r>
        <w:rPr>
          <w:rFonts w:ascii="Calibri" w:cs="Calibri" w:eastAsia="Calibri" w:hAnsi="Calibri"/>
          <w:color w:val="5C6670"/>
          <w:sz w:val="19"/>
          <w:szCs w:val="19"/>
        </w:rPr>
        <w:t xml:space="preserve">Content maturity, release lifecycle and playlist rotation · Atlantic Recording Corporation / Unified Mentor · October 2026</w:t>
      </w:r>
    </w:p>
    <w:p>
      <w:pPr>
        <w:pBdr>
          <w:left w:val="single" w:color="1F5FA8" w:sz="24" w:space="8"/>
        </w:pBdr>
        <w:shd w:fill="EAF1F8" w:color="auto" w:val="clear"/>
        <w:spacing w:after="200" w:before="120" w:line="270" w:lineRule="auto"/>
        <w:ind w:left="180" w:right="12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Bottom line.</w:t>
      </w:r>
      <w:r>
        <w:rPr>
          <w:rFonts w:ascii="Calibri" w:cs="Calibri" w:eastAsia="Calibri" w:hAnsi="Calibri"/>
        </w:rPr>
        <w:t xml:space="preserve"> Spain’s daily Top 50 turns over slowly on average (3.3% of the list a day) but in violent bursts: </w:t>
      </w:r>
      <w:r>
        <w:rPr>
          <w:rFonts w:ascii="Calibri" w:cs="Calibri" w:eastAsia="Calibri" w:hAnsi="Calibri"/>
          <w:b/>
          <w:bCs/>
        </w:rPr>
        <w:t xml:space="preserve">17 album-release days (3% of days) account for 20% of all new entries.</w:t>
      </w:r>
      <w:r>
        <w:rPr>
          <w:rFonts w:ascii="Calibri" w:cs="Calibri" w:eastAsia="Calibri" w:hAnsi="Calibri"/>
        </w:rPr>
        <w:t xml:space="preserve"> Most new songs vanish within weeks; a minority stay for months and hold most of the chart. The tracks that last are decided early — by rank in the first days — and not by whether they are explicit, single or album tracks.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What we studied</w:t>
      </w:r>
    </w:p>
    <w:p>
      <w:pPr>
        <w:spacing w:after="80" w:before="0" w:line="276" w:lineRule="auto"/>
      </w:pPr>
      <w:r>
        <w:rPr>
          <w:rFonts w:ascii="Calibri" w:cs="Calibri" w:eastAsia="Calibri" w:hAnsi="Calibri"/>
        </w:rPr>
        <w:t xml:space="preserve">555 daily snapshots of Spain’s Top 50 (18 May 2024 – 27 Nov 2025) — 544 distinct songs by 201 lead artists — were validated, reconstructed into song lifecycles and analysed for survival, rotation and content effects. Six headline indicators and an interactive dashboard accompany the full research paper.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Major findings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Short lives, long stays.</w:t>
      </w:r>
      <w:r>
        <w:rPr>
          <w:rFonts w:ascii="Calibri" w:cs="Calibri" w:eastAsia="Calibri" w:hAnsi="Calibri"/>
        </w:rPr>
        <w:t xml:space="preserve"> A new entry’s median stay is </w:t>
      </w:r>
      <w:r>
        <w:rPr>
          <w:rFonts w:ascii="Calibri" w:cs="Calibri" w:eastAsia="Calibri" w:hAnsi="Calibri"/>
          <w:b/>
          <w:bCs/>
        </w:rPr>
        <w:t xml:space="preserve">13 days</w:t>
      </w:r>
      <w:r>
        <w:rPr>
          <w:rFonts w:ascii="Calibri" w:cs="Calibri" w:eastAsia="Calibri" w:hAnsi="Calibri"/>
        </w:rPr>
        <w:t xml:space="preserve">; 60% reach a week, 39% a month, 22% three months. Songs lasting over 90 days are 21% of songs but hold </w:t>
      </w:r>
      <w:r>
        <w:rPr>
          <w:rFonts w:ascii="Calibri" w:cs="Calibri" w:eastAsia="Calibri" w:hAnsi="Calibri"/>
          <w:b/>
          <w:bCs/>
        </w:rPr>
        <w:t xml:space="preserve">73% of chart slot-days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Churn happens at the bottom.</w:t>
      </w:r>
      <w:r>
        <w:rPr>
          <w:rFonts w:ascii="Calibri" w:cs="Calibri" w:eastAsia="Calibri" w:hAnsi="Calibri"/>
        </w:rPr>
        <w:t xml:space="preserve"> 61% of entries land at ranks 41–50 and 81% of exits leave from there; the Top 10 changes by only about one track every 1.7 days. Songs leave because newcomers outrank them, not because they lose appeal (popularity is still 93% of peak on the last day).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Album drops reshape the chart.</w:t>
      </w:r>
      <w:r>
        <w:rPr>
          <w:rFonts w:ascii="Calibri" w:cs="Calibri" w:eastAsia="Calibri" w:hAnsi="Calibri"/>
        </w:rPr>
        <w:t xml:space="preserve"> Tracks entering in a mass album release have a median stay of 5 days versus 26 for other entries; 75% of a typical drop’s tracks are gone in a week, though 9 of 18 drops produced at least one track lasting 60+ days.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Content labels matter less than assumed.</w:t>
      </w:r>
      <w:r>
        <w:rPr>
          <w:rFonts w:ascii="Calibri" w:cs="Calibri" w:eastAsia="Calibri" w:hAnsi="Calibri"/>
        </w:rPr>
        <w:t xml:space="preserve"> Explicit and clean songs last equally long overall (1.07×, 95% CI 0.79–1.43). Singles outlast album tracks by 1.73×, but only 1.23× (not significant) once album-drop releases are set aside. Explicit songs hold 42% of chart slots.</w:t>
      </w:r>
    </w:p>
    <w:p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Early rank predicts staying power.</w:t>
      </w:r>
      <w:r>
        <w:rPr>
          <w:rFonts w:ascii="Calibri" w:cs="Calibri" w:eastAsia="Calibri" w:hAnsi="Calibri"/>
        </w:rPr>
        <w:t xml:space="preserve"> 69% of songs entering in the Top 10 are still listed after 30 days, against 26%–38% for songs entering lower.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Impact</w:t>
      </w:r>
    </w:p>
    <w:p>
      <w:pPr>
        <w:spacing w:after="80" w:before="0" w:line="276" w:lineRule="auto"/>
      </w:pPr>
      <w:r>
        <w:rPr>
          <w:rFonts w:ascii="Calibri" w:cs="Calibri" w:eastAsia="Calibri" w:hAnsi="Calibri"/>
        </w:rPr>
        <w:t xml:space="preserve">For Atlantic, the results support Spain-specific release planning: stagger album tracks behind one or two focus songs, front-load promotion, judge campaigns by early rank, and protect the catalogue core that holds most of the chart. For public stakeholders, they show that single-day chart positions are a volatile statistic dominated by a few release events.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Recommended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00"/>
        <w:gridCol w:w="2338"/>
      </w:tblGrid>
      <w:tr>
        <w:trPr>
          <w:cantSplit/>
          <w:tblHeader/>
        </w:trPr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31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Basis</w:t>
            </w:r>
          </w:p>
        </w:tc>
        <w:tc>
          <w:tcPr>
            <w:tcW w:type="dxa" w:w="2338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Measure of success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Industry (Atlantic).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Pilot a focus-track-plus-staggered-tail release on one upcoming album</w:t>
            </w:r>
          </w:p>
        </w:tc>
        <w:tc>
          <w:tcPr>
            <w:tcW w:type="dxa" w:w="31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Drop entries: 5-day median vs 26</w:t>
            </w:r>
          </w:p>
        </w:tc>
        <w:tc>
          <w:tcPr>
            <w:tcW w:type="dxa" w:w="2338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Days listed of focus track; share of tracks alive on day 30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Industry.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Set day-3 / day-7 rank checkpoints for scaling marketing spend</w:t>
            </w:r>
          </w:p>
        </w:tc>
        <w:tc>
          <w:tcPr>
            <w:tcW w:type="dxa" w:w="31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Top-10 entry: 69% day-30 survival vs 26%–38%</w:t>
            </w:r>
          </w:p>
        </w:tc>
        <w:tc>
          <w:tcPr>
            <w:tcW w:type="dxa" w:w="2338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Spend share on Top-10-by-day-3 tracks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Industry.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Keep an evergreen budget for mature catalogue; test UK/US playbooks with the same method</w:t>
            </w:r>
          </w:p>
        </w:tc>
        <w:tc>
          <w:tcPr>
            <w:tcW w:type="dxa" w:w="31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Songs &gt;90 days old hold 44% of slots</w:t>
            </w:r>
          </w:p>
        </w:tc>
        <w:tc>
          <w:tcPr>
            <w:tcW w:type="dxa" w:w="2338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Catalogue share of slots; cross-market survival curves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Public statistics.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If chart positions feed any official or subsidy-linked indicator, use multi-week smoothed measures, not daily rank</w:t>
            </w:r>
          </w:p>
        </w:tc>
        <w:tc>
          <w:tcPr>
            <w:tcW w:type="dxa" w:w="31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20% of entries come from 3% of days</w:t>
            </w:r>
          </w:p>
        </w:tc>
        <w:tc>
          <w:tcPr>
            <w:tcW w:type="dxa" w:w="2338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Month-to-month stability of the indicator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Data governance.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Require integrity checks (exactly 50 entries, no missing days) and add release-date and artist-origin fields</w:t>
            </w:r>
          </w:p>
        </w:tc>
        <w:tc>
          <w:tcPr>
            <w:tcW w:type="dxa" w:w="31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duplicated day, 4 missing days, 106 zero scores found</w:t>
            </w:r>
          </w:p>
        </w:tc>
        <w:tc>
          <w:tcPr>
            <w:tcW w:type="dxa" w:w="2338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Share of days passing checks; metadata coverage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Risks and caveats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rPr>
          <w:rFonts w:ascii="Calibri" w:cs="Calibri" w:eastAsia="Calibri" w:hAnsi="Calibri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Association, not causation.</w:t>
      </w:r>
      <w:r>
        <w:rPr>
          <w:rFonts w:ascii="Calibri" w:cs="Calibri" w:eastAsia="Calibri" w:hAnsi="Calibri"/>
          <w:sz w:val="19"/>
          <w:szCs w:val="19"/>
        </w:rPr>
        <w:t xml:space="preserve"> The data are observational; recommended changes should be piloted.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rPr>
          <w:rFonts w:ascii="Calibri" w:cs="Calibri" w:eastAsia="Calibri" w:hAnsi="Calibri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Narrow evidence base.</w:t>
      </w:r>
      <w:r>
        <w:rPr>
          <w:rFonts w:ascii="Calibri" w:cs="Calibri" w:eastAsia="Calibri" w:hAnsi="Calibri"/>
          <w:sz w:val="19"/>
          <w:szCs w:val="19"/>
        </w:rPr>
        <w:t xml:space="preserve"> One market, 18 months, no release dates, genres, stream counts or artist-origin data; claims about domestic versus international content, or about Spain versus the UK/US, cannot be made from this dataset.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rPr>
          <w:rFonts w:ascii="Calibri" w:cs="Calibri" w:eastAsia="Calibri" w:hAnsi="Calibri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Few events carry much weight.</w:t>
      </w:r>
      <w:r>
        <w:rPr>
          <w:rFonts w:ascii="Calibri" w:cs="Calibri" w:eastAsia="Calibri" w:hAnsi="Calibri"/>
          <w:sz w:val="19"/>
          <w:szCs w:val="19"/>
        </w:rPr>
        <w:t xml:space="preserve"> 18 album drops drive the rotation statistics; results would shift with the release calendar.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rPr>
          <w:rFonts w:ascii="Calibri" w:cs="Calibri" w:eastAsia="Calibri" w:hAnsi="Calibri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Explicit content.</w:t>
      </w:r>
      <w:r>
        <w:rPr>
          <w:rFonts w:ascii="Calibri" w:cs="Calibri" w:eastAsia="Calibri" w:hAnsi="Calibri"/>
          <w:sz w:val="19"/>
          <w:szCs w:val="19"/>
        </w:rPr>
        <w:t xml:space="preserve"> The share is 41% (Jun–Dec 2024) to 43% (2025), a borderline trend (p=0.054). A possible longevity premium for explicit songs outside album drops (1.41×) is exploratory and should not support policy or commercial decisions on its own.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Key indicators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4538"/>
      </w:tblGrid>
      <w:tr>
        <w:trPr>
          <w:cantSplit/>
          <w:tblHeader/>
        </w:trPr>
        <w:tc>
          <w:tcPr>
            <w:tcW w:type="dxa" w:w="2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Indicator</w:t>
            </w:r>
          </w:p>
        </w:tc>
        <w:tc>
          <w:tcPr>
            <w:tcW w:type="dxa" w:w="2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538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 plain language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Average days on playlist</w:t>
            </w:r>
          </w:p>
        </w:tc>
        <w:tc>
          <w:tcPr>
            <w:tcW w:type="dxa" w:w="2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45.6 (median 10.5)</w:t>
            </w:r>
          </w:p>
        </w:tc>
        <w:tc>
          <w:tcPr>
            <w:tcW w:type="dxa" w:w="4538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Typical song is gone in about a week and a half; a few last over a year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Entry-to-peak time</w:t>
            </w:r>
          </w:p>
        </w:tc>
        <w:tc>
          <w:tcPr>
            <w:tcW w:type="dxa" w:w="2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10.3 days (median 0.5)</w:t>
            </w:r>
          </w:p>
        </w:tc>
        <w:tc>
          <w:tcPr>
            <w:tcW w:type="dxa" w:w="4538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Half of songs are at their best rank the day they enter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Playlist churn rate</w:t>
            </w:r>
          </w:p>
        </w:tc>
        <w:tc>
          <w:tcPr>
            <w:tcW w:type="dxa" w:w="2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3.3% a day</w:t>
            </w:r>
          </w:p>
        </w:tc>
        <w:tc>
          <w:tcPr>
            <w:tcW w:type="dxa" w:w="4538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About 1.7 songs replaced a day, in bursts around album releases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Retention stability index</w:t>
            </w:r>
          </w:p>
        </w:tc>
        <w:tc>
          <w:tcPr>
            <w:tcW w:type="dxa" w:w="2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0.927</w:t>
            </w:r>
          </w:p>
        </w:tc>
        <w:tc>
          <w:tcPr>
            <w:tcW w:type="dxa" w:w="4538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= never moves; long-lived songs reach 0.968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Explicit lifecycle score</w:t>
            </w:r>
          </w:p>
        </w:tc>
        <w:tc>
          <w:tcPr>
            <w:tcW w:type="dxa" w:w="2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1.07×</w:t>
            </w:r>
          </w:p>
        </w:tc>
        <w:tc>
          <w:tcPr>
            <w:tcW w:type="dxa" w:w="4538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Explicit vs clean: no reliable difference in lifespan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Single vs album longevity</w:t>
            </w:r>
          </w:p>
        </w:tc>
        <w:tc>
          <w:tcPr>
            <w:tcW w:type="dxa" w:w="2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1.73×</w:t>
            </w:r>
          </w:p>
        </w:tc>
        <w:tc>
          <w:tcPr>
            <w:tcW w:type="dxa" w:w="4538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6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5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Mostly an album-drop effect (1.23× without drops)</w:t>
            </w:r>
          </w:p>
        </w:tc>
      </w:tr>
    </w:tbl>
    <w:p>
      <w:pPr>
        <w:spacing w:after="100"/>
      </w:pP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2047875"/>
            <wp:effectExtent t="0" r="0" b="0" l="0"/>
            <wp:docPr id="1" name="fig1" descr="How long new songs stay on Spain’s Top 50: (A) share still listed by days since entry; (B) the split between album-drop entries and all others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50" w:lineRule="auto"/>
      </w:pPr>
      <w:r>
        <w:rPr>
          <w:rFonts w:ascii="Calibri" w:cs="Calibri" w:eastAsia="Calibri" w:hAnsi="Calibri"/>
          <w:i/>
          <w:iCs/>
          <w:color w:val="5C6670"/>
          <w:sz w:val="18"/>
          <w:szCs w:val="18"/>
        </w:rPr>
        <w:t xml:space="preserve"/>
      </w:r>
      <w:r>
        <w:rPr>
          <w:rFonts w:ascii="Calibri" w:cs="Calibri" w:eastAsia="Calibri" w:hAnsi="Calibri"/>
          <w:b/>
          <w:bCs/>
          <w:i/>
          <w:iCs/>
          <w:color w:val="5C6670"/>
          <w:sz w:val="18"/>
          <w:szCs w:val="18"/>
        </w:rPr>
        <w:t xml:space="preserve">Figure 1.</w:t>
      </w:r>
      <w:r>
        <w:rPr>
          <w:rFonts w:ascii="Calibri" w:cs="Calibri" w:eastAsia="Calibri" w:hAnsi="Calibri"/>
          <w:i/>
          <w:iCs/>
          <w:color w:val="5C6670"/>
          <w:sz w:val="18"/>
          <w:szCs w:val="18"/>
        </w:rPr>
        <w:t xml:space="preserve"> How long new songs stay on Spain’s Top 50: (A) share still listed by days since entry; (B) the split between album-drop entries and all others.</w:t>
      </w:r>
    </w:p>
    <w:sectPr>
      <w:footerReference w:type="default" r:id="rId7"/>
      <w:pgSz w:w="11906" w:h="16838" w:orient="portrait"/>
      <w:pgMar w:top="90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670"/>
        <w:sz w:val="16"/>
        <w:szCs w:val="16"/>
      </w:rPr>
      <w:t xml:space="preserve">Executive Summary · Spain Top 50 Lifecycle Analysis  ·  Page </w:t>
    </w:r>
    <w:r>
      <w:rPr>
        <w:rFonts w:ascii="Calibri" w:cs="Calibri" w:eastAsia="Calibri" w:hAnsi="Calibri"/>
        <w:color w:val="5C66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670"/>
        <w:sz w:val="16"/>
        <w:szCs w:val="16"/>
      </w:rPr>
      <w:t xml:space="preserve"> of </w:t>
    </w:r>
    <w:r>
      <w:rPr>
        <w:rFonts w:ascii="Calibri" w:cs="Calibri" w:eastAsia="Calibri" w:hAnsi="Calibri"/>
        <w:color w:val="5C66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FA8" w:sz="6" w:space="3"/>
      </w:pBdr>
      <w:spacing w:after="14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F5F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7f01c2234cbe0b5438382f860de1724fb9b9e1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– Spain Top 50 Lifecycle Analysis</dc:title>
  <dc:creator>Swaraj Dattaram Tawade</dc:creator>
  <cp:lastModifiedBy>Un-named</cp:lastModifiedBy>
  <cp:revision>1</cp:revision>
  <dcterms:created xsi:type="dcterms:W3CDTF">2026-10-06T05:35:12.203Z</dcterms:created>
  <dcterms:modified xsi:type="dcterms:W3CDTF">2026-10-06T05:35:12.203Z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