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TELEMED AI v4</w:t>
      </w:r>
    </w:p>
    <w:p>
      <w:pPr>
        <w:spacing w:after="320"/>
      </w:pPr>
      <w:r>
        <w:rPr>
          <w:rFonts w:ascii="Arial" w:hAnsi="Arial"/>
          <w:color w:val="3B82F6"/>
          <w:sz w:val="26"/>
        </w:rPr>
        <w:t>Master Technical, Machine Learning, Clinical Decision-Support &amp; Software Architecture Defense Report</w:t>
      </w:r>
    </w:p>
    <w:p>
      <w:pPr>
        <w:spacing w:after="400"/>
      </w:pPr>
      <w:r>
        <w:rPr>
          <w:rFonts w:ascii="Arial" w:hAnsi="Arial"/>
          <w:color w:val="64748B"/>
          <w:sz w:val="19"/>
        </w:rPr>
        <w:t>Author / Engineering Lead: Swaran Gunda | Version: v4.0-final Production Baseline | Date: August 31, 2026</w:t>
      </w:r>
    </w:p>
    <w:p>
      <w:r>
        <w:br w:type="page"/>
      </w:r>
    </w:p>
    <w:p>
      <w:pPr>
        <w:pStyle w:val="Heading1"/>
        <w:spacing w:before="280" w:after="120"/>
      </w:pPr>
      <w:r>
        <w:rPr>
          <w:rFonts w:ascii="Arial" w:hAnsi="Arial"/>
          <w:b/>
          <w:color w:val="1E3A8A"/>
          <w:sz w:val="30"/>
        </w:rPr>
        <w:t>TELEMED AI v4: MULTIMODAL METABOLIC DECISION SUPPORT PLATFORM</w:t>
      </w:r>
    </w:p>
    <w:p>
      <w:pPr>
        <w:pStyle w:val="Heading2"/>
        <w:spacing w:before="200" w:after="80"/>
      </w:pPr>
      <w:r>
        <w:rPr>
          <w:rFonts w:ascii="Arial" w:hAnsi="Arial"/>
          <w:b/>
          <w:color w:val="3B82F6"/>
          <w:sz w:val="24"/>
        </w:rPr>
        <w:t>Master Technical, Machine Learning, Clinical Decision-Support &amp; Software Architecture Defense Report</w:t>
      </w:r>
    </w:p>
    <w:p>
      <w:pPr>
        <w:spacing w:before="40" w:after="80"/>
      </w:pPr>
      <w:r>
        <w:rPr>
          <w:rFonts w:ascii="Arial" w:hAnsi="Arial"/>
          <w:color w:val="334155"/>
          <w:sz w:val="19"/>
        </w:rPr>
      </w:r>
      <w:r>
        <w:rPr>
          <w:rFonts w:ascii="Arial" w:hAnsi="Arial"/>
          <w:b/>
          <w:color w:val="0F172A"/>
          <w:sz w:val="19"/>
        </w:rPr>
        <w:t>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 EXECUTIVE SUMMARY</w:t>
      </w:r>
    </w:p>
    <w:p>
      <w:pPr>
        <w:pStyle w:val="Heading3"/>
        <w:spacing w:before="160" w:after="40"/>
      </w:pPr>
      <w:r>
        <w:rPr>
          <w:rFonts w:ascii="Arial" w:hAnsi="Arial"/>
          <w:b/>
          <w:color w:val="0F172A"/>
          <w:sz w:val="21"/>
        </w:rPr>
        <w:t>1.1 Project Title &amp; Core Definition</w:t>
      </w:r>
    </w:p>
    <w:p>
      <w:pPr>
        <w:pStyle w:val="ListBullet"/>
        <w:spacing w:before="20" w:after="20"/>
      </w:pPr>
      <w:r>
        <w:rPr>
          <w:rFonts w:ascii="Arial" w:hAnsi="Arial"/>
          <w:color w:val="334155"/>
          <w:sz w:val="19"/>
        </w:rPr>
      </w:r>
      <w:r>
        <w:rPr>
          <w:rFonts w:ascii="Arial" w:hAnsi="Arial"/>
          <w:b/>
          <w:color w:val="0F172A"/>
          <w:sz w:val="19"/>
        </w:rPr>
        <w:t>Formal Project Title:</w:t>
      </w:r>
      <w:r>
        <w:rPr>
          <w:rFonts w:ascii="Arial" w:hAnsi="Arial"/>
          <w:color w:val="334155"/>
          <w:sz w:val="19"/>
        </w:rPr>
        <w:t xml:space="preserve"> TeleMed AI v4 — Generative AI-Assisted Multimodal Clinical Decision-Support &amp; Telemedicine Platform.</w:t>
      </w:r>
    </w:p>
    <w:p>
      <w:pPr>
        <w:pStyle w:val="ListBullet"/>
        <w:spacing w:before="20" w:after="20"/>
      </w:pPr>
      <w:r>
        <w:rPr>
          <w:rFonts w:ascii="Arial" w:hAnsi="Arial"/>
          <w:color w:val="334155"/>
          <w:sz w:val="19"/>
        </w:rPr>
      </w:r>
      <w:r>
        <w:rPr>
          <w:rFonts w:ascii="Arial" w:hAnsi="Arial"/>
          <w:b/>
          <w:color w:val="0F172A"/>
          <w:sz w:val="19"/>
        </w:rPr>
        <w:t>One-Line Definition:</w:t>
      </w:r>
      <w:r>
        <w:rPr>
          <w:rFonts w:ascii="Arial" w:hAnsi="Arial"/>
          <w:color w:val="334155"/>
          <w:sz w:val="19"/>
        </w:rPr>
        <w:t xml:space="preserve"> An enterprise-grade, privacy-first telemedicine platform combining 7-pathway multimodal machine learning (18 Clinical laboratory markers, 15 Wearable/CGM metrics, and 49 16S Gut Microbiome taxonomic/functional features — totaling 82 upstream predictive biomarkers), Unified TreeSHAP explainability, and evidence-grounded Medical Retrieval-Augmented Generation (RAG) to provide calibrated metabolic risk stratification without cross-modal data imputation.</w:t>
      </w:r>
    </w:p>
    <w:p>
      <w:pPr>
        <w:pStyle w:val="Heading3"/>
        <w:spacing w:before="160" w:after="40"/>
      </w:pPr>
      <w:r>
        <w:rPr>
          <w:rFonts w:ascii="Arial" w:hAnsi="Arial"/>
          <w:b/>
          <w:color w:val="0F172A"/>
          <w:sz w:val="21"/>
        </w:rPr>
        <w:t>1.2 Problem Being Solved &amp; Motivation</w:t>
      </w:r>
    </w:p>
    <w:p>
      <w:pPr>
        <w:spacing w:before="40" w:after="80"/>
      </w:pPr>
      <w:r>
        <w:rPr>
          <w:rFonts w:ascii="Arial" w:hAnsi="Arial"/>
          <w:color w:val="334155"/>
          <w:sz w:val="19"/>
        </w:rPr>
        <w:t>Metabolic and chronic non-communicable diseases—specifically Type 2 Diabetes, Prediabetes, High Adiposity Risk (Obesity), Metabolic Syndrome, and Non-Alcoholic Fatty Liver Disease (NAFLD)—represent a global epidemic causing over 70% of premature non-communicable deaths worldwide. Traditional telemedicine platforms suffer from critical deficiencies:</w:t>
      </w:r>
    </w:p>
    <w:p>
      <w:pPr>
        <w:spacing w:before="40" w:after="80"/>
      </w:pPr>
      <w:r>
        <w:rPr>
          <w:rFonts w:ascii="Arial" w:hAnsi="Arial"/>
          <w:color w:val="334155"/>
          <w:sz w:val="19"/>
        </w:rPr>
        <w:t xml:space="preserve">1. </w:t>
      </w:r>
      <w:r>
        <w:rPr>
          <w:rFonts w:ascii="Arial" w:hAnsi="Arial"/>
          <w:b/>
          <w:color w:val="0F172A"/>
          <w:sz w:val="19"/>
        </w:rPr>
        <w:t>Unimodal Isolation:</w:t>
      </w:r>
      <w:r>
        <w:rPr>
          <w:rFonts w:ascii="Arial" w:hAnsi="Arial"/>
          <w:color w:val="334155"/>
          <w:sz w:val="19"/>
        </w:rPr>
        <w:t xml:space="preserve"> Most platforms evaluate only basic clinical labs or self-reported questionnaires, ignoring continuous glycemic dynamics and gut microbiome dysbiosis.</w:t>
      </w:r>
    </w:p>
    <w:p>
      <w:pPr>
        <w:spacing w:before="40" w:after="80"/>
      </w:pPr>
      <w:r>
        <w:rPr>
          <w:rFonts w:ascii="Arial" w:hAnsi="Arial"/>
          <w:color w:val="334155"/>
          <w:sz w:val="19"/>
        </w:rPr>
        <w:t xml:space="preserve">2. </w:t>
      </w:r>
      <w:r>
        <w:rPr>
          <w:rFonts w:ascii="Arial" w:hAnsi="Arial"/>
          <w:b/>
          <w:color w:val="0F172A"/>
          <w:sz w:val="19"/>
        </w:rPr>
        <w:t>Forced Data Imputation / Hallucination:</w:t>
      </w:r>
      <w:r>
        <w:rPr>
          <w:rFonts w:ascii="Arial" w:hAnsi="Arial"/>
          <w:color w:val="334155"/>
          <w:sz w:val="19"/>
        </w:rPr>
        <w:t xml:space="preserve"> When patient data is incomplete (e.g. missing wearable or gut microbiome test), existing systems either fail completely or impute synthetic averages, introducing severe data contamination and false clinical certainty.</w:t>
      </w:r>
    </w:p>
    <w:p>
      <w:pPr>
        <w:spacing w:before="40" w:after="80"/>
      </w:pPr>
      <w:r>
        <w:rPr>
          <w:rFonts w:ascii="Arial" w:hAnsi="Arial"/>
          <w:color w:val="334155"/>
          <w:sz w:val="19"/>
        </w:rPr>
        <w:t xml:space="preserve">3. </w:t>
      </w:r>
      <w:r>
        <w:rPr>
          <w:rFonts w:ascii="Arial" w:hAnsi="Arial"/>
          <w:b/>
          <w:color w:val="0F172A"/>
          <w:sz w:val="19"/>
        </w:rPr>
        <w:t>Black-Box AI:</w:t>
      </w:r>
      <w:r>
        <w:rPr>
          <w:rFonts w:ascii="Arial" w:hAnsi="Arial"/>
          <w:color w:val="334155"/>
          <w:sz w:val="19"/>
        </w:rPr>
        <w:t xml:space="preserve"> Opaque neural networks output arbitrary risk numbers without transparent biomarker-level attribution, leading to clinician distrust.</w:t>
      </w:r>
    </w:p>
    <w:p>
      <w:pPr>
        <w:spacing w:before="40" w:after="80"/>
      </w:pPr>
      <w:r>
        <w:rPr>
          <w:rFonts w:ascii="Arial" w:hAnsi="Arial"/>
          <w:color w:val="334155"/>
          <w:sz w:val="19"/>
        </w:rPr>
        <w:t xml:space="preserve">4. </w:t>
      </w:r>
      <w:r>
        <w:rPr>
          <w:rFonts w:ascii="Arial" w:hAnsi="Arial"/>
          <w:b/>
          <w:color w:val="0F172A"/>
          <w:sz w:val="19"/>
        </w:rPr>
        <w:t>Ungrounded Generative AI:</w:t>
      </w:r>
      <w:r>
        <w:rPr>
          <w:rFonts w:ascii="Arial" w:hAnsi="Arial"/>
          <w:color w:val="334155"/>
          <w:sz w:val="19"/>
        </w:rPr>
        <w:t xml:space="preserve"> Consumer LLMs hallucinate medical guidance when answering patient queries without grounding in peer-reviewed clinical guidelines.</w:t>
      </w:r>
    </w:p>
    <w:p>
      <w:pPr>
        <w:pStyle w:val="Heading3"/>
        <w:spacing w:before="160" w:after="40"/>
      </w:pPr>
      <w:r>
        <w:rPr>
          <w:rFonts w:ascii="Arial" w:hAnsi="Arial"/>
          <w:b/>
          <w:color w:val="0F172A"/>
          <w:sz w:val="21"/>
        </w:rPr>
        <w:t>1.3 Target Users &amp; Clinical Stakeholders</w:t>
      </w:r>
    </w:p>
    <w:p>
      <w:pPr>
        <w:pStyle w:val="ListBullet"/>
        <w:spacing w:before="20" w:after="20"/>
      </w:pPr>
      <w:r>
        <w:rPr>
          <w:rFonts w:ascii="Arial" w:hAnsi="Arial"/>
          <w:color w:val="334155"/>
          <w:sz w:val="19"/>
        </w:rPr>
      </w:r>
      <w:r>
        <w:rPr>
          <w:rFonts w:ascii="Arial" w:hAnsi="Arial"/>
          <w:b/>
          <w:color w:val="0F172A"/>
          <w:sz w:val="19"/>
        </w:rPr>
        <w:t>Patients:</w:t>
      </w:r>
      <w:r>
        <w:rPr>
          <w:rFonts w:ascii="Arial" w:hAnsi="Arial"/>
          <w:color w:val="334155"/>
          <w:sz w:val="19"/>
        </w:rPr>
        <w:t xml:space="preserve"> Individuals seeking preventive metabolic assessment, multimodal biomarker logging, automated explainable risk insights, appointment scheduling, and encrypted telemedicine consultations.</w:t>
      </w:r>
    </w:p>
    <w:p>
      <w:pPr>
        <w:pStyle w:val="ListBullet"/>
        <w:spacing w:before="20" w:after="20"/>
      </w:pPr>
      <w:r>
        <w:rPr>
          <w:rFonts w:ascii="Arial" w:hAnsi="Arial"/>
          <w:color w:val="334155"/>
          <w:sz w:val="19"/>
        </w:rPr>
      </w:r>
      <w:r>
        <w:rPr>
          <w:rFonts w:ascii="Arial" w:hAnsi="Arial"/>
          <w:b/>
          <w:color w:val="0F172A"/>
          <w:sz w:val="19"/>
        </w:rPr>
        <w:t>Clinicians &amp; Healthcare Providers:</w:t>
      </w:r>
      <w:r>
        <w:rPr>
          <w:rFonts w:ascii="Arial" w:hAnsi="Arial"/>
          <w:color w:val="334155"/>
          <w:sz w:val="19"/>
        </w:rPr>
        <w:t xml:space="preserve"> Physicians, endocrinologists, and gastroenterologists requiring objective risk stratification, TreeSHAP biomarker drivers, AI-synthesized clinical summaries with guideline citations, and an integrated consultation workspace.</w:t>
      </w:r>
    </w:p>
    <w:p>
      <w:pPr>
        <w:pStyle w:val="ListBullet"/>
        <w:spacing w:before="20" w:after="20"/>
      </w:pPr>
      <w:r>
        <w:rPr>
          <w:rFonts w:ascii="Arial" w:hAnsi="Arial"/>
          <w:color w:val="334155"/>
          <w:sz w:val="19"/>
        </w:rPr>
      </w:r>
      <w:r>
        <w:rPr>
          <w:rFonts w:ascii="Arial" w:hAnsi="Arial"/>
          <w:b/>
          <w:color w:val="0F172A"/>
          <w:sz w:val="19"/>
        </w:rPr>
        <w:t>Health System Administrators:</w:t>
      </w:r>
      <w:r>
        <w:rPr>
          <w:rFonts w:ascii="Arial" w:hAnsi="Arial"/>
          <w:color w:val="334155"/>
          <w:sz w:val="19"/>
        </w:rPr>
        <w:t xml:space="preserve"> Clinical compliance officers and compliance auditors monitoring system throughput, doctor credential verification, and cryptographic immutable audit ledgers.</w:t>
      </w:r>
    </w:p>
    <w:p>
      <w:pPr>
        <w:pStyle w:val="Heading3"/>
        <w:spacing w:before="160" w:after="40"/>
      </w:pPr>
      <w:r>
        <w:rPr>
          <w:rFonts w:ascii="Arial" w:hAnsi="Arial"/>
          <w:b/>
          <w:color w:val="0F172A"/>
          <w:sz w:val="21"/>
        </w:rPr>
        <w:t>1.4 Core Innovations &amp; Technical Architecture</w:t>
      </w:r>
    </w:p>
    <w:p>
      <w:pPr>
        <w:spacing w:before="40" w:after="80"/>
      </w:pPr>
      <w:r>
        <w:rPr>
          <w:rFonts w:ascii="Arial" w:hAnsi="Arial"/>
          <w:color w:val="334155"/>
          <w:sz w:val="19"/>
        </w:rPr>
        <w:t xml:space="preserve">1. </w:t>
      </w:r>
      <w:r>
        <w:rPr>
          <w:rFonts w:ascii="Arial" w:hAnsi="Arial"/>
          <w:b/>
          <w:color w:val="0F172A"/>
          <w:sz w:val="19"/>
        </w:rPr>
        <w:t>Exact 7-Pathway Routing Architecture:</w:t>
      </w:r>
      <w:r>
        <w:rPr>
          <w:rFonts w:ascii="Arial" w:hAnsi="Arial"/>
          <w:color w:val="334155"/>
          <w:sz w:val="19"/>
        </w:rPr>
        <w:t xml:space="preserve"> Accommodates all $2^3 - 1 = 7$ mathematical permutations of available patient data:</w:t>
      </w:r>
    </w:p>
    <w:p>
      <w:pPr>
        <w:spacing w:before="40" w:after="80"/>
      </w:pPr>
      <w:r>
        <w:rPr>
          <w:rFonts w:ascii="Arial" w:hAnsi="Arial"/>
          <w:color w:val="334155"/>
          <w:sz w:val="19"/>
        </w:rPr>
        <w:t xml:space="preserve">* </w:t>
      </w:r>
      <w:r>
        <w:rPr>
          <w:rFonts w:ascii="Arial" w:hAnsi="Arial"/>
          <w:b/>
          <w:color w:val="0F172A"/>
          <w:sz w:val="19"/>
        </w:rPr>
        <w:t>Unimodal Pathways:</w:t>
      </w:r>
      <w:r>
        <w:rPr>
          <w:rFonts w:ascii="Arial" w:hAnsi="Arial"/>
          <w:color w:val="334155"/>
          <w:sz w:val="19"/>
        </w:rPr>
        <w:t xml:space="preserve"> Pathway 1 ($C$: 18 Clinical inputs), Pathway 2 ($W$: 15 Wearable inputs), Pathway 3 ($G$: 49 Gut Microbiome inputs).</w:t>
      </w:r>
    </w:p>
    <w:p>
      <w:pPr>
        <w:spacing w:before="40" w:after="80"/>
      </w:pPr>
      <w:r>
        <w:rPr>
          <w:rFonts w:ascii="Arial" w:hAnsi="Arial"/>
          <w:color w:val="334155"/>
          <w:sz w:val="19"/>
        </w:rPr>
        <w:t xml:space="preserve">* </w:t>
      </w:r>
      <w:r>
        <w:rPr>
          <w:rFonts w:ascii="Arial" w:hAnsi="Arial"/>
          <w:b/>
          <w:color w:val="0F172A"/>
          <w:sz w:val="19"/>
        </w:rPr>
        <w:t>Bimodal Pathways:</w:t>
      </w:r>
      <w:r>
        <w:rPr>
          <w:rFonts w:ascii="Arial" w:hAnsi="Arial"/>
          <w:color w:val="334155"/>
          <w:sz w:val="19"/>
        </w:rPr>
        <w:t xml:space="preserve"> Pathway 4 ($C+W$: 33 available features $</w:t>
        <w:tab/>
        <w:t>o$ Probability Stacking), Pathway 5 ($C+G$: 67 available features $</w:t>
        <w:tab/>
        <w:t>o$ Probability Stacking), Pathway 6 ($W+G$: 64 available features $</w:t>
        <w:tab/>
        <w:t>o$ 2-Input Probability Stacker).</w:t>
      </w:r>
    </w:p>
    <w:p>
      <w:pPr>
        <w:spacing w:before="40" w:after="80"/>
      </w:pPr>
      <w:r>
        <w:rPr>
          <w:rFonts w:ascii="Arial" w:hAnsi="Arial"/>
          <w:color w:val="334155"/>
          <w:sz w:val="19"/>
        </w:rPr>
        <w:t xml:space="preserve">* </w:t>
      </w:r>
      <w:r>
        <w:rPr>
          <w:rFonts w:ascii="Arial" w:hAnsi="Arial"/>
          <w:b/>
          <w:color w:val="0F172A"/>
          <w:sz w:val="19"/>
        </w:rPr>
        <w:t>Trimodal Pathway:</w:t>
      </w:r>
      <w:r>
        <w:rPr>
          <w:rFonts w:ascii="Arial" w:hAnsi="Arial"/>
          <w:color w:val="334155"/>
          <w:sz w:val="19"/>
        </w:rPr>
        <w:t xml:space="preserve"> Pathway 7 ($C+W+G$: 82 available features $</w:t>
        <w:tab/>
        <w:t>o$ 15 Expert Probability Meta-Features $</w:t>
        <w:tab/>
        <w:t>o$ 3-Input per Target Stacking Meta-Learner).</w:t>
      </w:r>
    </w:p>
    <w:p>
      <w:pPr>
        <w:spacing w:before="40" w:after="80"/>
      </w:pPr>
      <w:r>
        <w:rPr>
          <w:rFonts w:ascii="Arial" w:hAnsi="Arial"/>
          <w:color w:val="334155"/>
          <w:sz w:val="19"/>
        </w:rPr>
        <w:t xml:space="preserve">2. </w:t>
      </w:r>
      <w:r>
        <w:rPr>
          <w:rFonts w:ascii="Arial" w:hAnsi="Arial"/>
          <w:b/>
          <w:color w:val="0F172A"/>
          <w:sz w:val="19"/>
        </w:rPr>
        <w:t>Zero-Imputation Missing-Modality Guarantee:</w:t>
      </w:r>
      <w:r>
        <w:rPr>
          <w:rFonts w:ascii="Arial" w:hAnsi="Arial"/>
          <w:color w:val="334155"/>
          <w:sz w:val="19"/>
        </w:rPr>
        <w:t xml:space="preserve"> Modalities that are not provided by the patient remain strictly `null` (`NOT PROVIDED`), eliminating cross-modal leakage and false feature synthesis.</w:t>
      </w:r>
    </w:p>
    <w:p>
      <w:pPr>
        <w:spacing w:before="40" w:after="80"/>
      </w:pPr>
      <w:r>
        <w:rPr>
          <w:rFonts w:ascii="Arial" w:hAnsi="Arial"/>
          <w:color w:val="334155"/>
          <w:sz w:val="19"/>
        </w:rPr>
        <w:t xml:space="preserve">3. </w:t>
      </w:r>
      <w:r>
        <w:rPr>
          <w:rFonts w:ascii="Arial" w:hAnsi="Arial"/>
          <w:b/>
          <w:color w:val="0F172A"/>
          <w:sz w:val="19"/>
        </w:rPr>
        <w:t>Exact 5-Target Multimodal Disease Spectrum:</w:t>
      </w:r>
      <w:r>
        <w:rPr>
          <w:rFonts w:ascii="Arial" w:hAnsi="Arial"/>
          <w:color w:val="334155"/>
          <w:sz w:val="19"/>
        </w:rPr>
        <w:t xml:space="preserve"> Calibrated predictions for exactly five metabolic conditions: `Type2_Diabetes`, `Prediabetes`, `High_Adiposity_Risk`, `Metabolic_Syndrome`, and `NAFLD`.</w:t>
      </w:r>
    </w:p>
    <w:p>
      <w:pPr>
        <w:spacing w:before="40" w:after="80"/>
      </w:pPr>
      <w:r>
        <w:rPr>
          <w:rFonts w:ascii="Arial" w:hAnsi="Arial"/>
          <w:color w:val="334155"/>
          <w:sz w:val="19"/>
        </w:rPr>
        <w:t xml:space="preserve">4. </w:t>
      </w:r>
      <w:r>
        <w:rPr>
          <w:rFonts w:ascii="Arial" w:hAnsi="Arial"/>
          <w:b/>
          <w:color w:val="0F172A"/>
          <w:sz w:val="19"/>
        </w:rPr>
        <w:t>Unified TreeSHAP Explainability:</w:t>
      </w:r>
      <w:r>
        <w:rPr>
          <w:rFonts w:ascii="Arial" w:hAnsi="Arial"/>
          <w:color w:val="334155"/>
          <w:sz w:val="19"/>
        </w:rPr>
        <w:t xml:space="preserve"> Fast tree-ensemble feature attribution calculating exact local Shapley values ($O(TLD^2)$ complexity) for every prediction.</w:t>
      </w:r>
    </w:p>
    <w:p>
      <w:pPr>
        <w:spacing w:before="40" w:after="80"/>
      </w:pPr>
      <w:r>
        <w:rPr>
          <w:rFonts w:ascii="Arial" w:hAnsi="Arial"/>
          <w:color w:val="334155"/>
          <w:sz w:val="19"/>
        </w:rPr>
        <w:t xml:space="preserve">5. </w:t>
      </w:r>
      <w:r>
        <w:rPr>
          <w:rFonts w:ascii="Arial" w:hAnsi="Arial"/>
          <w:b/>
          <w:color w:val="0F172A"/>
          <w:sz w:val="19"/>
        </w:rPr>
        <w:t>Deterministic Evidence-Grounded Medical RAG:</w:t>
      </w:r>
      <w:r>
        <w:rPr>
          <w:rFonts w:ascii="Arial" w:hAnsi="Arial"/>
          <w:color w:val="334155"/>
          <w:sz w:val="19"/>
        </w:rPr>
        <w:t xml:space="preserve"> Vector-indexed clinical guidelines (ADA, EASD, AHA/ACC, AASLD, AGA) synthesized through FAISS vector retrieval with explicit evidence citations.</w:t>
      </w:r>
    </w:p>
    <w:p>
      <w:pPr>
        <w:spacing w:before="40" w:after="80"/>
      </w:pPr>
      <w:r>
        <w:rPr>
          <w:rFonts w:ascii="Arial" w:hAnsi="Arial"/>
          <w:color w:val="334155"/>
          <w:sz w:val="19"/>
        </w:rPr>
        <w:t xml:space="preserve">6. </w:t>
      </w:r>
      <w:r>
        <w:rPr>
          <w:rFonts w:ascii="Arial" w:hAnsi="Arial"/>
          <w:b/>
          <w:color w:val="0F172A"/>
          <w:sz w:val="19"/>
        </w:rPr>
        <w:t>Multi-Portal Zero-Cost Production Stack:</w:t>
      </w:r>
      <w:r>
        <w:rPr>
          <w:rFonts w:ascii="Arial" w:hAnsi="Arial"/>
          <w:color w:val="334155"/>
          <w:sz w:val="19"/>
        </w:rPr>
        <w:t xml:space="preserve"> Vercel (React 18 Frontend) + Render (FastAPI ASGI + 7-Pathway ML Engine) + Neon Cloud (Serverless PostgreSQL 17).</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 PROBLEM STATEMENT, OBJECTIVES &amp; ABSTRACT</w:t>
      </w:r>
    </w:p>
    <w:p>
      <w:pPr>
        <w:pStyle w:val="Heading3"/>
        <w:spacing w:before="160" w:after="40"/>
      </w:pPr>
      <w:r>
        <w:rPr>
          <w:rFonts w:ascii="Arial" w:hAnsi="Arial"/>
          <w:b/>
          <w:color w:val="0F172A"/>
          <w:sz w:val="21"/>
        </w:rPr>
        <w:t>2.1 Formal Problem Title</w:t>
      </w:r>
    </w:p>
    <w:p>
      <w:pPr>
        <w:spacing w:before="40" w:after="80"/>
      </w:pPr>
      <w:r>
        <w:rPr>
          <w:rFonts w:ascii="Arial" w:hAnsi="Arial"/>
          <w:color w:val="334155"/>
          <w:sz w:val="19"/>
        </w:rPr>
        <w:t>*Design, Implementation, and Empirical Validation of a Zero-Imputation 7-Pathway Multimodal Machine Learning and Retrieval-Augmented Generation Architecture for Metabolic Syndrome Risk Stratification in Distributed Telemedicine Platforms.*</w:t>
      </w:r>
    </w:p>
    <w:p>
      <w:pPr>
        <w:pStyle w:val="Heading3"/>
        <w:spacing w:before="160" w:after="40"/>
      </w:pPr>
      <w:r>
        <w:rPr>
          <w:rFonts w:ascii="Arial" w:hAnsi="Arial"/>
          <w:b/>
          <w:color w:val="0F172A"/>
          <w:sz w:val="21"/>
        </w:rPr>
        <w:t>2.2 Detailed Problem Statement</w:t>
      </w:r>
    </w:p>
    <w:p>
      <w:pPr>
        <w:spacing w:before="40" w:after="80"/>
      </w:pPr>
      <w:r>
        <w:rPr>
          <w:rFonts w:ascii="Arial" w:hAnsi="Arial"/>
          <w:color w:val="334155"/>
          <w:sz w:val="19"/>
        </w:rPr>
        <w:t>In modern clinical practice, metabolic disorders develop silently through interconnected pathophysiological axes: systemic insulin resistance (reflected in fasting glucose, HbA1c, and lipid panels), glycemic variability (captured by continuous glucose monitors and autonomic heart rate metrics), and gut mucosal dysbiosis (quantified by 16S rRNA relative bacterial abundances). Despite the known cross-talk between these biological layers, clinical decision support in telemedicine remains fragmented. When patients present with partial biomarker panels, conventional systems either break or fabricate values via mean/median imputation, severely violating medical reliability standards.</w:t>
      </w:r>
    </w:p>
    <w:p>
      <w:pPr>
        <w:pStyle w:val="Heading3"/>
        <w:spacing w:before="160" w:after="40"/>
      </w:pPr>
      <w:r>
        <w:rPr>
          <w:rFonts w:ascii="Arial" w:hAnsi="Arial"/>
          <w:b/>
          <w:color w:val="0F172A"/>
          <w:sz w:val="21"/>
        </w:rPr>
        <w:t>2.3 Research &amp; Engineering Objectives</w:t>
      </w:r>
    </w:p>
    <w:p>
      <w:pPr>
        <w:spacing w:before="40" w:after="80"/>
      </w:pPr>
      <w:r>
        <w:rPr>
          <w:rFonts w:ascii="Arial" w:hAnsi="Arial"/>
          <w:color w:val="334155"/>
          <w:sz w:val="19"/>
        </w:rPr>
        <w:t xml:space="preserve">1. </w:t>
      </w:r>
      <w:r>
        <w:rPr>
          <w:rFonts w:ascii="Arial" w:hAnsi="Arial"/>
          <w:b/>
          <w:color w:val="0F172A"/>
          <w:sz w:val="19"/>
        </w:rPr>
        <w:t>Objective 1 (Multimodal Integrity):</w:t>
      </w:r>
      <w:r>
        <w:rPr>
          <w:rFonts w:ascii="Arial" w:hAnsi="Arial"/>
          <w:color w:val="334155"/>
          <w:sz w:val="19"/>
        </w:rPr>
        <w:t xml:space="preserve"> Engineer 7 independent, dynamically routed inference pipelines that process any combination of Clinical (18 features), Wearable (15 features), and Gut Microbiome (49 features) data without synthetic feature imputation.</w:t>
      </w:r>
    </w:p>
    <w:p>
      <w:pPr>
        <w:spacing w:before="40" w:after="80"/>
      </w:pPr>
      <w:r>
        <w:rPr>
          <w:rFonts w:ascii="Arial" w:hAnsi="Arial"/>
          <w:color w:val="334155"/>
          <w:sz w:val="19"/>
        </w:rPr>
        <w:t xml:space="preserve">2. </w:t>
      </w:r>
      <w:r>
        <w:rPr>
          <w:rFonts w:ascii="Arial" w:hAnsi="Arial"/>
          <w:b/>
          <w:color w:val="0F172A"/>
          <w:sz w:val="19"/>
        </w:rPr>
        <w:t>Objective 2 (Calibrated Stratification):</w:t>
      </w:r>
      <w:r>
        <w:rPr>
          <w:rFonts w:ascii="Arial" w:hAnsi="Arial"/>
          <w:color w:val="334155"/>
          <w:sz w:val="19"/>
        </w:rPr>
        <w:t xml:space="preserve"> Train and evaluate expert ensembles across exactly 5 metabolic targets, maximizing Macro F1 and ROC-AUC.</w:t>
      </w:r>
    </w:p>
    <w:p>
      <w:pPr>
        <w:spacing w:before="40" w:after="80"/>
      </w:pPr>
      <w:r>
        <w:rPr>
          <w:rFonts w:ascii="Arial" w:hAnsi="Arial"/>
          <w:color w:val="334155"/>
          <w:sz w:val="19"/>
        </w:rPr>
        <w:t xml:space="preserve">3. </w:t>
      </w:r>
      <w:r>
        <w:rPr>
          <w:rFonts w:ascii="Arial" w:hAnsi="Arial"/>
          <w:b/>
          <w:color w:val="0F172A"/>
          <w:sz w:val="19"/>
        </w:rPr>
        <w:t>Objective 3 (Clinical Explainability):</w:t>
      </w:r>
      <w:r>
        <w:rPr>
          <w:rFonts w:ascii="Arial" w:hAnsi="Arial"/>
          <w:color w:val="334155"/>
          <w:sz w:val="19"/>
        </w:rPr>
        <w:t xml:space="preserve"> Implement Unified TreeSHAP attribution delivering top risk-increasing and risk-decreasing biomarkers per patient in $&lt;400$ ms.</w:t>
      </w:r>
    </w:p>
    <w:p>
      <w:pPr>
        <w:spacing w:before="40" w:after="80"/>
      </w:pPr>
      <w:r>
        <w:rPr>
          <w:rFonts w:ascii="Arial" w:hAnsi="Arial"/>
          <w:color w:val="334155"/>
          <w:sz w:val="19"/>
        </w:rPr>
        <w:t xml:space="preserve">4. </w:t>
      </w:r>
      <w:r>
        <w:rPr>
          <w:rFonts w:ascii="Arial" w:hAnsi="Arial"/>
          <w:b/>
          <w:color w:val="0F172A"/>
          <w:sz w:val="19"/>
        </w:rPr>
        <w:t>Objective 4 (Grounded Decision Support):</w:t>
      </w:r>
      <w:r>
        <w:rPr>
          <w:rFonts w:ascii="Arial" w:hAnsi="Arial"/>
          <w:color w:val="334155"/>
          <w:sz w:val="19"/>
        </w:rPr>
        <w:t xml:space="preserve"> Implement a Medical RAG pipeline retrieving verified medical guidelines to eliminate generative AI hallucinations.</w:t>
      </w:r>
    </w:p>
    <w:p>
      <w:pPr>
        <w:spacing w:before="40" w:after="80"/>
      </w:pPr>
      <w:r>
        <w:rPr>
          <w:rFonts w:ascii="Arial" w:hAnsi="Arial"/>
          <w:color w:val="334155"/>
          <w:sz w:val="19"/>
        </w:rPr>
        <w:t xml:space="preserve">5. </w:t>
      </w:r>
      <w:r>
        <w:rPr>
          <w:rFonts w:ascii="Arial" w:hAnsi="Arial"/>
          <w:b/>
          <w:color w:val="0F172A"/>
          <w:sz w:val="19"/>
        </w:rPr>
        <w:t>Objective 5 (Enterprise Software &amp; Security):</w:t>
      </w:r>
      <w:r>
        <w:rPr>
          <w:rFonts w:ascii="Arial" w:hAnsi="Arial"/>
          <w:color w:val="334155"/>
          <w:sz w:val="19"/>
        </w:rPr>
        <w:t xml:space="preserve"> Deliver role-based access control (RBAC), multi-tenant IDOR protection, cryptographic audit logging, and automated CI/CD deployment on a zero-cost production cloud.</w:t>
      </w:r>
    </w:p>
    <w:p>
      <w:pPr>
        <w:pStyle w:val="Heading3"/>
        <w:spacing w:before="160" w:after="40"/>
      </w:pPr>
      <w:r>
        <w:rPr>
          <w:rFonts w:ascii="Arial" w:hAnsi="Arial"/>
          <w:b/>
          <w:color w:val="0F172A"/>
          <w:sz w:val="21"/>
        </w:rPr>
        <w:t>2.4 Functional &amp; Non-Functional Requirements</w:t>
      </w:r>
    </w:p>
    <w:p>
      <w:pPr>
        <w:pStyle w:val="ListBullet"/>
        <w:spacing w:before="20" w:after="20"/>
      </w:pPr>
      <w:r>
        <w:rPr>
          <w:rFonts w:ascii="Arial" w:hAnsi="Arial"/>
          <w:color w:val="334155"/>
          <w:sz w:val="19"/>
        </w:rPr>
      </w:r>
      <w:r>
        <w:rPr>
          <w:rFonts w:ascii="Arial" w:hAnsi="Arial"/>
          <w:b/>
          <w:color w:val="0F172A"/>
          <w:sz w:val="19"/>
        </w:rPr>
        <w:t>Functional Requirements:</w:t>
      </w:r>
      <w:r>
        <w:rPr>
          <w:rFonts w:ascii="Arial" w:hAnsi="Arial"/>
          <w:color w:val="334155"/>
          <w:sz w:val="19"/>
        </w:rPr>
      </w:r>
    </w:p>
    <w:p>
      <w:pPr>
        <w:spacing w:before="40" w:after="80"/>
      </w:pPr>
      <w:r>
        <w:rPr>
          <w:rFonts w:ascii="Arial" w:hAnsi="Arial"/>
          <w:color w:val="334155"/>
          <w:sz w:val="19"/>
        </w:rPr>
        <w:t>* Automated PDF/OCR lab report extraction and structured biomarker parsing.</w:t>
      </w:r>
    </w:p>
    <w:p>
      <w:pPr>
        <w:spacing w:before="40" w:after="80"/>
      </w:pPr>
      <w:r>
        <w:rPr>
          <w:rFonts w:ascii="Arial" w:hAnsi="Arial"/>
          <w:color w:val="334155"/>
          <w:sz w:val="19"/>
        </w:rPr>
        <w:t>* 7-pathway dynamic inference with missing modality preservation.</w:t>
      </w:r>
    </w:p>
    <w:p>
      <w:pPr>
        <w:spacing w:before="40" w:after="80"/>
      </w:pPr>
      <w:r>
        <w:rPr>
          <w:rFonts w:ascii="Arial" w:hAnsi="Arial"/>
          <w:color w:val="334155"/>
          <w:sz w:val="19"/>
        </w:rPr>
        <w:t>* TreeSHAP feature attribution waterfall generation.</w:t>
      </w:r>
    </w:p>
    <w:p>
      <w:pPr>
        <w:spacing w:before="40" w:after="80"/>
      </w:pPr>
      <w:r>
        <w:rPr>
          <w:rFonts w:ascii="Arial" w:hAnsi="Arial"/>
          <w:color w:val="334155"/>
          <w:sz w:val="19"/>
        </w:rPr>
        <w:t>* Grounded clinical report generation with guideline citations.</w:t>
      </w:r>
    </w:p>
    <w:p>
      <w:pPr>
        <w:spacing w:before="40" w:after="80"/>
      </w:pPr>
      <w:r>
        <w:rPr>
          <w:rFonts w:ascii="Arial" w:hAnsi="Arial"/>
          <w:color w:val="334155"/>
          <w:sz w:val="19"/>
        </w:rPr>
        <w:t>* Multi-portal workspaces for Patients, Doctors, and Administrators.</w:t>
      </w:r>
    </w:p>
    <w:p>
      <w:pPr>
        <w:spacing w:before="40" w:after="80"/>
      </w:pPr>
      <w:r>
        <w:rPr>
          <w:rFonts w:ascii="Arial" w:hAnsi="Arial"/>
          <w:color w:val="334155"/>
          <w:sz w:val="19"/>
        </w:rPr>
        <w:t>* Real-time consultation booking, messaging, and appointment management.</w:t>
      </w:r>
    </w:p>
    <w:p>
      <w:pPr>
        <w:pStyle w:val="ListBullet"/>
        <w:spacing w:before="20" w:after="20"/>
      </w:pPr>
      <w:r>
        <w:rPr>
          <w:rFonts w:ascii="Arial" w:hAnsi="Arial"/>
          <w:color w:val="334155"/>
          <w:sz w:val="19"/>
        </w:rPr>
      </w:r>
      <w:r>
        <w:rPr>
          <w:rFonts w:ascii="Arial" w:hAnsi="Arial"/>
          <w:b/>
          <w:color w:val="0F172A"/>
          <w:sz w:val="19"/>
        </w:rPr>
        <w:t>Non-Functional Requirements: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Latency:</w:t>
      </w:r>
      <w:r>
        <w:rPr>
          <w:rFonts w:ascii="Arial" w:hAnsi="Arial"/>
          <w:color w:val="334155"/>
          <w:sz w:val="19"/>
        </w:rPr>
        <w:t xml:space="preserve"> Single-pathway ML inference $&lt;60$ ms; RAG synthesis $&lt;500$ ms.</w:t>
      </w:r>
    </w:p>
    <w:p>
      <w:pPr>
        <w:spacing w:before="40" w:after="80"/>
      </w:pPr>
      <w:r>
        <w:rPr>
          <w:rFonts w:ascii="Arial" w:hAnsi="Arial"/>
          <w:color w:val="334155"/>
          <w:sz w:val="19"/>
        </w:rPr>
        <w:t xml:space="preserve">* </w:t>
      </w:r>
      <w:r>
        <w:rPr>
          <w:rFonts w:ascii="Arial" w:hAnsi="Arial"/>
          <w:b/>
          <w:color w:val="0F172A"/>
          <w:sz w:val="19"/>
        </w:rPr>
        <w:t>Memory Ceiling:</w:t>
      </w:r>
      <w:r>
        <w:rPr>
          <w:rFonts w:ascii="Arial" w:hAnsi="Arial"/>
          <w:color w:val="334155"/>
          <w:sz w:val="19"/>
        </w:rPr>
        <w:t xml:space="preserve"> Total resident set size $&lt;512$ MB for zero-cost cloud compatibility.</w:t>
      </w:r>
    </w:p>
    <w:p>
      <w:pPr>
        <w:spacing w:before="40" w:after="80"/>
      </w:pPr>
      <w:r>
        <w:rPr>
          <w:rFonts w:ascii="Arial" w:hAnsi="Arial"/>
          <w:color w:val="334155"/>
          <w:sz w:val="19"/>
        </w:rPr>
        <w:t xml:space="preserve">* </w:t>
      </w:r>
      <w:r>
        <w:rPr>
          <w:rFonts w:ascii="Arial" w:hAnsi="Arial"/>
          <w:b/>
          <w:color w:val="0F172A"/>
          <w:sz w:val="19"/>
        </w:rPr>
        <w:t>Security:</w:t>
      </w:r>
      <w:r>
        <w:rPr>
          <w:rFonts w:ascii="Arial" w:hAnsi="Arial"/>
          <w:color w:val="334155"/>
          <w:sz w:val="19"/>
        </w:rPr>
        <w:t xml:space="preserve"> Strict JWT authentication, cryptographic audit hashing, and zero cross-tenant IDOR leakage.</w:t>
      </w:r>
    </w:p>
    <w:p>
      <w:pPr>
        <w:spacing w:before="40" w:after="80"/>
      </w:pPr>
      <w:r>
        <w:rPr>
          <w:rFonts w:ascii="Arial" w:hAnsi="Arial"/>
          <w:color w:val="334155"/>
          <w:sz w:val="19"/>
        </w:rPr>
        <w:t xml:space="preserve">* </w:t>
      </w:r>
      <w:r>
        <w:rPr>
          <w:rFonts w:ascii="Arial" w:hAnsi="Arial"/>
          <w:b/>
          <w:color w:val="0F172A"/>
          <w:sz w:val="19"/>
        </w:rPr>
        <w:t>Reliability:</w:t>
      </w:r>
      <w:r>
        <w:rPr>
          <w:rFonts w:ascii="Arial" w:hAnsi="Arial"/>
          <w:color w:val="334155"/>
          <w:sz w:val="19"/>
        </w:rPr>
        <w:t xml:space="preserve"> 100% test pass rate across unit, integration, and security regression suites.</w:t>
      </w:r>
    </w:p>
    <w:p>
      <w:pPr>
        <w:pStyle w:val="Heading3"/>
        <w:spacing w:before="160" w:after="40"/>
      </w:pPr>
      <w:r>
        <w:rPr>
          <w:rFonts w:ascii="Arial" w:hAnsi="Arial"/>
          <w:b/>
          <w:color w:val="0F172A"/>
          <w:sz w:val="21"/>
        </w:rPr>
        <w:t>2.5 Academic Abstract</w:t>
      </w:r>
    </w:p>
    <w:p>
      <w:pPr>
        <w:spacing w:before="40" w:after="80"/>
      </w:pPr>
      <w:r>
        <w:rPr>
          <w:rFonts w:ascii="Arial" w:hAnsi="Arial"/>
          <w:color w:val="334155"/>
          <w:sz w:val="19"/>
        </w:rPr>
        <w:t xml:space="preserve">This report presents </w:t>
      </w:r>
      <w:r>
        <w:rPr>
          <w:rFonts w:ascii="Arial" w:hAnsi="Arial"/>
          <w:b/>
          <w:color w:val="0F172A"/>
          <w:sz w:val="19"/>
        </w:rPr>
        <w:t>TeleMed AI v4</w:t>
      </w:r>
      <w:r>
        <w:rPr>
          <w:rFonts w:ascii="Arial" w:hAnsi="Arial"/>
          <w:color w:val="334155"/>
          <w:sz w:val="19"/>
        </w:rPr>
        <w:t>, an end-to-end clinical decision-support and telemedicine system addressing metabolic disease stratification across Clinical, Wearable Continuous Glucose Monitoring (CGM), and Gut Microbiome modalities. Traditional machine learning models in digital health rely on unimodal inputs or perform uncontrolled feature imputation when facing incomplete multimodal records. TeleMed AI v4 introduces a 7-pathway routing architecture that executes specialized expert models for unimodal ($C$, $W$, $G$), bimodal ($C+W$, $C+G$, $W+G$), and trimodal ($C+W+G$) inputs, strictly preserving missing modalities as `null` to eliminate data leakage. Across 82 total upstream predictive biomarkers (18 Clinical, 15 Wearable, 49 Gut), the platform evaluates five metabolic targets: Type 2 Diabetes, Prediabetes, High Adiposity Risk (Obesity), Metabolic Syndrome, and NAFLD. Explainability is delivered via Unified TreeSHAP, computing exact local feature attributions, while a Medical Retrieval-Augmented Generation (RAG) engine grounds AI summaries in peer-reviewed clinical guidelines (ADA, EASD, AHA, AASLD, AGA). Built with React 18, FastAPI, and PostgreSQL 17, TeleMed AI v4 is deployed on a zero-cost cloud architecture (Vercel, Render, Neon) and verified through 147 automated tests, sub-400ms inference latencies, and zero-leakage multi-tenant security isolation.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 COMPLETE SYSTEM ARCHITECTURE</w:t>
      </w:r>
    </w:p>
    <w:p>
      <w:pPr>
        <w:pStyle w:val="Heading3"/>
        <w:spacing w:before="160" w:after="40"/>
      </w:pPr>
      <w:r>
        <w:rPr>
          <w:rFonts w:ascii="Arial" w:hAnsi="Arial"/>
          <w:b/>
          <w:color w:val="0F172A"/>
          <w:sz w:val="21"/>
        </w:rPr>
        <w:t>3.1 Architecture Overview &amp; End-to-End Component Flow</w:t>
      </w:r>
    </w:p>
    <w:p>
      <w:pPr>
        <w:spacing w:before="0" w:after="0"/>
        <w:ind w:left="432"/>
      </w:pPr>
      <w:r>
        <w:rPr>
          <w:rFonts w:ascii="Consolas" w:hAnsi="Consolas"/>
          <w:color w:val="1E293B"/>
          <w:sz w:val="17"/>
        </w:rPr>
        <w:t>[User Browser: Patient / Doctor / Admin]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(HTTPS / WSS)</w:t>
      </w:r>
    </w:p>
    <w:p>
      <w:pPr>
        <w:spacing w:before="0" w:after="0"/>
        <w:ind w:left="432"/>
      </w:pPr>
      <w:r>
        <w:rPr>
          <w:rFonts w:ascii="Consolas" w:hAnsi="Consolas"/>
          <w:color w:val="1E293B"/>
          <w:sz w:val="17"/>
        </w:rPr>
        <w:t>[Vercel Edge Network: React 18 + Vite SPA]</w:t>
      </w:r>
    </w:p>
    <w:p>
      <w:pPr>
        <w:spacing w:before="0" w:after="0"/>
        <w:ind w:left="432"/>
      </w:pPr>
      <w:r>
        <w:rPr>
          <w:rFonts w:ascii="Consolas" w:hAnsi="Consolas"/>
          <w:color w:val="1E293B"/>
          <w:sz w:val="17"/>
        </w:rPr>
        <w:t xml:space="preserve">  ├── Public Pages (Hero, Features, Research, About, Care)</w:t>
      </w:r>
    </w:p>
    <w:p>
      <w:pPr>
        <w:spacing w:before="0" w:after="0"/>
        <w:ind w:left="432"/>
      </w:pPr>
      <w:r>
        <w:rPr>
          <w:rFonts w:ascii="Consolas" w:hAnsi="Consolas"/>
          <w:color w:val="1E293B"/>
          <w:sz w:val="17"/>
        </w:rPr>
        <w:t xml:space="preserve">  ├── Patient Portal (Intake, 7-Pathway AI, Records Vault, Consultations)</w:t>
      </w:r>
    </w:p>
    <w:p>
      <w:pPr>
        <w:spacing w:before="0" w:after="0"/>
        <w:ind w:left="432"/>
      </w:pPr>
      <w:r>
        <w:rPr>
          <w:rFonts w:ascii="Consolas" w:hAnsi="Consolas"/>
          <w:color w:val="1E293B"/>
          <w:sz w:val="17"/>
        </w:rPr>
        <w:t xml:space="preserve">  ├── Doctor Portal (Credential Upload, Verification, Clinical Workspace)</w:t>
      </w:r>
    </w:p>
    <w:p>
      <w:pPr>
        <w:spacing w:before="0" w:after="0"/>
        <w:ind w:left="432"/>
      </w:pPr>
      <w:r>
        <w:rPr>
          <w:rFonts w:ascii="Consolas" w:hAnsi="Consolas"/>
          <w:color w:val="1E293B"/>
          <w:sz w:val="17"/>
        </w:rPr>
        <w:t xml:space="preserve">  ├── Admin Portal (Doctor Ledger Approval, Audit Logs, System Metrics)</w:t>
      </w:r>
    </w:p>
    <w:p>
      <w:pPr>
        <w:spacing w:before="0" w:after="0"/>
        <w:ind w:left="432"/>
      </w:pPr>
      <w:r>
        <w:rPr>
          <w:rFonts w:ascii="Consolas" w:hAnsi="Consolas"/>
          <w:color w:val="1E293B"/>
          <w:sz w:val="17"/>
        </w:rPr>
        <w:t xml:space="preserve">  └── SPA Routing &amp; /api/* Proxy Rewrites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(Secure Reverse Proxy HTTPS)</w:t>
      </w:r>
    </w:p>
    <w:p>
      <w:pPr>
        <w:spacing w:before="0" w:after="0"/>
        <w:ind w:left="432"/>
      </w:pPr>
      <w:r>
        <w:rPr>
          <w:rFonts w:ascii="Consolas" w:hAnsi="Consolas"/>
          <w:color w:val="1E293B"/>
          <w:sz w:val="17"/>
        </w:rPr>
        <w:t>[Render Cloud: FastAPI ASGI Web Service (app.backend.main:app)]</w:t>
      </w:r>
    </w:p>
    <w:p>
      <w:pPr>
        <w:spacing w:before="0" w:after="0"/>
        <w:ind w:left="432"/>
      </w:pPr>
      <w:r>
        <w:rPr>
          <w:rFonts w:ascii="Consolas" w:hAnsi="Consolas"/>
          <w:color w:val="1E293B"/>
          <w:sz w:val="17"/>
        </w:rPr>
        <w:t xml:space="preserve">  ├── Security &amp; Governance Layer</w:t>
      </w:r>
    </w:p>
    <w:p>
      <w:pPr>
        <w:spacing w:before="0" w:after="0"/>
        <w:ind w:left="432"/>
      </w:pPr>
      <w:r>
        <w:rPr>
          <w:rFonts w:ascii="Consolas" w:hAnsi="Consolas"/>
          <w:color w:val="1E293B"/>
          <w:sz w:val="17"/>
        </w:rPr>
        <w:t xml:space="preserve">  │     ├── RateLimitingMiddleware (Sliding window IP throttling)</w:t>
      </w:r>
    </w:p>
    <w:p>
      <w:pPr>
        <w:spacing w:before="0" w:after="0"/>
        <w:ind w:left="432"/>
      </w:pPr>
      <w:r>
        <w:rPr>
          <w:rFonts w:ascii="Consolas" w:hAnsi="Consolas"/>
          <w:color w:val="1E293B"/>
          <w:sz w:val="17"/>
        </w:rPr>
        <w:t xml:space="preserve">  │     ├── SecurityHeadersMiddleware (CSP, X-Frame-Options, HSTS)</w:t>
      </w:r>
    </w:p>
    <w:p>
      <w:pPr>
        <w:spacing w:before="0" w:after="0"/>
        <w:ind w:left="432"/>
      </w:pPr>
      <w:r>
        <w:rPr>
          <w:rFonts w:ascii="Consolas" w:hAnsi="Consolas"/>
          <w:color w:val="1E293B"/>
          <w:sz w:val="17"/>
        </w:rPr>
        <w:t xml:space="preserve">  │     ├── Role-Based Access Control (require_role: PATIENT, DOCTOR, ADMIN)</w:t>
      </w:r>
    </w:p>
    <w:p>
      <w:pPr>
        <w:spacing w:before="0" w:after="0"/>
        <w:ind w:left="432"/>
      </w:pPr>
      <w:r>
        <w:rPr>
          <w:rFonts w:ascii="Consolas" w:hAnsi="Consolas"/>
          <w:color w:val="1E293B"/>
          <w:sz w:val="17"/>
        </w:rPr>
        <w:t xml:space="preserve">  │     └── Cryptographic Hash-Chained Audit Ledger</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Multimodal Intake &amp; Normalization Engine</w:t>
      </w:r>
    </w:p>
    <w:p>
      <w:pPr>
        <w:spacing w:before="0" w:after="0"/>
        <w:ind w:left="432"/>
      </w:pPr>
      <w:r>
        <w:rPr>
          <w:rFonts w:ascii="Consolas" w:hAnsi="Consolas"/>
          <w:color w:val="1E293B"/>
          <w:sz w:val="17"/>
        </w:rPr>
        <w:t xml:space="preserve">  │     ├── PDF Parser &amp; Tesseract OCR Engine</w:t>
      </w:r>
    </w:p>
    <w:p>
      <w:pPr>
        <w:spacing w:before="0" w:after="0"/>
        <w:ind w:left="432"/>
      </w:pPr>
      <w:r>
        <w:rPr>
          <w:rFonts w:ascii="Consolas" w:hAnsi="Consolas"/>
          <w:color w:val="1E293B"/>
          <w:sz w:val="17"/>
        </w:rPr>
        <w:t xml:space="preserve">  │     ├── Schema Validation &amp; Biomarker Bounds Checker (v3_schema_validator)</w:t>
      </w:r>
    </w:p>
    <w:p>
      <w:pPr>
        <w:spacing w:before="0" w:after="0"/>
        <w:ind w:left="432"/>
      </w:pPr>
      <w:r>
        <w:rPr>
          <w:rFonts w:ascii="Consolas" w:hAnsi="Consolas"/>
          <w:color w:val="1E293B"/>
          <w:sz w:val="17"/>
        </w:rPr>
        <w:t xml:space="preserve">  │     └── Missing Modality Detection &amp; Null Masking</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7-Pathway Dynamic Routing Engine (v3_scientific_router.py)</w:t>
      </w:r>
    </w:p>
    <w:p>
      <w:pPr>
        <w:spacing w:before="0" w:after="0"/>
        <w:ind w:left="432"/>
      </w:pPr>
      <w:r>
        <w:rPr>
          <w:rFonts w:ascii="Consolas" w:hAnsi="Consolas"/>
          <w:color w:val="1E293B"/>
          <w:sz w:val="17"/>
        </w:rPr>
        <w:t xml:space="preserve">  │     ├── Pathway 1 (C)     ──&gt; Clinical Expert (18 inputs ➔ 5 probabilities)</w:t>
      </w:r>
    </w:p>
    <w:p>
      <w:pPr>
        <w:spacing w:before="0" w:after="0"/>
        <w:ind w:left="432"/>
      </w:pPr>
      <w:r>
        <w:rPr>
          <w:rFonts w:ascii="Consolas" w:hAnsi="Consolas"/>
          <w:color w:val="1E293B"/>
          <w:sz w:val="17"/>
        </w:rPr>
        <w:t xml:space="preserve">  │     ├── Pathway 2 (W)     ──&gt; Wearable CGM Expert (15 inputs ➔ 5 probabilities)</w:t>
      </w:r>
    </w:p>
    <w:p>
      <w:pPr>
        <w:spacing w:before="0" w:after="0"/>
        <w:ind w:left="432"/>
      </w:pPr>
      <w:r>
        <w:rPr>
          <w:rFonts w:ascii="Consolas" w:hAnsi="Consolas"/>
          <w:color w:val="1E293B"/>
          <w:sz w:val="17"/>
        </w:rPr>
        <w:t xml:space="preserve">  │     ├── Pathway 3 (G)     ──&gt; Gut 16S Microbiome Expert (49 inputs ➔ 5 probabilities)</w:t>
      </w:r>
    </w:p>
    <w:p>
      <w:pPr>
        <w:spacing w:before="0" w:after="0"/>
        <w:ind w:left="432"/>
      </w:pPr>
      <w:r>
        <w:rPr>
          <w:rFonts w:ascii="Consolas" w:hAnsi="Consolas"/>
          <w:color w:val="1E293B"/>
          <w:sz w:val="17"/>
        </w:rPr>
        <w:t xml:space="preserve">  │     ├── Pathway 4 (C+W)   ──&gt; Bimodal Stacking (33 upstream features ➔ 2-Input Meta)</w:t>
      </w:r>
    </w:p>
    <w:p>
      <w:pPr>
        <w:spacing w:before="0" w:after="0"/>
        <w:ind w:left="432"/>
      </w:pPr>
      <w:r>
        <w:rPr>
          <w:rFonts w:ascii="Consolas" w:hAnsi="Consolas"/>
          <w:color w:val="1E293B"/>
          <w:sz w:val="17"/>
        </w:rPr>
        <w:t xml:space="preserve">  │     ├── Pathway 5 (C+G)   ──&gt; Bimodal Stacking (67 upstream features ➔ 2-Input Meta)</w:t>
      </w:r>
    </w:p>
    <w:p>
      <w:pPr>
        <w:spacing w:before="0" w:after="0"/>
        <w:ind w:left="432"/>
      </w:pPr>
      <w:r>
        <w:rPr>
          <w:rFonts w:ascii="Consolas" w:hAnsi="Consolas"/>
          <w:color w:val="1E293B"/>
          <w:sz w:val="17"/>
        </w:rPr>
        <w:t xml:space="preserve">  │     ├── Pathway 6 (W+G)   ──&gt; Bimodal Stacking (64 upstream features ➔ 2-Input Meta)</w:t>
      </w:r>
    </w:p>
    <w:p>
      <w:pPr>
        <w:spacing w:before="0" w:after="0"/>
        <w:ind w:left="432"/>
      </w:pPr>
      <w:r>
        <w:rPr>
          <w:rFonts w:ascii="Consolas" w:hAnsi="Consolas"/>
          <w:color w:val="1E293B"/>
          <w:sz w:val="17"/>
        </w:rPr>
        <w:t xml:space="preserve">  │     └── Pathway 7 (C+W+G) ──&gt; Trimodal Meta-Learner (82 upstream features ➔ 15 Probability Meta-Features ➔ 3-Input per Target Stacker)</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Explainable AI &amp; Clinical Synthesis Engine</w:t>
      </w:r>
    </w:p>
    <w:p>
      <w:pPr>
        <w:spacing w:before="0" w:after="0"/>
        <w:ind w:left="432"/>
      </w:pPr>
      <w:r>
        <w:rPr>
          <w:rFonts w:ascii="Consolas" w:hAnsi="Consolas"/>
          <w:color w:val="1E293B"/>
          <w:sz w:val="17"/>
        </w:rPr>
        <w:t xml:space="preserve">  │     ├── Unified TreeSHAP Engine (15 fitted TreeExplainers across 5 targets)</w:t>
      </w:r>
    </w:p>
    <w:p>
      <w:pPr>
        <w:spacing w:before="0" w:after="0"/>
        <w:ind w:left="432"/>
      </w:pPr>
      <w:r>
        <w:rPr>
          <w:rFonts w:ascii="Consolas" w:hAnsi="Consolas"/>
          <w:color w:val="1E293B"/>
          <w:sz w:val="17"/>
        </w:rPr>
        <w:t xml:space="preserve">  │     └── Medical RAG Service (FAISS Vector Index, 20 Chunks, 5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Database &amp; Storage Layer</w:t>
      </w:r>
    </w:p>
    <w:p>
      <w:pPr>
        <w:spacing w:before="0" w:after="0"/>
        <w:ind w:left="432"/>
      </w:pPr>
      <w:r>
        <w:rPr>
          <w:rFonts w:ascii="Consolas" w:hAnsi="Consolas"/>
          <w:color w:val="1E293B"/>
          <w:sz w:val="17"/>
        </w:rPr>
        <w:t xml:space="preserve">        ├── SQLAlchemy 2.0 ORM with Connection Pooling (pool_size=30, max_overflow=20)</w:t>
      </w:r>
    </w:p>
    <w:p>
      <w:pPr>
        <w:spacing w:before="0" w:after="0"/>
        <w:ind w:left="432"/>
      </w:pPr>
      <w:r>
        <w:rPr>
          <w:rFonts w:ascii="Consolas" w:hAnsi="Consolas"/>
          <w:color w:val="1E293B"/>
          <w:sz w:val="17"/>
        </w:rPr>
        <w:t xml:space="preserve">        └── Neon Cloud Serverless PostgreSQL 17 (10 Relational Tables)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 DATASETS — COMPLETE INVENTORY &amp; SPECIFICATIONS</w:t>
      </w:r>
    </w:p>
    <w:p>
      <w:pPr>
        <w:pStyle w:val="Heading3"/>
        <w:spacing w:before="160" w:after="40"/>
      </w:pPr>
      <w:r>
        <w:rPr>
          <w:rFonts w:ascii="Arial" w:hAnsi="Arial"/>
          <w:b/>
          <w:color w:val="0F172A"/>
          <w:sz w:val="21"/>
        </w:rPr>
        <w:t>4.1 Master Dataset Inventory</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Dataset Name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Version</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Source / Status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Total Records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Predictive Features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Target Labels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Train / Val / Test Split</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Clinical_Dataset.csv</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 (Frozen)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Synthetic Multi-Cohort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20,000</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26 columns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14,000 / 3,000 / 3,000 (70/15/15%)</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Wearable_Dataset.csv</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V4 (Frozen)</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CGM &amp; Physiological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Synthetic Continuous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20,000</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19 columns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14,000 / 3,000 / 3,000 (70/15/15%)</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Gut_Microbiome_Dataset.csv</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 (Frozen)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16S rRNA Taxa &amp; Indices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Synthetic Metagenomic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20,000</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51 columns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14,000 / 3,000 / 3,000 (70/15/15%)</w:t>
            </w:r>
          </w:p>
        </w:tc>
      </w:tr>
    </w:tbl>
    <w:p>
      <w:pPr>
        <w:spacing w:after="120"/>
      </w:pPr>
    </w:p>
    <w:p>
      <w:pPr>
        <w:pStyle w:val="Heading3"/>
        <w:spacing w:before="160" w:after="40"/>
      </w:pPr>
      <w:r>
        <w:rPr>
          <w:rFonts w:ascii="Arial" w:hAnsi="Arial"/>
          <w:b/>
          <w:color w:val="0F172A"/>
          <w:sz w:val="21"/>
        </w:rPr>
        <w:t>4.2 Feature Schema &amp; Physiological Boundaries</w:t>
      </w:r>
    </w:p>
    <w:p>
      <w:pPr>
        <w:spacing w:before="40" w:after="80"/>
      </w:pPr>
      <w:r>
        <w:rPr>
          <w:rFonts w:ascii="Arial" w:hAnsi="Arial"/>
          <w:color w:val="334155"/>
          <w:sz w:val="19"/>
        </w:rPr>
        <w:t>#### A. Clinical Dataset Feature Schema (18 Predictive Inputs)</w:t>
      </w:r>
    </w:p>
    <w:p>
      <w:pPr>
        <w:spacing w:before="40" w:after="80"/>
      </w:pPr>
      <w:r>
        <w:rPr>
          <w:rFonts w:ascii="Arial" w:hAnsi="Arial"/>
          <w:color w:val="334155"/>
          <w:sz w:val="19"/>
        </w:rPr>
        <w:t>1. `Age` (Years, integer, range 18–85)</w:t>
      </w:r>
    </w:p>
    <w:p>
      <w:pPr>
        <w:spacing w:before="40" w:after="80"/>
      </w:pPr>
      <w:r>
        <w:rPr>
          <w:rFonts w:ascii="Arial" w:hAnsi="Arial"/>
          <w:color w:val="334155"/>
          <w:sz w:val="19"/>
        </w:rPr>
        <w:t>2. `Gender` (Binary, 0=Female, 1=Male)</w:t>
      </w:r>
    </w:p>
    <w:p>
      <w:pPr>
        <w:spacing w:before="40" w:after="80"/>
      </w:pPr>
      <w:r>
        <w:rPr>
          <w:rFonts w:ascii="Arial" w:hAnsi="Arial"/>
          <w:color w:val="334155"/>
          <w:sz w:val="19"/>
        </w:rPr>
        <w:t>3. `Height` ($</w:t>
        <w:tab/>
        <w:t>ext{cm}$, float, range 140.0–210.0)</w:t>
      </w:r>
    </w:p>
    <w:p>
      <w:pPr>
        <w:spacing w:before="40" w:after="80"/>
      </w:pPr>
      <w:r>
        <w:rPr>
          <w:rFonts w:ascii="Arial" w:hAnsi="Arial"/>
          <w:color w:val="334155"/>
          <w:sz w:val="19"/>
        </w:rPr>
        <w:t>4. `Weight` ($</w:t>
        <w:tab/>
        <w:t>ext{kg}$, float, range 40.0–160.0)</w:t>
      </w:r>
    </w:p>
    <w:p>
      <w:pPr>
        <w:spacing w:before="40" w:after="80"/>
      </w:pPr>
      <w:r>
        <w:rPr>
          <w:rFonts w:ascii="Arial" w:hAnsi="Arial"/>
          <w:color w:val="334155"/>
          <w:sz w:val="19"/>
        </w:rPr>
        <w:t>5. `BMI` ($</w:t>
        <w:tab/>
        <w:t>ext{kg/m}^2$, float, range 16.0–52.0)</w:t>
      </w:r>
    </w:p>
    <w:p>
      <w:pPr>
        <w:spacing w:before="40" w:after="80"/>
      </w:pPr>
      <w:r>
        <w:rPr>
          <w:rFonts w:ascii="Arial" w:hAnsi="Arial"/>
          <w:color w:val="334155"/>
          <w:sz w:val="19"/>
        </w:rPr>
        <w:t>6. `Waist_Circumference` ($</w:t>
        <w:tab/>
        <w:t>ext{cm}$, float, range 60.0–145.0)</w:t>
      </w:r>
    </w:p>
    <w:p>
      <w:pPr>
        <w:spacing w:before="40" w:after="80"/>
      </w:pPr>
      <w:r>
        <w:rPr>
          <w:rFonts w:ascii="Arial" w:hAnsi="Arial"/>
          <w:color w:val="334155"/>
          <w:sz w:val="19"/>
        </w:rPr>
        <w:t>7. `Systolic_BP` ($</w:t>
        <w:tab/>
        <w:t>ext{mmHg}$, integer, range 85–210)</w:t>
      </w:r>
    </w:p>
    <w:p>
      <w:pPr>
        <w:spacing w:before="40" w:after="80"/>
      </w:pPr>
      <w:r>
        <w:rPr>
          <w:rFonts w:ascii="Arial" w:hAnsi="Arial"/>
          <w:color w:val="334155"/>
          <w:sz w:val="19"/>
        </w:rPr>
        <w:t>8. `Diastolic_BP` ($</w:t>
        <w:tab/>
        <w:t>ext{mmHg}$, integer, range 55–125)</w:t>
      </w:r>
    </w:p>
    <w:p>
      <w:pPr>
        <w:spacing w:before="40" w:after="80"/>
      </w:pPr>
      <w:r>
        <w:rPr>
          <w:rFonts w:ascii="Arial" w:hAnsi="Arial"/>
          <w:color w:val="334155"/>
          <w:sz w:val="19"/>
        </w:rPr>
        <w:t>9. `Fasting_Blood_Glucose` ($</w:t>
        <w:tab/>
        <w:t>ext{mg/dL}$, float, range 65.0–280.0)</w:t>
      </w:r>
    </w:p>
    <w:p>
      <w:pPr>
        <w:spacing w:before="40" w:after="80"/>
      </w:pPr>
      <w:r>
        <w:rPr>
          <w:rFonts w:ascii="Arial" w:hAnsi="Arial"/>
          <w:color w:val="334155"/>
          <w:sz w:val="19"/>
        </w:rPr>
        <w:t>10. `HbA1c` (%, float, range 4.5–13.5)</w:t>
      </w:r>
    </w:p>
    <w:p>
      <w:pPr>
        <w:spacing w:before="40" w:after="80"/>
      </w:pPr>
      <w:r>
        <w:rPr>
          <w:rFonts w:ascii="Arial" w:hAnsi="Arial"/>
          <w:color w:val="334155"/>
          <w:sz w:val="19"/>
        </w:rPr>
        <w:t>11. `Triglycerides` ($</w:t>
        <w:tab/>
        <w:t>ext{mg/dL}$, float, range 40.0–550.0)</w:t>
      </w:r>
    </w:p>
    <w:p>
      <w:pPr>
        <w:spacing w:before="40" w:after="80"/>
      </w:pPr>
      <w:r>
        <w:rPr>
          <w:rFonts w:ascii="Arial" w:hAnsi="Arial"/>
          <w:color w:val="334155"/>
          <w:sz w:val="19"/>
        </w:rPr>
        <w:t>12. `HDL` ($</w:t>
        <w:tab/>
        <w:t>ext{mg/dL}$, float, range 22.0–95.0)</w:t>
      </w:r>
    </w:p>
    <w:p>
      <w:pPr>
        <w:spacing w:before="40" w:after="80"/>
      </w:pPr>
      <w:r>
        <w:rPr>
          <w:rFonts w:ascii="Arial" w:hAnsi="Arial"/>
          <w:color w:val="334155"/>
          <w:sz w:val="19"/>
        </w:rPr>
        <w:t>13. `LDL` ($</w:t>
        <w:tab/>
        <w:t>ext{mg/dL}$, float, range 45.0–240.0)</w:t>
      </w:r>
    </w:p>
    <w:p>
      <w:pPr>
        <w:spacing w:before="40" w:after="80"/>
      </w:pPr>
      <w:r>
        <w:rPr>
          <w:rFonts w:ascii="Arial" w:hAnsi="Arial"/>
          <w:color w:val="334155"/>
          <w:sz w:val="19"/>
        </w:rPr>
        <w:t>14. `ALT` ($</w:t>
        <w:tab/>
        <w:t>ext{U/L}$, float, range 7.0–145.0)</w:t>
      </w:r>
    </w:p>
    <w:p>
      <w:pPr>
        <w:spacing w:before="40" w:after="80"/>
      </w:pPr>
      <w:r>
        <w:rPr>
          <w:rFonts w:ascii="Arial" w:hAnsi="Arial"/>
          <w:color w:val="334155"/>
          <w:sz w:val="19"/>
        </w:rPr>
        <w:t>15. `AST` ($</w:t>
        <w:tab/>
        <w:t>ext{U/L}$, float, range 8.0–130.0)</w:t>
      </w:r>
    </w:p>
    <w:p>
      <w:pPr>
        <w:spacing w:before="40" w:after="80"/>
      </w:pPr>
      <w:r>
        <w:rPr>
          <w:rFonts w:ascii="Arial" w:hAnsi="Arial"/>
          <w:color w:val="334155"/>
          <w:sz w:val="19"/>
        </w:rPr>
        <w:t>16. `Family_History_Diabetes` (Binary, 0=No, 1=Yes)</w:t>
      </w:r>
    </w:p>
    <w:p>
      <w:pPr>
        <w:spacing w:before="40" w:after="80"/>
      </w:pPr>
      <w:r>
        <w:rPr>
          <w:rFonts w:ascii="Arial" w:hAnsi="Arial"/>
          <w:color w:val="334155"/>
          <w:sz w:val="19"/>
        </w:rPr>
        <w:t>17. `Family_History_Hypertension` (Binary, 0=No, 1=Yes)</w:t>
      </w:r>
    </w:p>
    <w:p>
      <w:pPr>
        <w:spacing w:before="40" w:after="80"/>
      </w:pPr>
      <w:r>
        <w:rPr>
          <w:rFonts w:ascii="Arial" w:hAnsi="Arial"/>
          <w:color w:val="334155"/>
          <w:sz w:val="19"/>
        </w:rPr>
        <w:t>18. `Family_History_CVD` (Binary, 0=No, 1=Yes)</w:t>
      </w:r>
    </w:p>
    <w:p>
      <w:pPr>
        <w:spacing w:before="40" w:after="80"/>
      </w:pPr>
      <w:r>
        <w:rPr>
          <w:rFonts w:ascii="Arial" w:hAnsi="Arial"/>
          <w:color w:val="334155"/>
          <w:sz w:val="19"/>
        </w:rPr>
        <w:t>#### B. Wearable CGM Dataset Feature Schema (15 Predictive Inputs)</w:t>
      </w:r>
    </w:p>
    <w:p>
      <w:pPr>
        <w:spacing w:before="40" w:after="80"/>
      </w:pPr>
      <w:r>
        <w:rPr>
          <w:rFonts w:ascii="Arial" w:hAnsi="Arial"/>
          <w:color w:val="334155"/>
          <w:sz w:val="19"/>
        </w:rPr>
        <w:t>1. `Average_Daily_Steps` (Steps, integer, range 800–28000)</w:t>
      </w:r>
    </w:p>
    <w:p>
      <w:pPr>
        <w:spacing w:before="40" w:after="80"/>
      </w:pPr>
      <w:r>
        <w:rPr>
          <w:rFonts w:ascii="Arial" w:hAnsi="Arial"/>
          <w:color w:val="334155"/>
          <w:sz w:val="19"/>
        </w:rPr>
        <w:t>2. `Active_Minutes` (Minutes, integer, range 0–240)</w:t>
      </w:r>
    </w:p>
    <w:p>
      <w:pPr>
        <w:spacing w:before="40" w:after="80"/>
      </w:pPr>
      <w:r>
        <w:rPr>
          <w:rFonts w:ascii="Arial" w:hAnsi="Arial"/>
          <w:color w:val="334155"/>
          <w:sz w:val="19"/>
        </w:rPr>
        <w:t>3. `Sedentary_Time_Minutes` (Minutes, integer, range 180–960)</w:t>
      </w:r>
    </w:p>
    <w:p>
      <w:pPr>
        <w:spacing w:before="40" w:after="80"/>
      </w:pPr>
      <w:r>
        <w:rPr>
          <w:rFonts w:ascii="Arial" w:hAnsi="Arial"/>
          <w:color w:val="334155"/>
          <w:sz w:val="19"/>
        </w:rPr>
        <w:t>4. `Resting_Heart_Rate` ($</w:t>
        <w:tab/>
        <w:t>ext{bpm}$, integer, range 45–115)</w:t>
      </w:r>
    </w:p>
    <w:p>
      <w:pPr>
        <w:spacing w:before="40" w:after="80"/>
      </w:pPr>
      <w:r>
        <w:rPr>
          <w:rFonts w:ascii="Arial" w:hAnsi="Arial"/>
          <w:color w:val="334155"/>
          <w:sz w:val="19"/>
        </w:rPr>
        <w:t>5. `Heart_Rate_Variability_RMSSD` ($</w:t>
        <w:tab/>
        <w:t>ext{ms}$, float, range 15.0–110.0)</w:t>
      </w:r>
    </w:p>
    <w:p>
      <w:pPr>
        <w:spacing w:before="40" w:after="80"/>
      </w:pPr>
      <w:r>
        <w:rPr>
          <w:rFonts w:ascii="Arial" w:hAnsi="Arial"/>
          <w:color w:val="334155"/>
          <w:sz w:val="19"/>
        </w:rPr>
        <w:t>6. `Sleep_Duration_Hours` (Hours, float, range 3.5–11.0)</w:t>
      </w:r>
    </w:p>
    <w:p>
      <w:pPr>
        <w:spacing w:before="40" w:after="80"/>
      </w:pPr>
      <w:r>
        <w:rPr>
          <w:rFonts w:ascii="Arial" w:hAnsi="Arial"/>
          <w:color w:val="334155"/>
          <w:sz w:val="19"/>
        </w:rPr>
        <w:t>7. `Sleep_Efficiency_Score` (Score, float, range 40.0–100.0)</w:t>
      </w:r>
    </w:p>
    <w:p>
      <w:pPr>
        <w:spacing w:before="40" w:after="80"/>
      </w:pPr>
      <w:r>
        <w:rPr>
          <w:rFonts w:ascii="Arial" w:hAnsi="Arial"/>
          <w:color w:val="334155"/>
          <w:sz w:val="19"/>
        </w:rPr>
        <w:t>8. `Autonomic_Stress_Score` (Score, float, range 10.0–95.0)</w:t>
      </w:r>
    </w:p>
    <w:p>
      <w:pPr>
        <w:spacing w:before="40" w:after="80"/>
      </w:pPr>
      <w:r>
        <w:rPr>
          <w:rFonts w:ascii="Arial" w:hAnsi="Arial"/>
          <w:color w:val="334155"/>
          <w:sz w:val="19"/>
        </w:rPr>
        <w:t>9. `Activity_Energy_Expenditure` ($</w:t>
        <w:tab/>
        <w:t>ext{kcal}$, float, range 100.0–1800.0)</w:t>
      </w:r>
    </w:p>
    <w:p>
      <w:pPr>
        <w:spacing w:before="40" w:after="80"/>
      </w:pPr>
      <w:r>
        <w:rPr>
          <w:rFonts w:ascii="Arial" w:hAnsi="Arial"/>
          <w:color w:val="334155"/>
          <w:sz w:val="19"/>
        </w:rPr>
        <w:t>10. `Exercise_Frequency_Days` (Days/week, integer, range 0–7)</w:t>
      </w:r>
    </w:p>
    <w:p>
      <w:pPr>
        <w:spacing w:before="40" w:after="80"/>
      </w:pPr>
      <w:r>
        <w:rPr>
          <w:rFonts w:ascii="Arial" w:hAnsi="Arial"/>
          <w:color w:val="334155"/>
          <w:sz w:val="19"/>
        </w:rPr>
        <w:t>11. `CGM_Average_Glucose` ($</w:t>
        <w:tab/>
        <w:t>ext{mg/dL}$, float, range 70.0–240.0)</w:t>
      </w:r>
    </w:p>
    <w:p>
      <w:pPr>
        <w:spacing w:before="40" w:after="80"/>
      </w:pPr>
      <w:r>
        <w:rPr>
          <w:rFonts w:ascii="Arial" w:hAnsi="Arial"/>
          <w:color w:val="334155"/>
          <w:sz w:val="19"/>
        </w:rPr>
        <w:t>12. `CGM_Glucose_CV` (%, float, range 10.0–48.0)</w:t>
      </w:r>
    </w:p>
    <w:p>
      <w:pPr>
        <w:spacing w:before="40" w:after="80"/>
      </w:pPr>
      <w:r>
        <w:rPr>
          <w:rFonts w:ascii="Arial" w:hAnsi="Arial"/>
          <w:color w:val="334155"/>
          <w:sz w:val="19"/>
        </w:rPr>
        <w:t>13. `CGM_Time_In_Range` (%, float, range 30.0–100.0)</w:t>
      </w:r>
    </w:p>
    <w:p>
      <w:pPr>
        <w:spacing w:before="40" w:after="80"/>
      </w:pPr>
      <w:r>
        <w:rPr>
          <w:rFonts w:ascii="Arial" w:hAnsi="Arial"/>
          <w:color w:val="334155"/>
          <w:sz w:val="19"/>
        </w:rPr>
        <w:t>14. `CGM_Time_Above_Range` (%, float, range 0.0–65.0)</w:t>
      </w:r>
    </w:p>
    <w:p>
      <w:pPr>
        <w:spacing w:before="40" w:after="80"/>
      </w:pPr>
      <w:r>
        <w:rPr>
          <w:rFonts w:ascii="Arial" w:hAnsi="Arial"/>
          <w:color w:val="334155"/>
          <w:sz w:val="19"/>
        </w:rPr>
        <w:t>15. `CGM_Time_Below_Range` (%, float, range 0.0–25.0)</w:t>
      </w:r>
    </w:p>
    <w:p>
      <w:pPr>
        <w:spacing w:before="40" w:after="80"/>
      </w:pPr>
      <w:r>
        <w:rPr>
          <w:rFonts w:ascii="Arial" w:hAnsi="Arial"/>
          <w:color w:val="334155"/>
          <w:sz w:val="19"/>
        </w:rPr>
        <w:t>#### C. Gut Microbiome Dataset Feature Schema (49 Predictive Inputs)</w:t>
      </w:r>
    </w:p>
    <w:p>
      <w:pPr>
        <w:pStyle w:val="ListBullet"/>
        <w:spacing w:before="20" w:after="20"/>
      </w:pPr>
      <w:r>
        <w:rPr>
          <w:rFonts w:ascii="Arial" w:hAnsi="Arial"/>
          <w:color w:val="334155"/>
          <w:sz w:val="19"/>
        </w:rPr>
      </w:r>
      <w:r>
        <w:rPr>
          <w:rFonts w:ascii="Arial" w:hAnsi="Arial"/>
          <w:b/>
          <w:color w:val="0F172A"/>
          <w:sz w:val="19"/>
        </w:rPr>
        <w:t>40 Bacterial Taxa (Relative Abundance %):</w:t>
      </w:r>
      <w:r>
        <w:rPr>
          <w:rFonts w:ascii="Arial" w:hAnsi="Arial"/>
          <w:color w:val="334155"/>
          <w:sz w:val="19"/>
        </w:rPr>
        <w:t xml:space="preserve"> `Akkermansia_muciniphila`, `Faecalibacterium_prausnitzii`, `Roseburia_intestinalis`, `Bifidobacterium_longum`, `Bifidobacterium_adolescentis`, `Bacteroides_thetaiotaomicron`, `Bacteroides_vulgatus`, `Bacteroides_fragilis`, `Bacteroides_uniformis`, `Prevotella_copri`, `Ruminococcus_bromii`, `Ruminococcus_gnavus`, `Blautia_wexlerae`, `Blautia_hansenii`, `Collinsella_aerofaciens`, `Escherichia_coli`, `Klebsiella_pneumoniae`, `Coprococcus_eutactus`, `Alistipes_putredinis`, `Alistipes_finegoldii`, `Subdoligranulum_variable`, `Enterococcus_faecalis`, `Eubacterium_rectale`, `Eubacterium_hallii`, `Parabacteroides_distasonis`, `Lactobacillus_acidophilus`, `Lactobacillus_rhamnosus`, `Streptococcus_thermophilus`, `Eggerthella_lenta`, `Christensenella_minuta`, `Methanobrevibacter_smithii`, `Dialister_invisus`, `Holdemanella_biformis`, `Barnesiella_intestinihominis`, `Anaerostipes_caccae`, `Phascolarctobacterium_faecium`, `Veillonella_parvula`, `Fusobacterium_nucleatum`, `Bilophila_wadsworthia`, `Sutterella_wadsworthensis`.</w:t>
      </w:r>
    </w:p>
    <w:p>
      <w:pPr>
        <w:pStyle w:val="ListBullet"/>
        <w:spacing w:before="20" w:after="20"/>
      </w:pPr>
      <w:r>
        <w:rPr>
          <w:rFonts w:ascii="Arial" w:hAnsi="Arial"/>
          <w:color w:val="334155"/>
          <w:sz w:val="19"/>
        </w:rPr>
      </w:r>
      <w:r>
        <w:rPr>
          <w:rFonts w:ascii="Arial" w:hAnsi="Arial"/>
          <w:b/>
          <w:color w:val="0F172A"/>
          <w:sz w:val="19"/>
        </w:rPr>
        <w:t>4 Alpha Diversity Metrics:</w:t>
      </w:r>
      <w:r>
        <w:rPr>
          <w:rFonts w:ascii="Arial" w:hAnsi="Arial"/>
          <w:color w:val="334155"/>
          <w:sz w:val="19"/>
        </w:rPr>
        <w:t xml:space="preserve"> `Shannon_Diversity`, `Simpson_Diversity`, `Observed_Richness`, `Pielou_Evenness`.</w:t>
      </w:r>
    </w:p>
    <w:p>
      <w:pPr>
        <w:pStyle w:val="ListBullet"/>
        <w:spacing w:before="20" w:after="20"/>
      </w:pPr>
      <w:r>
        <w:rPr>
          <w:rFonts w:ascii="Arial" w:hAnsi="Arial"/>
          <w:color w:val="334155"/>
          <w:sz w:val="19"/>
        </w:rPr>
      </w:r>
      <w:r>
        <w:rPr>
          <w:rFonts w:ascii="Arial" w:hAnsi="Arial"/>
          <w:b/>
          <w:color w:val="0F172A"/>
          <w:sz w:val="19"/>
        </w:rPr>
        <w:t>4 Functional Biomarker Indices:</w:t>
      </w:r>
      <w:r>
        <w:rPr>
          <w:rFonts w:ascii="Arial" w:hAnsi="Arial"/>
          <w:color w:val="334155"/>
          <w:sz w:val="19"/>
        </w:rPr>
        <w:t xml:space="preserve"> `SCFA_Producer_Index`, `Butyrate_Producer_Index`, `Barrier_Associated_Index`, `Inflammation_Associated_Index`.</w:t>
      </w:r>
    </w:p>
    <w:p>
      <w:pPr>
        <w:pStyle w:val="ListBullet"/>
        <w:spacing w:before="20" w:after="20"/>
      </w:pPr>
      <w:r>
        <w:rPr>
          <w:rFonts w:ascii="Arial" w:hAnsi="Arial"/>
          <w:color w:val="334155"/>
          <w:sz w:val="19"/>
        </w:rPr>
      </w:r>
      <w:r>
        <w:rPr>
          <w:rFonts w:ascii="Arial" w:hAnsi="Arial"/>
          <w:b/>
          <w:color w:val="0F172A"/>
          <w:sz w:val="19"/>
        </w:rPr>
        <w:t>1 Engineered Taxonomic Ratio:</w:t>
      </w:r>
      <w:r>
        <w:rPr>
          <w:rFonts w:ascii="Arial" w:hAnsi="Arial"/>
          <w:color w:val="334155"/>
          <w:sz w:val="19"/>
        </w:rPr>
        <w:t xml:space="preserve"> `Log_Firmicutes_Bacteroidetes_Ratio`.</w:t>
      </w:r>
    </w:p>
    <w:p>
      <w:pPr>
        <w:pStyle w:val="Heading3"/>
        <w:spacing w:before="160" w:after="40"/>
      </w:pPr>
      <w:r>
        <w:rPr>
          <w:rFonts w:ascii="Arial" w:hAnsi="Arial"/>
          <w:b/>
          <w:color w:val="0F172A"/>
          <w:sz w:val="21"/>
        </w:rPr>
        <w:t>4.3 Master Patient Split Protocol</w:t>
      </w:r>
    </w:p>
    <w:p>
      <w:pPr>
        <w:pStyle w:val="ListBullet"/>
        <w:spacing w:before="20" w:after="20"/>
      </w:pPr>
      <w:r>
        <w:rPr>
          <w:rFonts w:ascii="Arial" w:hAnsi="Arial"/>
          <w:color w:val="334155"/>
          <w:sz w:val="19"/>
        </w:rPr>
      </w:r>
      <w:r>
        <w:rPr>
          <w:rFonts w:ascii="Arial" w:hAnsi="Arial"/>
          <w:b/>
          <w:color w:val="0F172A"/>
          <w:sz w:val="19"/>
        </w:rPr>
        <w:t>Split File:</w:t>
      </w:r>
      <w:r>
        <w:rPr>
          <w:rFonts w:ascii="Arial" w:hAnsi="Arial"/>
          <w:color w:val="334155"/>
          <w:sz w:val="19"/>
        </w:rPr>
        <w:t xml:space="preserve"> `archive/legacy_datasets/expert_models_splits/patient_split.csv`</w:t>
      </w:r>
    </w:p>
    <w:p>
      <w:pPr>
        <w:pStyle w:val="ListBullet"/>
        <w:spacing w:before="20" w:after="20"/>
      </w:pPr>
      <w:r>
        <w:rPr>
          <w:rFonts w:ascii="Arial" w:hAnsi="Arial"/>
          <w:color w:val="334155"/>
          <w:sz w:val="19"/>
        </w:rPr>
      </w:r>
      <w:r>
        <w:rPr>
          <w:rFonts w:ascii="Arial" w:hAnsi="Arial"/>
          <w:b/>
          <w:color w:val="0F172A"/>
          <w:sz w:val="19"/>
        </w:rPr>
        <w:t>Partition Size:</w:t>
      </w:r>
      <w:r>
        <w:rPr>
          <w:rFonts w:ascii="Arial" w:hAnsi="Arial"/>
          <w:color w:val="334155"/>
          <w:sz w:val="19"/>
        </w:rPr>
        <w:t xml:space="preserve"> Exactly 20,000 unified patient IDs partitioned into:</w:t>
      </w:r>
    </w:p>
    <w:p>
      <w:pPr>
        <w:spacing w:before="40" w:after="80"/>
      </w:pPr>
      <w:r>
        <w:rPr>
          <w:rFonts w:ascii="Arial" w:hAnsi="Arial"/>
          <w:color w:val="334155"/>
          <w:sz w:val="19"/>
        </w:rPr>
        <w:t xml:space="preserve">* </w:t>
      </w:r>
      <w:r>
        <w:rPr>
          <w:rFonts w:ascii="Arial" w:hAnsi="Arial"/>
          <w:b/>
          <w:color w:val="0F172A"/>
          <w:sz w:val="19"/>
        </w:rPr>
        <w:t>Training Set:</w:t>
      </w:r>
      <w:r>
        <w:rPr>
          <w:rFonts w:ascii="Arial" w:hAnsi="Arial"/>
          <w:color w:val="334155"/>
          <w:sz w:val="19"/>
        </w:rPr>
        <w:t xml:space="preserve"> 14,000 patients (70.0%)</w:t>
      </w:r>
    </w:p>
    <w:p>
      <w:pPr>
        <w:spacing w:before="40" w:after="80"/>
      </w:pPr>
      <w:r>
        <w:rPr>
          <w:rFonts w:ascii="Arial" w:hAnsi="Arial"/>
          <w:color w:val="334155"/>
          <w:sz w:val="19"/>
        </w:rPr>
        <w:t xml:space="preserve">* </w:t>
      </w:r>
      <w:r>
        <w:rPr>
          <w:rFonts w:ascii="Arial" w:hAnsi="Arial"/>
          <w:b/>
          <w:color w:val="0F172A"/>
          <w:sz w:val="19"/>
        </w:rPr>
        <w:t>Validation Set:</w:t>
      </w:r>
      <w:r>
        <w:rPr>
          <w:rFonts w:ascii="Arial" w:hAnsi="Arial"/>
          <w:color w:val="334155"/>
          <w:sz w:val="19"/>
        </w:rPr>
        <w:t xml:space="preserve"> 3,000 patients (15.0%)</w:t>
      </w:r>
    </w:p>
    <w:p>
      <w:pPr>
        <w:spacing w:before="40" w:after="80"/>
      </w:pPr>
      <w:r>
        <w:rPr>
          <w:rFonts w:ascii="Arial" w:hAnsi="Arial"/>
          <w:color w:val="334155"/>
          <w:sz w:val="19"/>
        </w:rPr>
        <w:t xml:space="preserve">* </w:t>
      </w:r>
      <w:r>
        <w:rPr>
          <w:rFonts w:ascii="Arial" w:hAnsi="Arial"/>
          <w:b/>
          <w:color w:val="0F172A"/>
          <w:sz w:val="19"/>
        </w:rPr>
        <w:t>Test Set:</w:t>
      </w:r>
      <w:r>
        <w:rPr>
          <w:rFonts w:ascii="Arial" w:hAnsi="Arial"/>
          <w:color w:val="334155"/>
          <w:sz w:val="19"/>
        </w:rPr>
        <w:t xml:space="preserve"> 3,000 patients (15.0%)</w:t>
      </w:r>
    </w:p>
    <w:p>
      <w:pPr>
        <w:pStyle w:val="ListBullet"/>
        <w:spacing w:before="20" w:after="20"/>
      </w:pPr>
      <w:r>
        <w:rPr>
          <w:rFonts w:ascii="Arial" w:hAnsi="Arial"/>
          <w:color w:val="334155"/>
          <w:sz w:val="19"/>
        </w:rPr>
      </w:r>
      <w:r>
        <w:rPr>
          <w:rFonts w:ascii="Arial" w:hAnsi="Arial"/>
          <w:b/>
          <w:color w:val="0F172A"/>
          <w:sz w:val="19"/>
        </w:rPr>
        <w:t>Leakage Defense:</w:t>
      </w:r>
      <w:r>
        <w:rPr>
          <w:rFonts w:ascii="Arial" w:hAnsi="Arial"/>
          <w:color w:val="334155"/>
          <w:sz w:val="19"/>
        </w:rPr>
        <w:t xml:space="preserve"> The exact same patient IDs are indexed across Clinical, Wearable, and Gut datasets. No patient in the test set was ever used in training or hyperparameter tuning.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 DATASET EVOLUTION V1 → V2 → V3 → V4</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DATASET GENERATION EVOLUTION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V1 Baseline   │  V2 Calibration │  V3 Multi-Label │  V4 Frozen Benchmark  │</w:t>
      </w:r>
    </w:p>
    <w:p>
      <w:pPr>
        <w:spacing w:before="0" w:after="0"/>
        <w:ind w:left="432"/>
      </w:pPr>
      <w:r>
        <w:rPr>
          <w:rFonts w:ascii="Consolas" w:hAnsi="Consolas"/>
          <w:color w:val="1E293B"/>
          <w:sz w:val="17"/>
        </w:rPr>
        <w:t>│ (Independent)   │ (Cross-Correlated│  (Multi-Target) │ (Clean Targets &amp; Meta)│</w:t>
      </w:r>
    </w:p>
    <w:p>
      <w:pPr>
        <w:spacing w:before="0" w:after="0"/>
        <w:ind w:left="432"/>
      </w:pPr>
      <w:r>
        <w:rPr>
          <w:rFonts w:ascii="Consolas" w:hAnsi="Consolas"/>
          <w:color w:val="1E293B"/>
          <w:sz w:val="17"/>
        </w:rPr>
        <w:t>│  Acc: ~82.4%    │  Acc: ~86.8%    │  Acc: ~88.5%    │  Acc: ~89.6% - 94.2%  │</w:t>
      </w:r>
    </w:p>
    <w:p>
      <w:pPr>
        <w:spacing w:before="0" w:after="0"/>
        <w:ind w:left="432"/>
      </w:pPr>
      <w:r>
        <w:rPr>
          <w:rFonts w:ascii="Consolas" w:hAnsi="Consolas"/>
          <w:color w:val="1E293B"/>
          <w:sz w:val="17"/>
        </w:rPr>
        <w:t>│  F1: ~0.76      │  F1: ~0.82      │  F1: ~0.85      │  Macro F1: ~0.88-0.92 │</w:t>
      </w:r>
    </w:p>
    <w:p>
      <w:pPr>
        <w:spacing w:before="0" w:after="0"/>
        <w:ind w:left="432"/>
      </w:pPr>
      <w:r>
        <w:rPr>
          <w:rFonts w:ascii="Consolas" w:hAnsi="Consolas"/>
          <w:color w:val="1E293B"/>
          <w:sz w:val="17"/>
        </w:rPr>
        <w:t>└─────────────────┴─────────────────┴─────────────────┴───────────────────────┘</w:t>
      </w:r>
    </w:p>
    <w:p>
      <w:pPr>
        <w:pStyle w:val="Heading3"/>
        <w:spacing w:before="160" w:after="40"/>
      </w:pPr>
      <w:r>
        <w:rPr>
          <w:rFonts w:ascii="Arial" w:hAnsi="Arial"/>
          <w:b/>
          <w:color w:val="0F172A"/>
          <w:sz w:val="21"/>
        </w:rPr>
        <w:t>5.1 Comprehensive Version Evolution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Evaluation Dimension</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Dataset V1 (Initial)</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Dataset V2 (Correlated)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Dataset V3 (Multi-Disease)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Dataset V4 (Final Frozen)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Cohort Size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samples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samples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samples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samples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Statistical Independence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High independent Gaussian noise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Covariance matrix introduced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Physiological cross-talk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Rigorous physiological priors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Target Consistency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Inconsistent target naming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Binary diabetes focus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distinct targets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5 Frozen Targets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Obesity Target Status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Obesity label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Obesity label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Obesity label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High_Adiposity_Risk (1:1 alias)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Predictive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C:19, W:13, G:12</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C:19, W:13, G:12</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C:18, W:15, G:49</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C:18, W:15, G:49 (82 Total)</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Contamination / Leakage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Random splits per modality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Shared patient IDs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Master split established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Cryptographically frozen split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Artifact Checksums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Unversioned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Loose versioning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Tracked in Git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SHA256 Invariant (8 files)</w:t>
            </w:r>
          </w:p>
        </w:tc>
      </w:tr>
    </w:tbl>
    <w:p>
      <w:pPr>
        <w:spacing w:after="120"/>
      </w:pPr>
    </w:p>
    <w:p>
      <w:pPr>
        <w:pStyle w:val="Heading3"/>
        <w:spacing w:before="160" w:after="40"/>
      </w:pPr>
      <w:r>
        <w:rPr>
          <w:rFonts w:ascii="Arial" w:hAnsi="Arial"/>
          <w:b/>
          <w:color w:val="0F172A"/>
          <w:sz w:val="21"/>
        </w:rPr>
        <w:t>5.2 Rationale for V4 Final Selection</w:t>
      </w:r>
    </w:p>
    <w:p>
      <w:pPr>
        <w:spacing w:before="40" w:after="80"/>
      </w:pPr>
      <w:r>
        <w:rPr>
          <w:rFonts w:ascii="Arial" w:hAnsi="Arial"/>
          <w:color w:val="334155"/>
          <w:sz w:val="19"/>
        </w:rPr>
        <w:t xml:space="preserve">1. </w:t>
      </w:r>
      <w:r>
        <w:rPr>
          <w:rFonts w:ascii="Arial" w:hAnsi="Arial"/>
          <w:b/>
          <w:color w:val="0F172A"/>
          <w:sz w:val="19"/>
        </w:rPr>
        <w:t>Elimination of Target Ambiguity:</w:t>
      </w:r>
      <w:r>
        <w:rPr>
          <w:rFonts w:ascii="Arial" w:hAnsi="Arial"/>
          <w:color w:val="334155"/>
          <w:sz w:val="19"/>
        </w:rPr>
        <w:t xml:space="preserve"> V1–V3 contained discrepancies where `Obesity` and `High_Adiposity_Risk` were interchangeably named across different evaluation modules. V4 standardized `High_Adiposity_Risk` as the primary target with strict 1:1 backward compatibility.</w:t>
      </w:r>
    </w:p>
    <w:p>
      <w:pPr>
        <w:spacing w:before="40" w:after="80"/>
      </w:pPr>
      <w:r>
        <w:rPr>
          <w:rFonts w:ascii="Arial" w:hAnsi="Arial"/>
          <w:color w:val="334155"/>
          <w:sz w:val="19"/>
        </w:rPr>
        <w:t xml:space="preserve">2. </w:t>
      </w:r>
      <w:r>
        <w:rPr>
          <w:rFonts w:ascii="Arial" w:hAnsi="Arial"/>
          <w:b/>
          <w:color w:val="0F172A"/>
          <w:sz w:val="19"/>
        </w:rPr>
        <w:t>Physiological Coherence &amp; CGM Integration:</w:t>
      </w:r>
      <w:r>
        <w:rPr>
          <w:rFonts w:ascii="Arial" w:hAnsi="Arial"/>
          <w:color w:val="334155"/>
          <w:sz w:val="19"/>
        </w:rPr>
        <w:t xml:space="preserve"> V4 introduced full continuous glucose monitoring metrics (`CGM_Average_Glucose`, `CGM_Glucose_CV`, `CGM_Time_In_Range`, `CGM_Time_Above_Range`, `CGM_Time_Below_Range`) and 49 metagenomic features, creating a comprehensive 82-feature multimodal space.</w:t>
      </w:r>
    </w:p>
    <w:p>
      <w:pPr>
        <w:spacing w:before="40" w:after="80"/>
      </w:pPr>
      <w:r>
        <w:rPr>
          <w:rFonts w:ascii="Arial" w:hAnsi="Arial"/>
          <w:color w:val="334155"/>
          <w:sz w:val="19"/>
        </w:rPr>
        <w:t xml:space="preserve">3. </w:t>
      </w:r>
      <w:r>
        <w:rPr>
          <w:rFonts w:ascii="Arial" w:hAnsi="Arial"/>
          <w:b/>
          <w:color w:val="0F172A"/>
          <w:sz w:val="19"/>
        </w:rPr>
        <w:t>Reproducibility Guarantee:</w:t>
      </w:r>
      <w:r>
        <w:rPr>
          <w:rFonts w:ascii="Arial" w:hAnsi="Arial"/>
          <w:color w:val="334155"/>
          <w:sz w:val="19"/>
        </w:rPr>
        <w:t xml:space="preserve"> All 8 V4 model and dataset files are sealed with SHA256 checksums, ensuring permanent research reproducibility.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 DATASET PERFORMANCE ACROSS V1/V2/V3/V4</w:t>
      </w:r>
    </w:p>
    <w:p>
      <w:pPr>
        <w:pStyle w:val="Heading3"/>
        <w:spacing w:before="160" w:after="40"/>
      </w:pPr>
      <w:r>
        <w:rPr>
          <w:rFonts w:ascii="Arial" w:hAnsi="Arial"/>
          <w:b/>
          <w:color w:val="0F172A"/>
          <w:sz w:val="21"/>
        </w:rPr>
        <w:t>6.1 Empirical Model Performance Comparison Across Versions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E3A8A"/>
            <w:tcMar>
              <w:top w:w="80" w:type="dxa"/>
              <w:bottom w:w="80" w:type="dxa"/>
              <w:left w:w="100" w:type="dxa"/>
              <w:right w:w="100" w:type="dxa"/>
            </w:tcMar>
          </w:tcPr>
          <w:p>
            <w:pPr>
              <w:spacing w:before="40" w:after="40"/>
            </w:pPr>
            <w:r>
              <w:rPr>
                <w:rFonts w:ascii="Arial" w:hAnsi="Arial"/>
                <w:b/>
                <w:color w:val="FFFFFF"/>
                <w:sz w:val="17"/>
              </w:rPr>
              <w:t>Dataset Version</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Modality / Pathway</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Algorithm</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Macro Precision</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Macro Recall</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ROC-AUC</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V1 Baseline</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82.4%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0.781</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0.754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0.767</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0.842</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V1 Baseline</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79.1%</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0.742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0.718</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0.729</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0.811</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V1 Baseline</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76.5%</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0.715</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0.690</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0.702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0.785</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V2 Correlated</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86.8%</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0.834</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0.819</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0.826</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0.895</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V2 Correlated</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83.2%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0.798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0.781</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0.789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0.862</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V2 Correlated</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Baseline Models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81.0%</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0.772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0.755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0.763</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0.838</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V3 Multi-Target</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Calibrated Experts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88.5%</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0.856</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0.849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0.918</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V3 Multi-Target</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Calibrated Experts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85.1%</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0.821</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0.810</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0.884</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V3 Multi-Target</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Calibrated Experts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83.7%</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0.804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0.792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0.798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0.869</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V4 Frozen (Final)</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Calibrated Experts (18 Inputs)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89.6%</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0.864</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0.867</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0.932</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V4 Frozen (Final)</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Calibrated Experts (15 Inputs)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86.4%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0.838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0.829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0.833</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0.898</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V4 Frozen (Final)</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Calibrated Experts (49 Inputs)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85.2%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0.824</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0.819</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0.885</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V4 Frozen (Final)</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Fusion ($C+W+G$)</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Meta-Stacker (15 Probability Meta-Inputs)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0.928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0.919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0.971</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7: COMPLETE MODEL PERFORMANCE AUDIT</w:t>
      </w:r>
    </w:p>
    <w:p>
      <w:pPr>
        <w:pStyle w:val="Heading3"/>
        <w:spacing w:before="160" w:after="40"/>
      </w:pPr>
      <w:r>
        <w:rPr>
          <w:rFonts w:ascii="Arial" w:hAnsi="Arial"/>
          <w:b/>
          <w:color w:val="0F172A"/>
          <w:sz w:val="21"/>
        </w:rPr>
        <w:t>7.1 Clinical Expert Pipeline (Pathway 1: $C$)</w:t>
      </w:r>
    </w:p>
    <w:p>
      <w:pPr>
        <w:pStyle w:val="ListBullet"/>
        <w:spacing w:before="20" w:after="20"/>
      </w:pPr>
      <w:r>
        <w:rPr>
          <w:rFonts w:ascii="Arial" w:hAnsi="Arial"/>
          <w:color w:val="334155"/>
          <w:sz w:val="19"/>
        </w:rPr>
      </w:r>
      <w:r>
        <w:rPr>
          <w:rFonts w:ascii="Arial" w:hAnsi="Arial"/>
          <w:b/>
          <w:color w:val="0F172A"/>
          <w:sz w:val="19"/>
        </w:rPr>
        <w:t>Algorithm Suite:</w:t>
      </w:r>
      <w:r>
        <w:rPr>
          <w:rFonts w:ascii="Arial" w:hAnsi="Arial"/>
          <w:color w:val="334155"/>
          <w:sz w:val="19"/>
        </w:rPr>
        <w:t xml:space="preserve"> Logistic Regression &amp; XGBoost Classifier per disease target.</w:t>
      </w:r>
    </w:p>
    <w:p>
      <w:pPr>
        <w:pStyle w:val="ListBullet"/>
        <w:spacing w:before="20" w:after="20"/>
      </w:pPr>
      <w:r>
        <w:rPr>
          <w:rFonts w:ascii="Arial" w:hAnsi="Arial"/>
          <w:color w:val="334155"/>
          <w:sz w:val="19"/>
        </w:rPr>
      </w:r>
      <w:r>
        <w:rPr>
          <w:rFonts w:ascii="Arial" w:hAnsi="Arial"/>
          <w:b/>
          <w:color w:val="0F172A"/>
          <w:sz w:val="19"/>
        </w:rPr>
        <w:t>Input Dimension:</w:t>
      </w:r>
      <w:r>
        <w:rPr>
          <w:rFonts w:ascii="Arial" w:hAnsi="Arial"/>
          <w:color w:val="334155"/>
          <w:sz w:val="19"/>
        </w:rPr>
        <w:t xml:space="preserve"> Exactly 18 continuous laboratory features.</w:t>
      </w:r>
    </w:p>
    <w:p>
      <w:pPr>
        <w:pStyle w:val="ListBullet"/>
        <w:spacing w:before="20" w:after="20"/>
      </w:pPr>
      <w:r>
        <w:rPr>
          <w:rFonts w:ascii="Arial" w:hAnsi="Arial"/>
          <w:color w:val="334155"/>
          <w:sz w:val="19"/>
        </w:rPr>
      </w:r>
      <w:r>
        <w:rPr>
          <w:rFonts w:ascii="Arial" w:hAnsi="Arial"/>
          <w:b/>
          <w:color w:val="0F172A"/>
          <w:sz w:val="19"/>
        </w:rPr>
        <w:t>Test Performance (3,000 samples):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89.6%</w:t>
      </w:r>
    </w:p>
    <w:p>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0.871 / 0.864 / 0.867</w:t>
      </w:r>
    </w:p>
    <w:p>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0.894</w:t>
      </w:r>
    </w:p>
    <w:p>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0.932</w:t>
      </w:r>
    </w:p>
    <w:p>
      <w:pPr>
        <w:spacing w:before="40" w:after="80"/>
      </w:pPr>
      <w:r>
        <w:rPr>
          <w:rFonts w:ascii="Arial" w:hAnsi="Arial"/>
          <w:color w:val="334155"/>
          <w:sz w:val="19"/>
        </w:rPr>
        <w:t xml:space="preserve">* </w:t>
      </w:r>
      <w:r>
        <w:rPr>
          <w:rFonts w:ascii="Arial" w:hAnsi="Arial"/>
          <w:b/>
          <w:color w:val="0F172A"/>
          <w:sz w:val="19"/>
        </w:rPr>
        <w:t>Brier Score:</w:t>
      </w:r>
      <w:r>
        <w:rPr>
          <w:rFonts w:ascii="Arial" w:hAnsi="Arial"/>
          <w:color w:val="334155"/>
          <w:sz w:val="19"/>
        </w:rPr>
        <w:t xml:space="preserve"> 0.078 (High probability calibration)</w:t>
      </w:r>
    </w:p>
    <w:p>
      <w:pPr>
        <w:pStyle w:val="Heading3"/>
        <w:spacing w:before="160" w:after="40"/>
      </w:pPr>
      <w:r>
        <w:rPr>
          <w:rFonts w:ascii="Arial" w:hAnsi="Arial"/>
          <w:b/>
          <w:color w:val="0F172A"/>
          <w:sz w:val="21"/>
        </w:rPr>
        <w:t>7.2 Wearable CGM Expert Pipeline (Pathway 2: $W$)</w:t>
      </w:r>
    </w:p>
    <w:p>
      <w:pPr>
        <w:pStyle w:val="ListBullet"/>
        <w:spacing w:before="20" w:after="20"/>
      </w:pPr>
      <w:r>
        <w:rPr>
          <w:rFonts w:ascii="Arial" w:hAnsi="Arial"/>
          <w:color w:val="334155"/>
          <w:sz w:val="19"/>
        </w:rPr>
      </w:r>
      <w:r>
        <w:rPr>
          <w:rFonts w:ascii="Arial" w:hAnsi="Arial"/>
          <w:b/>
          <w:color w:val="0F172A"/>
          <w:sz w:val="19"/>
        </w:rPr>
        <w:t>Algorithm Suite:</w:t>
      </w:r>
      <w:r>
        <w:rPr>
          <w:rFonts w:ascii="Arial" w:hAnsi="Arial"/>
          <w:color w:val="334155"/>
          <w:sz w:val="19"/>
        </w:rPr>
        <w:t xml:space="preserve"> Logistic Regression, XGBoost, and CatBoost Classifier per disease target.</w:t>
      </w:r>
    </w:p>
    <w:p>
      <w:pPr>
        <w:pStyle w:val="ListBullet"/>
        <w:spacing w:before="20" w:after="20"/>
      </w:pPr>
      <w:r>
        <w:rPr>
          <w:rFonts w:ascii="Arial" w:hAnsi="Arial"/>
          <w:color w:val="334155"/>
          <w:sz w:val="19"/>
        </w:rPr>
      </w:r>
      <w:r>
        <w:rPr>
          <w:rFonts w:ascii="Arial" w:hAnsi="Arial"/>
          <w:b/>
          <w:color w:val="0F172A"/>
          <w:sz w:val="19"/>
        </w:rPr>
        <w:t>Input Dimension:</w:t>
      </w:r>
      <w:r>
        <w:rPr>
          <w:rFonts w:ascii="Arial" w:hAnsi="Arial"/>
          <w:color w:val="334155"/>
          <w:sz w:val="19"/>
        </w:rPr>
        <w:t xml:space="preserve"> Exactly 15 continuous wearable &amp; CGM features.</w:t>
      </w:r>
    </w:p>
    <w:p>
      <w:pPr>
        <w:pStyle w:val="ListBullet"/>
        <w:spacing w:before="20" w:after="20"/>
      </w:pPr>
      <w:r>
        <w:rPr>
          <w:rFonts w:ascii="Arial" w:hAnsi="Arial"/>
          <w:color w:val="334155"/>
          <w:sz w:val="19"/>
        </w:rPr>
      </w:r>
      <w:r>
        <w:rPr>
          <w:rFonts w:ascii="Arial" w:hAnsi="Arial"/>
          <w:b/>
          <w:color w:val="0F172A"/>
          <w:sz w:val="19"/>
        </w:rPr>
        <w:t>Test Performance (3,000 samples):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86.4%</w:t>
      </w:r>
    </w:p>
    <w:p>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0.838 / 0.829 / 0.833</w:t>
      </w:r>
    </w:p>
    <w:p>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0.861</w:t>
      </w:r>
    </w:p>
    <w:p>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0.898</w:t>
      </w:r>
    </w:p>
    <w:p>
      <w:pPr>
        <w:pStyle w:val="Heading3"/>
        <w:spacing w:before="160" w:after="40"/>
      </w:pPr>
      <w:r>
        <w:rPr>
          <w:rFonts w:ascii="Arial" w:hAnsi="Arial"/>
          <w:b/>
          <w:color w:val="0F172A"/>
          <w:sz w:val="21"/>
        </w:rPr>
        <w:t>7.3 Gut Microbiome Expert Pipeline (Pathway 3: $G$)</w:t>
      </w:r>
    </w:p>
    <w:p>
      <w:pPr>
        <w:pStyle w:val="ListBullet"/>
        <w:spacing w:before="20" w:after="20"/>
      </w:pPr>
      <w:r>
        <w:rPr>
          <w:rFonts w:ascii="Arial" w:hAnsi="Arial"/>
          <w:color w:val="334155"/>
          <w:sz w:val="19"/>
        </w:rPr>
      </w:r>
      <w:r>
        <w:rPr>
          <w:rFonts w:ascii="Arial" w:hAnsi="Arial"/>
          <w:b/>
          <w:color w:val="0F172A"/>
          <w:sz w:val="19"/>
        </w:rPr>
        <w:t>Algorithm Suite:</w:t>
      </w:r>
      <w:r>
        <w:rPr>
          <w:rFonts w:ascii="Arial" w:hAnsi="Arial"/>
          <w:color w:val="334155"/>
          <w:sz w:val="19"/>
        </w:rPr>
        <w:t xml:space="preserve"> Random Forest, ExtraTrees, and Logistic Regression per disease target.</w:t>
      </w:r>
    </w:p>
    <w:p>
      <w:pPr>
        <w:pStyle w:val="ListBullet"/>
        <w:spacing w:before="20" w:after="20"/>
      </w:pPr>
      <w:r>
        <w:rPr>
          <w:rFonts w:ascii="Arial" w:hAnsi="Arial"/>
          <w:color w:val="334155"/>
          <w:sz w:val="19"/>
        </w:rPr>
      </w:r>
      <w:r>
        <w:rPr>
          <w:rFonts w:ascii="Arial" w:hAnsi="Arial"/>
          <w:b/>
          <w:color w:val="0F172A"/>
          <w:sz w:val="19"/>
        </w:rPr>
        <w:t>Input Dimension:</w:t>
      </w:r>
      <w:r>
        <w:rPr>
          <w:rFonts w:ascii="Arial" w:hAnsi="Arial"/>
          <w:color w:val="334155"/>
          <w:sz w:val="19"/>
        </w:rPr>
        <w:t xml:space="preserve"> Exactly 49 continuous taxonomic and diversity features.</w:t>
      </w:r>
    </w:p>
    <w:p>
      <w:pPr>
        <w:pStyle w:val="ListBullet"/>
        <w:spacing w:before="20" w:after="20"/>
      </w:pPr>
      <w:r>
        <w:rPr>
          <w:rFonts w:ascii="Arial" w:hAnsi="Arial"/>
          <w:color w:val="334155"/>
          <w:sz w:val="19"/>
        </w:rPr>
      </w:r>
      <w:r>
        <w:rPr>
          <w:rFonts w:ascii="Arial" w:hAnsi="Arial"/>
          <w:b/>
          <w:color w:val="0F172A"/>
          <w:sz w:val="19"/>
        </w:rPr>
        <w:t>Test Performance (3,000 samples):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85.2%</w:t>
      </w:r>
    </w:p>
    <w:p>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0.824 / 0.815 / 0.819</w:t>
      </w:r>
    </w:p>
    <w:p>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0.849</w:t>
      </w:r>
    </w:p>
    <w:p>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0.885</w:t>
      </w:r>
    </w:p>
    <w:p>
      <w:pPr>
        <w:pStyle w:val="Heading3"/>
        <w:spacing w:before="160" w:after="40"/>
      </w:pPr>
      <w:r>
        <w:rPr>
          <w:rFonts w:ascii="Arial" w:hAnsi="Arial"/>
          <w:b/>
          <w:color w:val="0F172A"/>
          <w:sz w:val="21"/>
        </w:rPr>
        <w:t>7.4 Multimodal Trimodal Fusion Meta-Learner (Pathway 7: $C+W+G$)</w:t>
      </w:r>
    </w:p>
    <w:p>
      <w:pPr>
        <w:pStyle w:val="ListBullet"/>
        <w:spacing w:before="20" w:after="20"/>
      </w:pPr>
      <w:r>
        <w:rPr>
          <w:rFonts w:ascii="Arial" w:hAnsi="Arial"/>
          <w:color w:val="334155"/>
          <w:sz w:val="19"/>
        </w:rPr>
      </w:r>
      <w:r>
        <w:rPr>
          <w:rFonts w:ascii="Arial" w:hAnsi="Arial"/>
          <w:b/>
          <w:color w:val="0F172A"/>
          <w:sz w:val="19"/>
        </w:rPr>
        <w:t>Algorithm Suite:</w:t>
      </w:r>
      <w:r>
        <w:rPr>
          <w:rFonts w:ascii="Arial" w:hAnsi="Arial"/>
          <w:color w:val="334155"/>
          <w:sz w:val="19"/>
        </w:rPr>
        <w:t xml:space="preserve"> Stacking Meta-Classifiers (L2-Regularized Logistic Regression for T2D/Obesity/MetSyn/NAFLD, LightGBM for Prediabetes).</w:t>
      </w:r>
    </w:p>
    <w:p>
      <w:pPr>
        <w:pStyle w:val="ListBullet"/>
        <w:spacing w:before="20" w:after="20"/>
      </w:pPr>
      <w:r>
        <w:rPr>
          <w:rFonts w:ascii="Arial" w:hAnsi="Arial"/>
          <w:color w:val="334155"/>
          <w:sz w:val="19"/>
        </w:rPr>
      </w:r>
      <w:r>
        <w:rPr>
          <w:rFonts w:ascii="Arial" w:hAnsi="Arial"/>
          <w:b/>
          <w:color w:val="0F172A"/>
          <w:sz w:val="19"/>
        </w:rPr>
        <w:t>Meta-Features:</w:t>
      </w:r>
      <w:r>
        <w:rPr>
          <w:rFonts w:ascii="Arial" w:hAnsi="Arial"/>
          <w:color w:val="334155"/>
          <w:sz w:val="19"/>
        </w:rPr>
        <w:t xml:space="preserve"> 15 total out-of-fold calibrated probability outputs (3 expert probabilities per disease $</w:t>
        <w:tab/>
        <w:t>imes$ 5 targets). Each target-specific meta-learner consumes 3 probability meta-features ($[P_{C, d}, P_{W, d}, P_{G, d}]$).</w:t>
      </w:r>
    </w:p>
    <w:p>
      <w:pPr>
        <w:pStyle w:val="ListBullet"/>
        <w:spacing w:before="20" w:after="20"/>
      </w:pPr>
      <w:r>
        <w:rPr>
          <w:rFonts w:ascii="Arial" w:hAnsi="Arial"/>
          <w:color w:val="334155"/>
          <w:sz w:val="19"/>
        </w:rPr>
      </w:r>
      <w:r>
        <w:rPr>
          <w:rFonts w:ascii="Arial" w:hAnsi="Arial"/>
          <w:b/>
          <w:color w:val="0F172A"/>
          <w:sz w:val="19"/>
        </w:rPr>
        <w:t>Test Performance (3,000 samples):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w:t>
      </w:r>
      <w:r>
        <w:rPr>
          <w:rFonts w:ascii="Arial" w:hAnsi="Arial"/>
          <w:b/>
          <w:color w:val="0F172A"/>
          <w:sz w:val="19"/>
        </w:rPr>
        <w:t>94.2%</w:t>
      </w:r>
      <w:r>
        <w:rPr>
          <w:rFonts w:ascii="Arial" w:hAnsi="Arial"/>
          <w:color w:val="334155"/>
          <w:sz w:val="19"/>
        </w:rPr>
        <w:t xml:space="preserve"> (+4.6% gain over best single modality)</w:t>
      </w:r>
    </w:p>
    <w:p>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w:t>
      </w:r>
      <w:r>
        <w:rPr>
          <w:rFonts w:ascii="Arial" w:hAnsi="Arial"/>
          <w:b/>
          <w:color w:val="0F172A"/>
          <w:sz w:val="19"/>
        </w:rPr>
        <w:t>0.928 / 0.919 / 0.923</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w:t>
      </w:r>
      <w:r>
        <w:rPr>
          <w:rFonts w:ascii="Arial" w:hAnsi="Arial"/>
          <w:b/>
          <w:color w:val="0F172A"/>
          <w:sz w:val="19"/>
        </w:rPr>
        <w:t>0.941</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ROC-AUC:</w:t>
      </w:r>
      <w:r>
        <w:rPr>
          <w:rFonts w:ascii="Arial" w:hAnsi="Arial"/>
          <w:color w:val="334155"/>
          <w:sz w:val="19"/>
        </w:rPr>
        <w:t xml:space="preserve"> </w:t>
      </w:r>
      <w:r>
        <w:rPr>
          <w:rFonts w:ascii="Arial" w:hAnsi="Arial"/>
          <w:b/>
          <w:color w:val="0F172A"/>
          <w:sz w:val="19"/>
        </w:rPr>
        <w:t>0.971</w:t>
      </w:r>
      <w:r>
        <w:rPr>
          <w:rFonts w:ascii="Arial" w:hAnsi="Arial"/>
          <w:color w:val="334155"/>
          <w:sz w:val="19"/>
        </w:rPr>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8: PER-DISEASE / PER-CLASS PERFORMANCE</w:t>
      </w:r>
    </w:p>
    <w:p>
      <w:pPr>
        <w:pStyle w:val="Heading3"/>
        <w:spacing w:before="160" w:after="40"/>
      </w:pPr>
      <w:r>
        <w:rPr>
          <w:rFonts w:ascii="Arial" w:hAnsi="Arial"/>
          <w:b/>
          <w:color w:val="0F172A"/>
          <w:sz w:val="21"/>
        </w:rPr>
        <w:t>8.1 Per-Disease Metrics for Trimodal Fusion ($C+W+G$)</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Precision</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Recall (Sensitivity)</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Specificity</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F1 Score</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Test Support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ROC-AUC</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Hardness Rank</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0.948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0.941</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0.982</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0.944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780</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0.984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 (Best identified)</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0.892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0.884</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0.961</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0.888</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620</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0.952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5 (Hardest class)</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High Adiposity Risk (Obesity)</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0.951</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0.946</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0.985</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0.948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840</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0.986</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2 (High separability)</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0.924</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0.972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0.919</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910</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0.968</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3 (Composite criteria)</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0.926</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0.910</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0.974</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0.918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730</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0.965</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4 (Enzyme + Gut variance)</w:t>
            </w:r>
          </w:p>
        </w:tc>
      </w:tr>
    </w:tbl>
    <w:p>
      <w:pPr>
        <w:spacing w:after="120"/>
      </w:pPr>
    </w:p>
    <w:p>
      <w:pPr>
        <w:pStyle w:val="Heading3"/>
        <w:spacing w:before="160" w:after="40"/>
      </w:pPr>
      <w:r>
        <w:rPr>
          <w:rFonts w:ascii="Arial" w:hAnsi="Arial"/>
          <w:b/>
          <w:color w:val="0F172A"/>
          <w:sz w:val="21"/>
        </w:rPr>
        <w:t>8.2 In-Depth Disease Hardness Analysis</w:t>
      </w:r>
    </w:p>
    <w:p>
      <w:pPr>
        <w:pStyle w:val="ListBullet"/>
        <w:spacing w:before="20" w:after="20"/>
      </w:pPr>
      <w:r>
        <w:rPr>
          <w:rFonts w:ascii="Arial" w:hAnsi="Arial"/>
          <w:color w:val="334155"/>
          <w:sz w:val="19"/>
        </w:rPr>
      </w:r>
      <w:r>
        <w:rPr>
          <w:rFonts w:ascii="Arial" w:hAnsi="Arial"/>
          <w:b/>
          <w:color w:val="0F172A"/>
          <w:sz w:val="19"/>
        </w:rPr>
        <w:t>Why Prediabetes is the Hardest Target ($F_1 = 0.888$):</w:t>
      </w:r>
      <w:r>
        <w:rPr>
          <w:rFonts w:ascii="Arial" w:hAnsi="Arial"/>
          <w:color w:val="334155"/>
          <w:sz w:val="19"/>
        </w:rPr>
        <w:t xml:space="preserve"> Prediabetes represents an intermediate metabolic transition zone ($</w:t>
        <w:tab/>
        <w:t>ext{HbA1c } 5.7\%–6.4\%$). Its boundary overlaps with both euglycemic healthy controls and early-stage Type 2 Diabetes, leading to slight borderline classification bleed.</w:t>
      </w:r>
    </w:p>
    <w:p>
      <w:pPr>
        <w:pStyle w:val="ListBullet"/>
        <w:spacing w:before="20" w:after="20"/>
      </w:pPr>
      <w:r>
        <w:rPr>
          <w:rFonts w:ascii="Arial" w:hAnsi="Arial"/>
          <w:color w:val="334155"/>
          <w:sz w:val="19"/>
        </w:rPr>
      </w:r>
      <w:r>
        <w:rPr>
          <w:rFonts w:ascii="Arial" w:hAnsi="Arial"/>
          <w:b/>
          <w:color w:val="0F172A"/>
          <w:sz w:val="19"/>
        </w:rPr>
        <w:t>Why Type 2 Diabetes &amp; High Adiposity Risk Perform Best ($F_1 &gt; 0.944$):</w:t>
      </w:r>
      <w:r>
        <w:rPr>
          <w:rFonts w:ascii="Arial" w:hAnsi="Arial"/>
          <w:color w:val="334155"/>
          <w:sz w:val="19"/>
        </w:rPr>
        <w:t xml:space="preserve"> Type 2 Diabetes exhibits distinct multi-modal signatures across all three modalities simultaneously: elevated $</w:t>
        <w:tab/>
        <w:t>ext{HbA1c} &gt; 6.5\%$ (Clinical), sustained $</w:t>
        <w:tab/>
        <w:t>ext{Time Above Range} &gt; 180$ (Wearable), and depleted *Akkermansia* / elevated *Enterobacteriaceae* (Gut).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9: MODEL COMPARISON ACROSS DATASET VERSIONS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Target Condition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V1 F1 Score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V2 F1 Score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V3 F1 Score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V4 F1 Score (Final)</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Absolute Gain (V1 $</w:t>
              <w:tab/>
              <w:t>o$ V4)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0.812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0.874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0.910</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0.944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+13.2%</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0.710</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0.785</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0.824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0.888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+17.8%</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0.825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0.880</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0.948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+12.3%</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0.764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0.831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0.872</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0.919</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+15.5%</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0.726</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0.818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0.865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+19.2%</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10: CLASSIFICATION EXPERIMENTS</w:t>
      </w:r>
    </w:p>
    <w:p>
      <w:pPr>
        <w:pStyle w:val="Heading3"/>
        <w:spacing w:before="160" w:after="40"/>
      </w:pPr>
      <w:r>
        <w:rPr>
          <w:rFonts w:ascii="Arial" w:hAnsi="Arial"/>
          <w:b/>
          <w:color w:val="0F172A"/>
          <w:sz w:val="21"/>
        </w:rPr>
        <w:t>10.1 Evaluated Classification Paradigms</w:t>
      </w:r>
    </w:p>
    <w:p>
      <w:pPr>
        <w:spacing w:before="40" w:after="80"/>
      </w:pPr>
      <w:r>
        <w:rPr>
          <w:rFonts w:ascii="Arial" w:hAnsi="Arial"/>
          <w:color w:val="334155"/>
          <w:sz w:val="19"/>
        </w:rPr>
        <w:t xml:space="preserve">1. </w:t>
      </w:r>
      <w:r>
        <w:rPr>
          <w:rFonts w:ascii="Arial" w:hAnsi="Arial"/>
          <w:b/>
          <w:color w:val="0F172A"/>
          <w:sz w:val="19"/>
        </w:rPr>
        <w:t>Multi-Label Binary Relevance (Accepted as FINAL):</w:t>
      </w:r>
      <w:r>
        <w:rPr>
          <w:rFonts w:ascii="Arial" w:hAnsi="Arial"/>
          <w:color w:val="334155"/>
          <w:sz w:val="19"/>
        </w:rPr>
        <w:t xml:space="preserve"> Trains 5 independent, calibrated binary estimators per modality, allowing co-occurrence of multiple metabolic conditions (e.g. a patient can simultaneously present with High Adiposity Risk, Prediabetes, and NAFLD).</w:t>
      </w:r>
    </w:p>
    <w:p>
      <w:pPr>
        <w:spacing w:before="40" w:after="80"/>
      </w:pPr>
      <w:r>
        <w:rPr>
          <w:rFonts w:ascii="Arial" w:hAnsi="Arial"/>
          <w:color w:val="334155"/>
          <w:sz w:val="19"/>
        </w:rPr>
        <w:t xml:space="preserve">2. </w:t>
      </w:r>
      <w:r>
        <w:rPr>
          <w:rFonts w:ascii="Arial" w:hAnsi="Arial"/>
          <w:b/>
          <w:color w:val="0F172A"/>
          <w:sz w:val="19"/>
        </w:rPr>
        <w:t>Mutually Exclusive Multiclass (Rejected):</w:t>
      </w:r>
      <w:r>
        <w:rPr>
          <w:rFonts w:ascii="Arial" w:hAnsi="Arial"/>
          <w:color w:val="334155"/>
          <w:sz w:val="19"/>
        </w:rPr>
        <w:t xml:space="preserve"> Forced single-label classification. Rejected because metabolic syndrome conditions naturally co-occur in over 68% of patients.</w:t>
      </w:r>
    </w:p>
    <w:p>
      <w:pPr>
        <w:spacing w:before="40" w:after="80"/>
      </w:pPr>
      <w:r>
        <w:rPr>
          <w:rFonts w:ascii="Arial" w:hAnsi="Arial"/>
          <w:color w:val="334155"/>
          <w:sz w:val="19"/>
        </w:rPr>
        <w:t xml:space="preserve">3. </w:t>
      </w:r>
      <w:r>
        <w:rPr>
          <w:rFonts w:ascii="Arial" w:hAnsi="Arial"/>
          <w:b/>
          <w:color w:val="0F172A"/>
          <w:sz w:val="19"/>
        </w:rPr>
        <w:t>Threshold Calibration Strategy:</w:t>
      </w:r>
      <w:r>
        <w:rPr>
          <w:rFonts w:ascii="Arial" w:hAnsi="Arial"/>
          <w:color w:val="334155"/>
          <w:sz w:val="19"/>
        </w:rPr>
        <w:t xml:space="preserve"> Standard default threshold of 0.50 was tuned using ROC curve Youden's $J$ statistic ($J = </w:t>
        <w:tab/>
        <w:t xml:space="preserve">ext{Sensitivity} + </w:t>
        <w:tab/>
        <w:t>ext{Specificity} - 1$) on the validation split, achieving optimal clinical trade-offs (calibrated thresholds between $0.29$ and $0.39$).</w:t>
      </w:r>
    </w:p>
    <w:p>
      <w:pPr>
        <w:pStyle w:val="Heading1"/>
        <w:spacing w:before="280" w:after="120"/>
      </w:pPr>
      <w:r>
        <w:rPr>
          <w:rFonts w:ascii="Arial" w:hAnsi="Arial"/>
          <w:b/>
          <w:color w:val="1E3A8A"/>
          <w:sz w:val="30"/>
        </w:rPr>
        <w:t>SECTION 11: STATISTICAL DATA RELATIONSHIPS &amp; MATHEMATICAL PRIORS</w:t>
      </w:r>
    </w:p>
    <w:p>
      <w:pPr>
        <w:pStyle w:val="Heading3"/>
        <w:spacing w:before="160" w:after="40"/>
      </w:pPr>
      <w:r>
        <w:rPr>
          <w:rFonts w:ascii="Arial" w:hAnsi="Arial"/>
          <w:b/>
          <w:color w:val="0F172A"/>
          <w:sz w:val="21"/>
        </w:rPr>
        <w:t>11.1 Physiological Cross-Modal Correlation Structure</w:t>
      </w:r>
    </w:p>
    <w:p>
      <w:pPr>
        <w:spacing w:before="40" w:after="80"/>
      </w:pPr>
      <w:r>
        <w:rPr>
          <w:rFonts w:ascii="Arial" w:hAnsi="Arial"/>
          <w:color w:val="334155"/>
          <w:sz w:val="19"/>
        </w:rPr>
        <w:t>In biological systems, metabolic dysfunction manifests across multi-organ pathways with established physiological covariance:</w:t>
      </w:r>
    </w:p>
    <w:p>
      <w:pPr>
        <w:spacing w:before="40" w:after="80"/>
      </w:pPr>
      <w:r>
        <w:rPr>
          <w:rFonts w:ascii="Arial" w:hAnsi="Arial"/>
          <w:color w:val="334155"/>
          <w:sz w:val="19"/>
        </w:rPr>
        <w:t xml:space="preserve">1. </w:t>
      </w:r>
      <w:r>
        <w:rPr>
          <w:rFonts w:ascii="Arial" w:hAnsi="Arial"/>
          <w:b/>
          <w:color w:val="0F172A"/>
          <w:sz w:val="19"/>
        </w:rPr>
        <w:t>Clinical $\leftrightarrow$ Wearable Glycemic Coupling:</w:t>
      </w:r>
      <w:r>
        <w:rPr>
          <w:rFonts w:ascii="Arial" w:hAnsi="Arial"/>
          <w:color w:val="334155"/>
          <w:sz w:val="19"/>
        </w:rPr>
      </w:r>
    </w:p>
    <w:p>
      <w:pPr>
        <w:spacing w:before="40" w:after="80"/>
      </w:pPr>
      <w:r>
        <w:rPr>
          <w:rFonts w:ascii="Arial" w:hAnsi="Arial"/>
          <w:color w:val="334155"/>
          <w:sz w:val="19"/>
        </w:rPr>
        <w:t>$$</w:t>
        <w:tab/>
        <w:t>ext{Corr}(</w:t>
        <w:tab/>
        <w:t xml:space="preserve">ext{HbA1c}, </w:t>
        <w:tab/>
        <w:t>ext{CGM Mean Glucose}) pprox +0.82 \quad (p &lt; 0.001)$$</w:t>
      </w:r>
    </w:p>
    <w:p>
      <w:pPr>
        <w:spacing w:before="40" w:after="80"/>
      </w:pPr>
      <w:r>
        <w:rPr>
          <w:rFonts w:ascii="Arial" w:hAnsi="Arial"/>
          <w:color w:val="334155"/>
          <w:sz w:val="19"/>
        </w:rPr>
        <w:t>$$</w:t>
        <w:tab/>
        <w:t>ext{Corr}(</w:t>
        <w:tab/>
        <w:t xml:space="preserve">ext{Fasting Glucose}, </w:t>
        <w:tab/>
        <w:t>ext{CGM Glucose CV}) pprox +0.64 \quad (p &lt; 0.001)$$</w:t>
      </w:r>
    </w:p>
    <w:p>
      <w:pPr>
        <w:spacing w:before="40" w:after="80"/>
      </w:pPr>
      <w:r>
        <w:rPr>
          <w:rFonts w:ascii="Arial" w:hAnsi="Arial"/>
          <w:color w:val="334155"/>
          <w:sz w:val="19"/>
        </w:rPr>
        <w:t xml:space="preserve">2. </w:t>
      </w:r>
      <w:r>
        <w:rPr>
          <w:rFonts w:ascii="Arial" w:hAnsi="Arial"/>
          <w:b/>
          <w:color w:val="0F172A"/>
          <w:sz w:val="19"/>
        </w:rPr>
        <w:t>Gut Microbiome $\leftrightarrow$ Systemic Inflammation &amp; Adiposity Coupling:</w:t>
      </w:r>
      <w:r>
        <w:rPr>
          <w:rFonts w:ascii="Arial" w:hAnsi="Arial"/>
          <w:color w:val="334155"/>
          <w:sz w:val="19"/>
        </w:rPr>
      </w:r>
    </w:p>
    <w:p>
      <w:pPr>
        <w:spacing w:before="40" w:after="80"/>
      </w:pPr>
      <w:r>
        <w:rPr>
          <w:rFonts w:ascii="Arial" w:hAnsi="Arial"/>
          <w:color w:val="334155"/>
          <w:sz w:val="19"/>
        </w:rPr>
        <w:t>$$</w:t>
        <w:tab/>
        <w:t>ext{Corr}(</w:t>
        <w:tab/>
        <w:t xml:space="preserve">ext{Akkermansia muciniphila}, </w:t>
        <w:tab/>
        <w:t>ext{BMI}) pprox -0.58 \quad (p &lt; 0.001)$$</w:t>
      </w:r>
    </w:p>
    <w:p>
      <w:pPr>
        <w:spacing w:before="40" w:after="80"/>
      </w:pPr>
      <w:r>
        <w:rPr>
          <w:rFonts w:ascii="Arial" w:hAnsi="Arial"/>
          <w:color w:val="334155"/>
          <w:sz w:val="19"/>
        </w:rPr>
        <w:t>$$</w:t>
        <w:tab/>
        <w:t>ext{Corr}(</w:t>
        <w:tab/>
        <w:t xml:space="preserve">ext{Escherichia coli}, </w:t>
        <w:tab/>
        <w:t>ext{Triglycerides}) pprox +0.61 \quad (p &lt; 0.001)$$</w:t>
      </w:r>
    </w:p>
    <w:p>
      <w:pPr>
        <w:spacing w:before="40" w:after="80"/>
      </w:pPr>
      <w:r>
        <w:rPr>
          <w:rFonts w:ascii="Arial" w:hAnsi="Arial"/>
          <w:color w:val="334155"/>
          <w:sz w:val="19"/>
        </w:rPr>
        <w:t>$$</w:t>
        <w:tab/>
        <w:t>ext{Corr}(</w:t>
        <w:tab/>
        <w:t xml:space="preserve">ext{Faecalibacterium prausnitzii}, </w:t>
        <w:tab/>
        <w:t>ext{Triglycerides}) pprox -0.49 \quad (p &lt; 0.001)$$</w:t>
      </w:r>
    </w:p>
    <w:p>
      <w:pPr>
        <w:spacing w:before="40" w:after="80"/>
      </w:pPr>
      <w:r>
        <w:rPr>
          <w:rFonts w:ascii="Arial" w:hAnsi="Arial"/>
          <w:color w:val="334155"/>
          <w:sz w:val="19"/>
        </w:rPr>
        <w:t xml:space="preserve">3. </w:t>
      </w:r>
      <w:r>
        <w:rPr>
          <w:rFonts w:ascii="Arial" w:hAnsi="Arial"/>
          <w:b/>
          <w:color w:val="0F172A"/>
          <w:sz w:val="19"/>
        </w:rPr>
        <w:t>Hepatic Enzymes $\leftrightarrow$ Metabolic Syndrome Coupling:</w:t>
      </w:r>
      <w:r>
        <w:rPr>
          <w:rFonts w:ascii="Arial" w:hAnsi="Arial"/>
          <w:color w:val="334155"/>
          <w:sz w:val="19"/>
        </w:rPr>
      </w:r>
    </w:p>
    <w:p>
      <w:pPr>
        <w:spacing w:before="40" w:after="80"/>
      </w:pPr>
      <w:r>
        <w:rPr>
          <w:rFonts w:ascii="Arial" w:hAnsi="Arial"/>
          <w:color w:val="334155"/>
          <w:sz w:val="19"/>
        </w:rPr>
        <w:t>$$</w:t>
        <w:tab/>
        <w:t>ext{Corr}(</w:t>
        <w:tab/>
        <w:t xml:space="preserve">ext{ALT}, </w:t>
        <w:tab/>
        <w:t>ext{Triglycerides}) pprox +0.55 \quad (p &lt; 0.001)$$</w:t>
      </w:r>
    </w:p>
    <w:p>
      <w:pPr>
        <w:pStyle w:val="Heading3"/>
        <w:spacing w:before="160" w:after="40"/>
      </w:pPr>
      <w:r>
        <w:rPr>
          <w:rFonts w:ascii="Arial" w:hAnsi="Arial"/>
          <w:b/>
          <w:color w:val="0F172A"/>
          <w:sz w:val="21"/>
        </w:rPr>
        <w:t>11.2 Mathematical Formulation of HOMA-IR Calculation</w:t>
      </w:r>
    </w:p>
    <w:p>
      <w:pPr>
        <w:spacing w:before="40" w:after="80"/>
      </w:pPr>
      <w:r>
        <w:rPr>
          <w:rFonts w:ascii="Arial" w:hAnsi="Arial"/>
          <w:color w:val="334155"/>
          <w:sz w:val="19"/>
        </w:rPr>
        <w:t>The Homeostatic Model Assessment of Insulin Resistance ($</w:t>
        <w:tab/>
        <w:t>ext{HOMA-IR}$) is mathematically computed as:</w:t>
      </w:r>
    </w:p>
    <w:p>
      <w:pPr>
        <w:spacing w:before="40" w:after="80"/>
      </w:pPr>
      <w:r>
        <w:rPr>
          <w:rFonts w:ascii="Arial" w:hAnsi="Arial"/>
          <w:color w:val="334155"/>
          <w:sz w:val="19"/>
        </w:rPr>
        <w:t>$$</w:t>
        <w:tab/>
        <w:t>ext{HOMA-IR} = rac{</w:t>
        <w:tab/>
        <w:t xml:space="preserve">ext{Fasting Serum Glucose (mg/dL)} </w:t>
        <w:tab/>
        <w:t xml:space="preserve">imes </w:t>
        <w:tab/>
        <w:t>ext{Fasting Serum Insulin } (\mu</w:t>
        <w:tab/>
        <w:t>ext{IU/mL})}{405}$$</w:t>
      </w:r>
    </w:p>
    <w:p>
      <w:pPr>
        <w:pStyle w:val="ListBullet"/>
        <w:spacing w:before="20" w:after="20"/>
      </w:pPr>
      <w:r>
        <w:rPr>
          <w:rFonts w:ascii="Arial" w:hAnsi="Arial"/>
          <w:color w:val="334155"/>
          <w:sz w:val="19"/>
        </w:rPr>
      </w:r>
      <w:r>
        <w:rPr>
          <w:rFonts w:ascii="Arial" w:hAnsi="Arial"/>
          <w:b/>
          <w:color w:val="0F172A"/>
          <w:sz w:val="19"/>
        </w:rPr>
        <w:t>Normal Range:</w:t>
      </w:r>
      <w:r>
        <w:rPr>
          <w:rFonts w:ascii="Arial" w:hAnsi="Arial"/>
          <w:color w:val="334155"/>
          <w:sz w:val="19"/>
        </w:rPr>
        <w:t xml:space="preserve"> $&lt; 1.9$</w:t>
      </w:r>
    </w:p>
    <w:p>
      <w:pPr>
        <w:pStyle w:val="ListBullet"/>
        <w:spacing w:before="20" w:after="20"/>
      </w:pPr>
      <w:r>
        <w:rPr>
          <w:rFonts w:ascii="Arial" w:hAnsi="Arial"/>
          <w:color w:val="334155"/>
          <w:sz w:val="19"/>
        </w:rPr>
      </w:r>
      <w:r>
        <w:rPr>
          <w:rFonts w:ascii="Arial" w:hAnsi="Arial"/>
          <w:b/>
          <w:color w:val="0F172A"/>
          <w:sz w:val="19"/>
        </w:rPr>
        <w:t>Early Insulin Resistance:</w:t>
      </w:r>
      <w:r>
        <w:rPr>
          <w:rFonts w:ascii="Arial" w:hAnsi="Arial"/>
          <w:color w:val="334155"/>
          <w:sz w:val="19"/>
        </w:rPr>
        <w:t xml:space="preserve"> $1.9 – 2.9$</w:t>
      </w:r>
    </w:p>
    <w:p>
      <w:pPr>
        <w:pStyle w:val="ListBullet"/>
        <w:spacing w:before="20" w:after="20"/>
      </w:pPr>
      <w:r>
        <w:rPr>
          <w:rFonts w:ascii="Arial" w:hAnsi="Arial"/>
          <w:color w:val="334155"/>
          <w:sz w:val="19"/>
        </w:rPr>
      </w:r>
      <w:r>
        <w:rPr>
          <w:rFonts w:ascii="Arial" w:hAnsi="Arial"/>
          <w:b/>
          <w:color w:val="0F172A"/>
          <w:sz w:val="19"/>
        </w:rPr>
        <w:t>Significant Insulin Resistance:</w:t>
      </w:r>
      <w:r>
        <w:rPr>
          <w:rFonts w:ascii="Arial" w:hAnsi="Arial"/>
          <w:color w:val="334155"/>
          <w:sz w:val="19"/>
        </w:rPr>
        <w:t xml:space="preserve"> $\ge 3.0$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12: MODALITIES IN TELEMED AI &amp; FORENSIC PROVENANCE</w:t>
      </w:r>
    </w:p>
    <w:p>
      <w:pPr>
        <w:pStyle w:val="Heading3"/>
        <w:spacing w:before="160" w:after="40"/>
      </w:pPr>
      <w:r>
        <w:rPr>
          <w:rFonts w:ascii="Arial" w:hAnsi="Arial"/>
          <w:b/>
          <w:color w:val="0F172A"/>
          <w:sz w:val="21"/>
        </w:rPr>
        <w:t>12.1 The Four Distinct Feature Dimensions</w:t>
      </w:r>
    </w:p>
    <w:p>
      <w:pPr>
        <w:spacing w:before="40" w:after="80"/>
      </w:pPr>
      <w:r>
        <w:rPr>
          <w:rFonts w:ascii="Arial" w:hAnsi="Arial"/>
          <w:color w:val="334155"/>
          <w:sz w:val="19"/>
        </w:rPr>
        <w:t>To eliminate ambiguity between dataset schemas and machine learning inputs, TeleMed AI v4 formally distinguishes between four separate concepts:</w:t>
      </w:r>
    </w:p>
    <w:p>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All physical columns in the CSV/storage files (including IDs, targets, and metadata).</w:t>
      </w:r>
    </w:p>
    <w:p>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bounded biological markers supplied to base expert models after stripping IDs and targets.</w:t>
      </w:r>
    </w:p>
    <w:p>
      <w:pPr>
        <w:spacing w:before="40" w:after="80"/>
      </w:pPr>
      <w:r>
        <w:rPr>
          <w:rFonts w:ascii="Arial" w:hAnsi="Arial"/>
          <w:color w:val="334155"/>
          <w:sz w:val="19"/>
        </w:rPr>
        <w:t xml:space="preserve">3. </w:t>
      </w:r>
      <w:r>
        <w:rPr>
          <w:rFonts w:ascii="Arial" w:hAnsi="Arial"/>
          <w:b/>
          <w:color w:val="0F172A"/>
          <w:sz w:val="19"/>
        </w:rPr>
        <w:t>Engineered / Transformed Features:</w:t>
      </w:r>
      <w:r>
        <w:rPr>
          <w:rFonts w:ascii="Arial" w:hAnsi="Arial"/>
          <w:color w:val="334155"/>
          <w:sz w:val="19"/>
        </w:rPr>
        <w:t xml:space="preserve"> Domain-derived metrics computed from raw sensors (e.g. CGM Glucose CV, Shannon Diversity, Log Ratios).</w:t>
      </w:r>
    </w:p>
    <w:p>
      <w:pPr>
        <w:spacing w:before="40" w:after="80"/>
      </w:pPr>
      <w:r>
        <w:rPr>
          <w:rFonts w:ascii="Arial" w:hAnsi="Arial"/>
          <w:color w:val="334155"/>
          <w:sz w:val="19"/>
        </w:rPr>
        <w:t xml:space="preserve">4. </w:t>
      </w:r>
      <w:r>
        <w:rPr>
          <w:rFonts w:ascii="Arial" w:hAnsi="Arial"/>
          <w:b/>
          <w:color w:val="0F172A"/>
          <w:sz w:val="19"/>
        </w:rPr>
        <w:t>Fusion Meta-Features:</w:t>
      </w:r>
      <w:r>
        <w:rPr>
          <w:rFonts w:ascii="Arial" w:hAnsi="Arial"/>
          <w:color w:val="334155"/>
          <w:sz w:val="19"/>
        </w:rPr>
        <w:t xml:space="preserve"> Probability outputs generated by base experts and consumed by downstream stacking meta-learners.</w:t>
      </w:r>
    </w:p>
    <w:p>
      <w:pPr>
        <w:pStyle w:val="Heading3"/>
        <w:spacing w:before="160" w:after="40"/>
      </w:pPr>
      <w:r>
        <w:rPr>
          <w:rFonts w:ascii="Arial" w:hAnsi="Arial"/>
          <w:b/>
          <w:color w:val="0F172A"/>
          <w:sz w:val="21"/>
        </w:rPr>
        <w:t>12.2 Complete Feature-Provenance Master Table</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Dataset File</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ID Columns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Target Columns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Metadata Columns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Actual Predictive Features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Engineered Features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Final Base-Model Input Dimension</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Source / Evidence</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994"/>
            <w:shd w:fill="FFFFFF"/>
            <w:tcMar>
              <w:top w:w="60" w:type="dxa"/>
              <w:bottom w:w="60" w:type="dxa"/>
              <w:left w:w="80" w:type="dxa"/>
              <w:right w:w="80" w:type="dxa"/>
            </w:tcMar>
          </w:tcPr>
          <w:p>
            <w:pPr>
              <w:spacing w:before="20" w:after="20"/>
            </w:pPr>
            <w:r>
              <w:rPr>
                <w:rFonts w:ascii="Arial" w:hAnsi="Arial"/>
                <w:color w:val="0F172A"/>
                <w:sz w:val="16"/>
              </w:rPr>
              <w:t>clinical_v4_sample.csv</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 (Separated)</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 (BMI)</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18 Inputs</w:t>
            </w:r>
          </w:p>
        </w:tc>
        <w:tc>
          <w:tcPr>
            <w:tcW w:type="dxa" w:w="994"/>
            <w:shd w:fill="FFFFFF"/>
            <w:tcMar>
              <w:top w:w="60" w:type="dxa"/>
              <w:bottom w:w="60" w:type="dxa"/>
              <w:left w:w="80" w:type="dxa"/>
              <w:right w:w="80" w:type="dxa"/>
            </w:tcMar>
          </w:tcPr>
          <w:p>
            <w:pPr>
              <w:spacing w:before="20" w:after="20"/>
            </w:pPr>
            <w:r>
              <w:rPr>
                <w:rFonts w:ascii="Arial" w:hAnsi="Arial"/>
                <w:color w:val="0F172A"/>
                <w:sz w:val="16"/>
              </w:rPr>
              <w:t>clinical_v4_expert_payload.joblib (features key)</w:t>
            </w:r>
          </w:p>
        </w:tc>
      </w:tr>
      <w:tr>
        <w:tc>
          <w:tcPr>
            <w:tcW w:type="dxa" w:w="994"/>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994"/>
            <w:shd w:fill="F8FAFC"/>
            <w:tcMar>
              <w:top w:w="60" w:type="dxa"/>
              <w:bottom w:w="60" w:type="dxa"/>
              <w:left w:w="80" w:type="dxa"/>
              <w:right w:w="80" w:type="dxa"/>
            </w:tcMar>
          </w:tcPr>
          <w:p>
            <w:pPr>
              <w:spacing w:before="20" w:after="20"/>
            </w:pPr>
            <w:r>
              <w:rPr>
                <w:rFonts w:ascii="Arial" w:hAnsi="Arial"/>
                <w:color w:val="0F172A"/>
                <w:sz w:val="16"/>
              </w:rPr>
              <w:t>wearable_v4_sample.csv</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16</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 (Patient_ID)</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 (Separated)</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5 (CGM_CV, RMSSD, Efficiency, etc.)</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15 Inputs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wearable_v4_expert_payload.joblib (features key)</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994"/>
            <w:shd w:fill="FFFFFF"/>
            <w:tcMar>
              <w:top w:w="60" w:type="dxa"/>
              <w:bottom w:w="60" w:type="dxa"/>
              <w:left w:w="80" w:type="dxa"/>
              <w:right w:w="80" w:type="dxa"/>
            </w:tcMar>
          </w:tcPr>
          <w:p>
            <w:pPr>
              <w:spacing w:before="20" w:after="20"/>
            </w:pPr>
            <w:r>
              <w:rPr>
                <w:rFonts w:ascii="Arial" w:hAnsi="Arial"/>
                <w:color w:val="0F172A"/>
                <w:sz w:val="16"/>
              </w:rPr>
              <w:t>gut_v4_sample.csv</w:t>
            </w:r>
          </w:p>
        </w:tc>
        <w:tc>
          <w:tcPr>
            <w:tcW w:type="dxa" w:w="994"/>
            <w:shd w:fill="FFFFFF"/>
            <w:tcMar>
              <w:top w:w="60" w:type="dxa"/>
              <w:bottom w:w="60" w:type="dxa"/>
              <w:left w:w="80" w:type="dxa"/>
              <w:right w:w="80" w:type="dxa"/>
            </w:tcMar>
          </w:tcPr>
          <w:p>
            <w:pPr>
              <w:spacing w:before="20" w:after="20"/>
            </w:pPr>
            <w:r>
              <w:rPr>
                <w:rFonts w:ascii="Arial" w:hAnsi="Arial"/>
                <w:color w:val="0F172A"/>
                <w:sz w:val="16"/>
              </w:rPr>
              <w:t>51</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 (Separated)</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 (Other_Taxa)</w:t>
            </w:r>
          </w:p>
        </w:tc>
        <w:tc>
          <w:tcPr>
            <w:tcW w:type="dxa" w:w="99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994"/>
            <w:shd w:fill="FFFFFF"/>
            <w:tcMar>
              <w:top w:w="60" w:type="dxa"/>
              <w:bottom w:w="60" w:type="dxa"/>
              <w:left w:w="80" w:type="dxa"/>
              <w:right w:w="80" w:type="dxa"/>
            </w:tcMar>
          </w:tcPr>
          <w:p>
            <w:pPr>
              <w:spacing w:before="20" w:after="20"/>
            </w:pPr>
            <w:r>
              <w:rPr>
                <w:rFonts w:ascii="Arial" w:hAnsi="Arial"/>
                <w:color w:val="0F172A"/>
                <w:sz w:val="16"/>
              </w:rPr>
              <w:t>9 (4 Diversity + 4 Indices + 1 Ratio)</w:t>
            </w:r>
          </w:p>
        </w:tc>
        <w:tc>
          <w:tcPr>
            <w:tcW w:type="dxa" w:w="994"/>
            <w:shd w:fill="FFFFFF"/>
            <w:tcMar>
              <w:top w:w="60" w:type="dxa"/>
              <w:bottom w:w="60" w:type="dxa"/>
              <w:left w:w="80" w:type="dxa"/>
              <w:right w:w="80" w:type="dxa"/>
            </w:tcMar>
          </w:tcPr>
          <w:p>
            <w:pPr>
              <w:spacing w:before="20" w:after="20"/>
            </w:pPr>
            <w:r>
              <w:rPr>
                <w:rFonts w:ascii="Arial" w:hAnsi="Arial"/>
                <w:color w:val="0F172A"/>
                <w:sz w:val="16"/>
              </w:rPr>
              <w:t>49 Inputs</w:t>
            </w:r>
          </w:p>
        </w:tc>
        <w:tc>
          <w:tcPr>
            <w:tcW w:type="dxa" w:w="994"/>
            <w:shd w:fill="FFFFFF"/>
            <w:tcMar>
              <w:top w:w="60" w:type="dxa"/>
              <w:bottom w:w="60" w:type="dxa"/>
              <w:left w:w="80" w:type="dxa"/>
              <w:right w:w="80" w:type="dxa"/>
            </w:tcMar>
          </w:tcPr>
          <w:p>
            <w:pPr>
              <w:spacing w:before="20" w:after="20"/>
            </w:pPr>
            <w:r>
              <w:rPr>
                <w:rFonts w:ascii="Arial" w:hAnsi="Arial"/>
                <w:color w:val="0F172A"/>
                <w:sz w:val="16"/>
              </w:rPr>
              <w:t>gut_v4_expert_payload.joblib (features key)</w:t>
            </w:r>
          </w:p>
        </w:tc>
      </w:tr>
      <w:tr>
        <w:tc>
          <w:tcPr>
            <w:tcW w:type="dxa" w:w="994"/>
            <w:shd w:fill="F8FAFC"/>
            <w:tcMar>
              <w:top w:w="60" w:type="dxa"/>
              <w:bottom w:w="60" w:type="dxa"/>
              <w:left w:w="80" w:type="dxa"/>
              <w:right w:w="80" w:type="dxa"/>
            </w:tcMar>
          </w:tcPr>
          <w:p>
            <w:pPr>
              <w:spacing w:before="20" w:after="20"/>
            </w:pPr>
            <w:r>
              <w:rPr>
                <w:rFonts w:ascii="Arial" w:hAnsi="Arial"/>
                <w:color w:val="0F172A"/>
                <w:sz w:val="16"/>
              </w:rPr>
              <w:t>Multimodal ($C+W+G$)</w:t>
            </w:r>
          </w:p>
        </w:tc>
        <w:tc>
          <w:tcPr>
            <w:tcW w:type="dxa" w:w="994"/>
            <w:shd w:fill="F8FAFC"/>
            <w:tcMar>
              <w:top w:w="60" w:type="dxa"/>
              <w:bottom w:w="60" w:type="dxa"/>
              <w:left w:w="80" w:type="dxa"/>
              <w:right w:w="80" w:type="dxa"/>
            </w:tcMar>
          </w:tcPr>
          <w:p>
            <w:pPr>
              <w:spacing w:before="20" w:after="20"/>
            </w:pPr>
            <w:r>
              <w:rPr>
                <w:rFonts w:ascii="Arial" w:hAnsi="Arial"/>
                <w:color w:val="0F172A"/>
                <w:sz w:val="16"/>
              </w:rPr>
              <w:t>All 3 Modalities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86</w:t>
            </w:r>
          </w:p>
        </w:tc>
        <w:tc>
          <w:tcPr>
            <w:tcW w:type="dxa" w:w="994"/>
            <w:shd w:fill="F8FAFC"/>
            <w:tcMar>
              <w:top w:w="60" w:type="dxa"/>
              <w:bottom w:w="60" w:type="dxa"/>
              <w:left w:w="80" w:type="dxa"/>
              <w:right w:w="80" w:type="dxa"/>
            </w:tcMar>
          </w:tcPr>
          <w:p>
            <w:pPr>
              <w:spacing w:before="20" w:after="20"/>
            </w:pPr>
            <w:r>
              <w:rPr>
                <w:rFonts w:ascii="Arial" w:hAnsi="Arial"/>
                <w:color w:val="0F172A"/>
                <w:sz w:val="16"/>
              </w:rPr>
              <w:t>3 IDs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 Metadata</w:t>
            </w:r>
          </w:p>
        </w:tc>
        <w:tc>
          <w:tcPr>
            <w:tcW w:type="dxa" w:w="994"/>
            <w:shd w:fill="F8FAFC"/>
            <w:tcMar>
              <w:top w:w="60" w:type="dxa"/>
              <w:bottom w:w="60" w:type="dxa"/>
              <w:left w:w="80" w:type="dxa"/>
              <w:right w:w="80" w:type="dxa"/>
            </w:tcMar>
          </w:tcPr>
          <w:p>
            <w:pPr>
              <w:spacing w:before="20" w:after="20"/>
            </w:pPr>
            <w:r>
              <w:rPr>
                <w:rFonts w:ascii="Arial" w:hAnsi="Arial"/>
                <w:color w:val="0F172A"/>
                <w:sz w:val="16"/>
              </w:rPr>
              <w:t>82 Upstream Features</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15 Total Engineered</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18 (C) + 15 (W) + 49 (G)</w:t>
            </w:r>
          </w:p>
        </w:tc>
        <w:tc>
          <w:tcPr>
            <w:tcW w:type="dxa" w:w="994"/>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13: WHY EXACTLY SEVEN PATHWAYS? — AUDITED ROUTING</w:t>
      </w:r>
    </w:p>
    <w:p>
      <w:pPr>
        <w:pStyle w:val="Heading3"/>
        <w:spacing w:before="160" w:after="40"/>
      </w:pPr>
      <w:r>
        <w:rPr>
          <w:rFonts w:ascii="Arial" w:hAnsi="Arial"/>
          <w:b/>
          <w:color w:val="0F172A"/>
          <w:sz w:val="21"/>
        </w:rPr>
        <w:t>13.1 Combinatorial Derivation of the 7 Pathways</w:t>
      </w:r>
    </w:p>
    <w:p>
      <w:pPr>
        <w:spacing w:before="40" w:after="80"/>
      </w:pPr>
      <w:r>
        <w:rPr>
          <w:rFonts w:ascii="Arial" w:hAnsi="Arial"/>
          <w:color w:val="334155"/>
          <w:sz w:val="19"/>
        </w:rPr>
        <w:t>Given $N = 3$ independent diagnostic modalities ($C$, $W$, $G$), the total number of non-empty input permutations is:</w:t>
      </w:r>
    </w:p>
    <w:p>
      <w:pPr>
        <w:spacing w:before="40" w:after="80"/>
      </w:pPr>
      <w:r>
        <w:rPr>
          <w:rFonts w:ascii="Arial" w:hAnsi="Arial"/>
          <w:color w:val="334155"/>
          <w:sz w:val="19"/>
        </w:rPr>
        <w:t xml:space="preserve">$$\sum_{k=1}^{3} inom{3}{k} = inom{3}{1} + inom{3}{2} + inom{3}{3} = 3 + 3 + 1 = 7 </w:t>
        <w:tab/>
        <w:t>ext{ distinct pathways}$$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PATIENT LAB INTAKE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CLINICAL   │      │  WEARABLE   │      │    GUT      │</w:t>
      </w:r>
    </w:p>
    <w:p>
      <w:pPr>
        <w:spacing w:before="0" w:after="0"/>
        <w:ind w:left="432"/>
      </w:pPr>
      <w:r>
        <w:rPr>
          <w:rFonts w:ascii="Consolas" w:hAnsi="Consolas"/>
          <w:color w:val="1E293B"/>
          <w:sz w:val="17"/>
        </w:rPr>
        <w:t xml:space="preserve">          │ (18 Inputs) │      │ (15 Inputs) │      │ (49 Inputs)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                    │                    │            │</w:t>
      </w:r>
    </w:p>
    <w:p>
      <w:pPr>
        <w:spacing w:before="0" w:after="0"/>
        <w:ind w:left="432"/>
      </w:pPr>
      <w:r>
        <w:rPr>
          <w:rFonts w:ascii="Consolas" w:hAnsi="Consolas"/>
          <w:color w:val="1E293B"/>
          <w:sz w:val="17"/>
        </w:rPr>
        <w:t xml:space="preserve">    ▼            ▼                    ▼                    ▼            ▼</w:t>
      </w:r>
    </w:p>
    <w:p>
      <w:pPr>
        <w:spacing w:before="0" w:after="0"/>
        <w:ind w:left="432"/>
      </w:pPr>
      <w:r>
        <w:rPr>
          <w:rFonts w:ascii="Consolas" w:hAnsi="Consolas"/>
          <w:color w:val="1E293B"/>
          <w:sz w:val="17"/>
        </w:rPr>
        <w:t>[Path 1: C]  [Path 4: C+W]       [Path 2: W]          [Path 6: W+G]  [Path 3: G]</w:t>
      </w:r>
    </w:p>
    <w:p>
      <w:pPr>
        <w:spacing w:before="0" w:after="0"/>
        <w:ind w:left="432"/>
      </w:pPr>
      <w:r>
        <w:rPr>
          <w:rFonts w:ascii="Consolas" w:hAnsi="Consolas"/>
          <w:color w:val="1E293B"/>
          <w:sz w:val="17"/>
        </w:rPr>
        <w:t xml:space="preserve"> 18 Inputs    33 Upstream         15 Inputs            64 Upstream    49 Inputs</w:t>
      </w:r>
    </w:p>
    <w:p>
      <w:pPr>
        <w:spacing w:before="0" w:after="0"/>
        <w:ind w:left="432"/>
      </w:pPr>
      <w:r>
        <w:rPr>
          <w:rFonts w:ascii="Consolas" w:hAnsi="Consolas"/>
          <w:color w:val="1E293B"/>
          <w:sz w:val="17"/>
        </w:rPr>
        <w:t xml:space="preserve"> (Unimodal)   ➔ 2-Meta Stacking  (Unimodal)           ➔ 2-Meta Stack  (Unimodal)</w:t>
      </w:r>
    </w:p>
    <w:p>
      <w:pPr>
        <w:spacing w:before="0" w:after="0"/>
        <w:ind w:left="432"/>
      </w:pPr>
      <w:r>
        <w:rPr>
          <w:rFonts w:ascii="Consolas" w:hAnsi="Consolas"/>
          <w:color w:val="1E293B"/>
          <w:sz w:val="17"/>
        </w:rPr>
        <w:t xml:space="preserve">    │            │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                     [Path 5: C+G]                                 │</w:t>
      </w:r>
    </w:p>
    <w:p>
      <w:pPr>
        <w:spacing w:before="0" w:after="0"/>
        <w:ind w:left="432"/>
      </w:pPr>
      <w:r>
        <w:rPr>
          <w:rFonts w:ascii="Consolas" w:hAnsi="Consolas"/>
          <w:color w:val="1E293B"/>
          <w:sz w:val="17"/>
        </w:rPr>
        <w:t xml:space="preserve">    │                      67 Upstream ➔ 2-Meta Stacking                │</w:t>
      </w:r>
    </w:p>
    <w:p>
      <w:pPr>
        <w:spacing w:before="0" w:after="0"/>
        <w:ind w:left="432"/>
      </w:pPr>
      <w:r>
        <w:rPr>
          <w:rFonts w:ascii="Consolas" w:hAnsi="Consolas"/>
          <w:color w:val="1E293B"/>
          <w:sz w:val="17"/>
        </w:rPr>
        <w:t xml:space="preserve">    │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[Path 7: C+W+G FUSION]</w:t>
      </w:r>
    </w:p>
    <w:p>
      <w:pPr>
        <w:spacing w:before="0" w:after="0"/>
        <w:ind w:left="432"/>
      </w:pPr>
      <w:r>
        <w:rPr>
          <w:rFonts w:ascii="Consolas" w:hAnsi="Consolas"/>
          <w:color w:val="1E293B"/>
          <w:sz w:val="17"/>
        </w:rPr>
        <w:t xml:space="preserve">                 82 Upstream Features ➔ 15 Probability Meta-Features</w:t>
      </w:r>
    </w:p>
    <w:p>
      <w:pPr>
        <w:spacing w:before="0" w:after="0"/>
        <w:ind w:left="432"/>
      </w:pPr>
      <w:r>
        <w:rPr>
          <w:rFonts w:ascii="Consolas" w:hAnsi="Consolas"/>
          <w:color w:val="1E293B"/>
          <w:sz w:val="17"/>
        </w:rPr>
        <w:t xml:space="preserve">                 ➔ 3 Probability Inputs Per Disease Meta-Model</w:t>
      </w:r>
    </w:p>
    <w:p>
      <w:pPr>
        <w:pStyle w:val="Heading3"/>
        <w:spacing w:before="160" w:after="40"/>
      </w:pPr>
      <w:r>
        <w:rPr>
          <w:rFonts w:ascii="Arial" w:hAnsi="Arial"/>
          <w:b/>
          <w:color w:val="0F172A"/>
          <w:sz w:val="21"/>
        </w:rPr>
        <w:t>13.2 Audited Pathway Routing Table</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Key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Required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Predictive Features Available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Actual Base/Fusion Input Features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Missing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Actual Model Executed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Meta-Features Consumed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Evidence / Verified Source</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P1</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Expert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N/A (Direct)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P2</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Only</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Expert Pipeline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N/A (Direct)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P3</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Microbiome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Expert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N/A (Direct)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P4</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 Wearable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18 (C) &amp; 15 (W)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per target ($P_C, P_W$)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v3_scientific_router.py (line 198)</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P5</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&amp;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 per target ($P_C,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v3_scientific_router.py (line 198)</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P6</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(W) &amp; 49 (G)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per target ($P_W, P_G$)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P7</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Complete Multimodal</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82 Features ($18+15+49$)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15 (W),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(Complete)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Trimodal Stacking Meta-Learner</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3 per target ($P_C, P_W,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14: INDIVIDUAL PATHWAY IN-DEPTH VERIFICATION</w:t>
      </w:r>
    </w:p>
    <w:p>
      <w:pPr>
        <w:pStyle w:val="Heading3"/>
        <w:spacing w:before="160" w:after="40"/>
      </w:pPr>
      <w:r>
        <w:rPr>
          <w:rFonts w:ascii="Arial" w:hAnsi="Arial"/>
          <w:b/>
          <w:color w:val="0F172A"/>
          <w:sz w:val="21"/>
        </w:rPr>
        <w:t>14.1 Pathway 1 — Clinical ($C$)</w:t>
      </w:r>
    </w:p>
    <w:p>
      <w:pPr>
        <w:pStyle w:val="ListBullet"/>
        <w:spacing w:before="20" w:after="20"/>
      </w:pPr>
      <w:r>
        <w:rPr>
          <w:rFonts w:ascii="Arial" w:hAnsi="Arial"/>
          <w:color w:val="334155"/>
          <w:sz w:val="19"/>
        </w:rPr>
      </w:r>
      <w:r>
        <w:rPr>
          <w:rFonts w:ascii="Arial" w:hAnsi="Arial"/>
          <w:b/>
          <w:color w:val="0F172A"/>
          <w:sz w:val="19"/>
        </w:rPr>
        <w:t>Exact Raw Columns:</w:t>
      </w:r>
      <w:r>
        <w:rPr>
          <w:rFonts w:ascii="Arial" w:hAnsi="Arial"/>
          <w:color w:val="334155"/>
          <w:sz w:val="19"/>
        </w:rPr>
        <w:t xml:space="preserve"> 19 in sample CSV, 26 in V1 archive.</w:t>
      </w:r>
    </w:p>
    <w:p>
      <w:pPr>
        <w:pStyle w:val="ListBullet"/>
        <w:spacing w:before="20" w:after="20"/>
      </w:pPr>
      <w:r>
        <w:rPr>
          <w:rFonts w:ascii="Arial" w:hAnsi="Arial"/>
          <w:color w:val="334155"/>
          <w:sz w:val="19"/>
        </w:rPr>
      </w:r>
      <w:r>
        <w:rPr>
          <w:rFonts w:ascii="Arial" w:hAnsi="Arial"/>
          <w:b/>
          <w:color w:val="0F172A"/>
          <w:sz w:val="19"/>
        </w:rPr>
        <w:t>Target &amp; ID Exclusion:</w:t>
      </w:r>
      <w:r>
        <w:rPr>
          <w:rFonts w:ascii="Arial" w:hAnsi="Arial"/>
          <w:color w:val="334155"/>
          <w:sz w:val="19"/>
        </w:rPr>
        <w:t xml:space="preserve"> `Patient_ID` (ID) and disease labels are excluded prior to inference.</w:t>
      </w:r>
    </w:p>
    <w:p>
      <w:pPr>
        <w:pStyle w:val="ListBullet"/>
        <w:spacing w:before="20" w:after="20"/>
      </w:pPr>
      <w:r>
        <w:rPr>
          <w:rFonts w:ascii="Arial" w:hAnsi="Arial"/>
          <w:color w:val="334155"/>
          <w:sz w:val="19"/>
        </w:rPr>
      </w:r>
      <w:r>
        <w:rPr>
          <w:rFonts w:ascii="Arial" w:hAnsi="Arial"/>
          <w:b/>
          <w:color w:val="0F172A"/>
          <w:sz w:val="19"/>
        </w:rPr>
        <w:t>Predictive Input Count:</w:t>
      </w:r>
      <w:r>
        <w:rPr>
          <w:rFonts w:ascii="Arial" w:hAnsi="Arial"/>
          <w:color w:val="334155"/>
          <w:sz w:val="19"/>
        </w:rPr>
        <w:t xml:space="preserve"> Exactly </w:t>
      </w:r>
      <w:r>
        <w:rPr>
          <w:rFonts w:ascii="Arial" w:hAnsi="Arial"/>
          <w:b/>
          <w:color w:val="0F172A"/>
          <w:sz w:val="19"/>
        </w:rPr>
        <w:t>18 features</w:t>
      </w:r>
      <w:r>
        <w:rPr>
          <w:rFonts w:ascii="Arial" w:hAnsi="Arial"/>
          <w:color w:val="334155"/>
          <w:sz w:val="19"/>
        </w:rPr>
        <w:t xml:space="preserve"> (`Age`, `Gender`, `Height`, `Weight`, `BMI`, `Waist_Circumference`, `Systolic_BP`, `Diastolic_BP`, `Fasting_Blood_Glucose`, `HbA1c`, `Triglycerides`, `HDL`, `LDL`, `ALT`, `AST`, `Family_History_Diabetes`, `Family_History_Hypertension`, `Family_History_CVD`).</w:t>
      </w:r>
    </w:p>
    <w:p>
      <w:pPr>
        <w:pStyle w:val="ListBullet"/>
        <w:spacing w:before="20" w:after="20"/>
      </w:pPr>
      <w:r>
        <w:rPr>
          <w:rFonts w:ascii="Arial" w:hAnsi="Arial"/>
          <w:color w:val="334155"/>
          <w:sz w:val="19"/>
        </w:rPr>
      </w:r>
      <w:r>
        <w:rPr>
          <w:rFonts w:ascii="Arial" w:hAnsi="Arial"/>
          <w:b/>
          <w:color w:val="0F172A"/>
          <w:sz w:val="19"/>
        </w:rPr>
        <w:t>Model Input Dimension:</w:t>
      </w:r>
      <w:r>
        <w:rPr>
          <w:rFonts w:ascii="Arial" w:hAnsi="Arial"/>
          <w:color w:val="334155"/>
          <w:sz w:val="19"/>
        </w:rPr>
        <w:t xml:space="preserve"> Verified $n\_features\_in\_ = 18$ across all 5 disease classifiers in `clinical_v4_expert_payload.joblib`.</w:t>
      </w:r>
    </w:p>
    <w:p>
      <w:pPr>
        <w:pStyle w:val="Heading3"/>
        <w:spacing w:before="160" w:after="40"/>
      </w:pPr>
      <w:r>
        <w:rPr>
          <w:rFonts w:ascii="Arial" w:hAnsi="Arial"/>
          <w:b/>
          <w:color w:val="0F172A"/>
          <w:sz w:val="21"/>
        </w:rPr>
        <w:t>14.2 Pathway 2 — Wearable ($W$)</w:t>
      </w:r>
    </w:p>
    <w:p>
      <w:pPr>
        <w:pStyle w:val="ListBullet"/>
        <w:spacing w:before="20" w:after="20"/>
      </w:pPr>
      <w:r>
        <w:rPr>
          <w:rFonts w:ascii="Arial" w:hAnsi="Arial"/>
          <w:color w:val="334155"/>
          <w:sz w:val="19"/>
        </w:rPr>
      </w:r>
      <w:r>
        <w:rPr>
          <w:rFonts w:ascii="Arial" w:hAnsi="Arial"/>
          <w:b/>
          <w:color w:val="0F172A"/>
          <w:sz w:val="19"/>
        </w:rPr>
        <w:t>Exact Raw Columns:</w:t>
      </w:r>
      <w:r>
        <w:rPr>
          <w:rFonts w:ascii="Arial" w:hAnsi="Arial"/>
          <w:color w:val="334155"/>
          <w:sz w:val="19"/>
        </w:rPr>
        <w:t xml:space="preserve"> 16 in sample CSV. `Patient_ID` excluded.</w:t>
      </w:r>
    </w:p>
    <w:p>
      <w:pPr>
        <w:pStyle w:val="ListBullet"/>
        <w:spacing w:before="20" w:after="20"/>
      </w:pPr>
      <w:r>
        <w:rPr>
          <w:rFonts w:ascii="Arial" w:hAnsi="Arial"/>
          <w:color w:val="334155"/>
          <w:sz w:val="19"/>
        </w:rPr>
      </w:r>
      <w:r>
        <w:rPr>
          <w:rFonts w:ascii="Arial" w:hAnsi="Arial"/>
          <w:b/>
          <w:color w:val="0F172A"/>
          <w:sz w:val="19"/>
        </w:rPr>
        <w:t>Predictive Input Count:</w:t>
      </w:r>
      <w:r>
        <w:rPr>
          <w:rFonts w:ascii="Arial" w:hAnsi="Arial"/>
          <w:color w:val="334155"/>
          <w:sz w:val="19"/>
        </w:rPr>
        <w:t xml:space="preserve"> Exactly </w:t>
      </w:r>
      <w:r>
        <w:rPr>
          <w:rFonts w:ascii="Arial" w:hAnsi="Arial"/>
          <w:b/>
          <w:color w:val="0F172A"/>
          <w:sz w:val="19"/>
        </w:rPr>
        <w:t>15 features</w:t>
      </w:r>
      <w:r>
        <w:rPr>
          <w:rFonts w:ascii="Arial" w:hAnsi="Arial"/>
          <w:color w:val="334155"/>
          <w:sz w:val="19"/>
        </w:rPr>
        <w:t xml:space="preserve"> (10 activity/sleep/autonomic metrics + 5 continuous glucose monitoring metrics: `CGM_Average_Glucose`, `CGM_Glucose_CV`, `CGM_Time_In_Range`, `CGM_Time_Above_Range`, `CGM_Time_Below_Range`).</w:t>
      </w:r>
    </w:p>
    <w:p>
      <w:pPr>
        <w:pStyle w:val="ListBullet"/>
        <w:spacing w:before="20" w:after="20"/>
      </w:pPr>
      <w:r>
        <w:rPr>
          <w:rFonts w:ascii="Arial" w:hAnsi="Arial"/>
          <w:color w:val="334155"/>
          <w:sz w:val="19"/>
        </w:rPr>
      </w:r>
      <w:r>
        <w:rPr>
          <w:rFonts w:ascii="Arial" w:hAnsi="Arial"/>
          <w:b/>
          <w:color w:val="0F172A"/>
          <w:sz w:val="19"/>
        </w:rPr>
        <w:t>Model Input Dimension:</w:t>
      </w:r>
      <w:r>
        <w:rPr>
          <w:rFonts w:ascii="Arial" w:hAnsi="Arial"/>
          <w:color w:val="334155"/>
          <w:sz w:val="19"/>
        </w:rPr>
        <w:t xml:space="preserve"> Verified $n\_features\_in\_ = 15$ in `wearable_v4_expert_payload.joblib`.</w:t>
      </w:r>
    </w:p>
    <w:p>
      <w:pPr>
        <w:pStyle w:val="Heading3"/>
        <w:spacing w:before="160" w:after="40"/>
      </w:pPr>
      <w:r>
        <w:rPr>
          <w:rFonts w:ascii="Arial" w:hAnsi="Arial"/>
          <w:b/>
          <w:color w:val="0F172A"/>
          <w:sz w:val="21"/>
        </w:rPr>
        <w:t>14.3 Pathway 3 — Gut Microbiome ($G$)</w:t>
      </w:r>
    </w:p>
    <w:p>
      <w:pPr>
        <w:pStyle w:val="ListBullet"/>
        <w:spacing w:before="20" w:after="20"/>
      </w:pPr>
      <w:r>
        <w:rPr>
          <w:rFonts w:ascii="Arial" w:hAnsi="Arial"/>
          <w:color w:val="334155"/>
          <w:sz w:val="19"/>
        </w:rPr>
      </w:r>
      <w:r>
        <w:rPr>
          <w:rFonts w:ascii="Arial" w:hAnsi="Arial"/>
          <w:b/>
          <w:color w:val="0F172A"/>
          <w:sz w:val="19"/>
        </w:rPr>
        <w:t>Exact Raw Columns:</w:t>
      </w:r>
      <w:r>
        <w:rPr>
          <w:rFonts w:ascii="Arial" w:hAnsi="Arial"/>
          <w:color w:val="334155"/>
          <w:sz w:val="19"/>
        </w:rPr>
        <w:t xml:space="preserve"> 51 in sample CSV. `Patient_ID` and unassigned `Other_Taxa` excluded.</w:t>
      </w:r>
    </w:p>
    <w:p>
      <w:pPr>
        <w:pStyle w:val="ListBullet"/>
        <w:spacing w:before="20" w:after="20"/>
      </w:pPr>
      <w:r>
        <w:rPr>
          <w:rFonts w:ascii="Arial" w:hAnsi="Arial"/>
          <w:color w:val="334155"/>
          <w:sz w:val="19"/>
        </w:rPr>
      </w:r>
      <w:r>
        <w:rPr>
          <w:rFonts w:ascii="Arial" w:hAnsi="Arial"/>
          <w:b/>
          <w:color w:val="0F172A"/>
          <w:sz w:val="19"/>
        </w:rPr>
        <w:t>Predictive Input Count:</w:t>
      </w:r>
      <w:r>
        <w:rPr>
          <w:rFonts w:ascii="Arial" w:hAnsi="Arial"/>
          <w:color w:val="334155"/>
          <w:sz w:val="19"/>
        </w:rPr>
        <w:t xml:space="preserve"> Exactly </w:t>
      </w:r>
      <w:r>
        <w:rPr>
          <w:rFonts w:ascii="Arial" w:hAnsi="Arial"/>
          <w:b/>
          <w:color w:val="0F172A"/>
          <w:sz w:val="19"/>
        </w:rPr>
        <w:t>49 features</w:t>
      </w:r>
      <w:r>
        <w:rPr>
          <w:rFonts w:ascii="Arial" w:hAnsi="Arial"/>
          <w:color w:val="334155"/>
          <w:sz w:val="19"/>
        </w:rPr>
        <w:t xml:space="preserve"> (40 individual bacterial taxa + 4 diversity metrics + 4 functional index metrics + 1 log ratio).</w:t>
      </w:r>
    </w:p>
    <w:p>
      <w:pPr>
        <w:pStyle w:val="ListBullet"/>
        <w:spacing w:before="20" w:after="20"/>
      </w:pPr>
      <w:r>
        <w:rPr>
          <w:rFonts w:ascii="Arial" w:hAnsi="Arial"/>
          <w:color w:val="334155"/>
          <w:sz w:val="19"/>
        </w:rPr>
      </w:r>
      <w:r>
        <w:rPr>
          <w:rFonts w:ascii="Arial" w:hAnsi="Arial"/>
          <w:b/>
          <w:color w:val="0F172A"/>
          <w:sz w:val="19"/>
        </w:rPr>
        <w:t>Model Input Dimension:</w:t>
      </w:r>
      <w:r>
        <w:rPr>
          <w:rFonts w:ascii="Arial" w:hAnsi="Arial"/>
          <w:color w:val="334155"/>
          <w:sz w:val="19"/>
        </w:rPr>
        <w:t xml:space="preserve"> Verified $n\_features\_in\_ = 49$ across all 5 estimators in `gut_v4_expert_payload.joblib`.</w:t>
      </w:r>
    </w:p>
    <w:p>
      <w:pPr>
        <w:pStyle w:val="Heading3"/>
        <w:spacing w:before="160" w:after="40"/>
      </w:pPr>
      <w:r>
        <w:rPr>
          <w:rFonts w:ascii="Arial" w:hAnsi="Arial"/>
          <w:b/>
          <w:color w:val="0F172A"/>
          <w:sz w:val="21"/>
        </w:rPr>
        <w:t>14.4 Pathway 4 — Clinical + Wearable ($C+W$)</w:t>
      </w:r>
    </w:p>
    <w:p>
      <w:pPr>
        <w:pStyle w:val="ListBullet"/>
        <w:spacing w:before="20" w:after="20"/>
      </w:pPr>
      <w:r>
        <w:rPr>
          <w:rFonts w:ascii="Arial" w:hAnsi="Arial"/>
          <w:color w:val="334155"/>
          <w:sz w:val="19"/>
        </w:rPr>
      </w:r>
      <w:r>
        <w:rPr>
          <w:rFonts w:ascii="Arial" w:hAnsi="Arial"/>
          <w:b/>
          <w:color w:val="0F172A"/>
          <w:sz w:val="19"/>
        </w:rPr>
        <w:t>Upstream Modality Features:</w:t>
      </w:r>
      <w:r>
        <w:rPr>
          <w:rFonts w:ascii="Arial" w:hAnsi="Arial"/>
          <w:color w:val="334155"/>
          <w:sz w:val="19"/>
        </w:rPr>
        <w:t xml:space="preserve"> $18 </w:t>
        <w:tab/>
        <w:t xml:space="preserve">ext{ (Clinical)} + 15 </w:t>
        <w:tab/>
        <w:t xml:space="preserve">ext{ (Wearable)} = \mathbf{33 </w:t>
        <w:tab/>
        <w:t>ext{ features}}$.</w:t>
      </w:r>
    </w:p>
    <w:p>
      <w:pPr>
        <w:pStyle w:val="ListBullet"/>
        <w:spacing w:before="20" w:after="20"/>
      </w:pPr>
      <w:r>
        <w:rPr>
          <w:rFonts w:ascii="Arial" w:hAnsi="Arial"/>
          <w:color w:val="334155"/>
          <w:sz w:val="19"/>
        </w:rPr>
      </w:r>
      <w:r>
        <w:rPr>
          <w:rFonts w:ascii="Arial" w:hAnsi="Arial"/>
          <w:b/>
          <w:color w:val="0F172A"/>
          <w:sz w:val="19"/>
        </w:rPr>
        <w:t>Execution Architecture:</w:t>
      </w:r>
      <w:r>
        <w:rPr>
          <w:rFonts w:ascii="Arial" w:hAnsi="Arial"/>
          <w:color w:val="334155"/>
          <w:sz w:val="19"/>
        </w:rPr>
        <w:t xml:space="preserve"> Base Clinical model evaluates 18 features; base Wearable model evaluates 15 features. The two probability outputs $[P_{C, d}, P_{W, d}]$ for target $d$ are passed to the bimodal stacking meta-layer (2 probability inputs per disease).</w:t>
      </w:r>
    </w:p>
    <w:p>
      <w:pPr>
        <w:pStyle w:val="Heading3"/>
        <w:spacing w:before="160" w:after="40"/>
      </w:pPr>
      <w:r>
        <w:rPr>
          <w:rFonts w:ascii="Arial" w:hAnsi="Arial"/>
          <w:b/>
          <w:color w:val="0F172A"/>
          <w:sz w:val="21"/>
        </w:rPr>
        <w:t>14.5 Pathway 5 — Clinical + Gut ($C+G$)</w:t>
      </w:r>
    </w:p>
    <w:p>
      <w:pPr>
        <w:pStyle w:val="ListBullet"/>
        <w:spacing w:before="20" w:after="20"/>
      </w:pPr>
      <w:r>
        <w:rPr>
          <w:rFonts w:ascii="Arial" w:hAnsi="Arial"/>
          <w:color w:val="334155"/>
          <w:sz w:val="19"/>
        </w:rPr>
      </w:r>
      <w:r>
        <w:rPr>
          <w:rFonts w:ascii="Arial" w:hAnsi="Arial"/>
          <w:b/>
          <w:color w:val="0F172A"/>
          <w:sz w:val="19"/>
        </w:rPr>
        <w:t>Upstream Modality Features:</w:t>
      </w:r>
      <w:r>
        <w:rPr>
          <w:rFonts w:ascii="Arial" w:hAnsi="Arial"/>
          <w:color w:val="334155"/>
          <w:sz w:val="19"/>
        </w:rPr>
        <w:t xml:space="preserve"> $18 </w:t>
        <w:tab/>
        <w:t xml:space="preserve">ext{ (Clinical)} + 49 </w:t>
        <w:tab/>
        <w:t xml:space="preserve">ext{ (Gut)} = \mathbf{67 </w:t>
        <w:tab/>
        <w:t>ext{ features}}$.</w:t>
      </w:r>
    </w:p>
    <w:p>
      <w:pPr>
        <w:pStyle w:val="ListBullet"/>
        <w:spacing w:before="20" w:after="20"/>
      </w:pPr>
      <w:r>
        <w:rPr>
          <w:rFonts w:ascii="Arial" w:hAnsi="Arial"/>
          <w:color w:val="334155"/>
          <w:sz w:val="19"/>
        </w:rPr>
      </w:r>
      <w:r>
        <w:rPr>
          <w:rFonts w:ascii="Arial" w:hAnsi="Arial"/>
          <w:b/>
          <w:color w:val="0F172A"/>
          <w:sz w:val="19"/>
        </w:rPr>
        <w:t>Execution Architecture:</w:t>
      </w:r>
      <w:r>
        <w:rPr>
          <w:rFonts w:ascii="Arial" w:hAnsi="Arial"/>
          <w:color w:val="334155"/>
          <w:sz w:val="19"/>
        </w:rPr>
        <w:t xml:space="preserve"> Clinical (18 inputs) and Gut (49 inputs) generate base probabilities $[P_{C, d}, P_{G, d}]$, which are stacked by the meta-layer.</w:t>
      </w:r>
    </w:p>
    <w:p>
      <w:pPr>
        <w:pStyle w:val="Heading3"/>
        <w:spacing w:before="160" w:after="40"/>
      </w:pPr>
      <w:r>
        <w:rPr>
          <w:rFonts w:ascii="Arial" w:hAnsi="Arial"/>
          <w:b/>
          <w:color w:val="0F172A"/>
          <w:sz w:val="21"/>
        </w:rPr>
        <w:t>14.6 Pathway 6 — Wearable + Gut ($W+G$)</w:t>
      </w:r>
    </w:p>
    <w:p>
      <w:pPr>
        <w:pStyle w:val="ListBullet"/>
        <w:spacing w:before="20" w:after="20"/>
      </w:pPr>
      <w:r>
        <w:rPr>
          <w:rFonts w:ascii="Arial" w:hAnsi="Arial"/>
          <w:color w:val="334155"/>
          <w:sz w:val="19"/>
        </w:rPr>
      </w:r>
      <w:r>
        <w:rPr>
          <w:rFonts w:ascii="Arial" w:hAnsi="Arial"/>
          <w:b/>
          <w:color w:val="0F172A"/>
          <w:sz w:val="19"/>
        </w:rPr>
        <w:t>Upstream Modality Features:</w:t>
      </w:r>
      <w:r>
        <w:rPr>
          <w:rFonts w:ascii="Arial" w:hAnsi="Arial"/>
          <w:color w:val="334155"/>
          <w:sz w:val="19"/>
        </w:rPr>
        <w:t xml:space="preserve"> $15 </w:t>
        <w:tab/>
        <w:t xml:space="preserve">ext{ (Wearable)} + 49 </w:t>
        <w:tab/>
        <w:t xml:space="preserve">ext{ (Gut)} = \mathbf{64 </w:t>
        <w:tab/>
        <w:t>ext{ features}}$.</w:t>
      </w:r>
    </w:p>
    <w:p>
      <w:pPr>
        <w:pStyle w:val="ListBullet"/>
        <w:spacing w:before="20" w:after="20"/>
      </w:pPr>
      <w:r>
        <w:rPr>
          <w:rFonts w:ascii="Arial" w:hAnsi="Arial"/>
          <w:color w:val="334155"/>
          <w:sz w:val="19"/>
        </w:rPr>
      </w:r>
      <w:r>
        <w:rPr>
          <w:rFonts w:ascii="Arial" w:hAnsi="Arial"/>
          <w:b/>
          <w:color w:val="0F172A"/>
          <w:sz w:val="19"/>
        </w:rPr>
        <w:t>Execution Architecture:</w:t>
      </w:r>
      <w:r>
        <w:rPr>
          <w:rFonts w:ascii="Arial" w:hAnsi="Arial"/>
          <w:color w:val="334155"/>
          <w:sz w:val="19"/>
        </w:rPr>
        <w:t xml:space="preserve"> Dedicated artifact `wg_logistic_regression_stacker.joblib` contains 5 calibrated Logistic Regression meta-models with verified $n\_features\_in\_ = 2$, consuming $[P_{W, d}, P_{G, d}]$ per disease.</w:t>
      </w:r>
    </w:p>
    <w:p>
      <w:pPr>
        <w:pStyle w:val="Heading3"/>
        <w:spacing w:before="160" w:after="40"/>
      </w:pPr>
      <w:r>
        <w:rPr>
          <w:rFonts w:ascii="Arial" w:hAnsi="Arial"/>
          <w:b/>
          <w:color w:val="0F172A"/>
          <w:sz w:val="21"/>
        </w:rPr>
        <w:t>14.7 Pathway 7 — Trimodal Fusion ($C+W+G$)</w:t>
      </w:r>
    </w:p>
    <w:p>
      <w:pPr>
        <w:pStyle w:val="ListBullet"/>
        <w:spacing w:before="20" w:after="20"/>
      </w:pPr>
      <w:r>
        <w:rPr>
          <w:rFonts w:ascii="Arial" w:hAnsi="Arial"/>
          <w:color w:val="334155"/>
          <w:sz w:val="19"/>
        </w:rPr>
      </w:r>
      <w:r>
        <w:rPr>
          <w:rFonts w:ascii="Arial" w:hAnsi="Arial"/>
          <w:b/>
          <w:color w:val="0F172A"/>
          <w:sz w:val="19"/>
        </w:rPr>
        <w:t>Upstream Modality Features:</w:t>
      </w:r>
      <w:r>
        <w:rPr>
          <w:rFonts w:ascii="Arial" w:hAnsi="Arial"/>
          <w:color w:val="334155"/>
          <w:sz w:val="19"/>
        </w:rPr>
        <w:t xml:space="preserve"> $18 </w:t>
        <w:tab/>
        <w:t xml:space="preserve">ext{ (Clinical)} + 15 </w:t>
        <w:tab/>
        <w:t xml:space="preserve">ext{ (Wearable)} + 49 </w:t>
        <w:tab/>
        <w:t xml:space="preserve">ext{ (Gut)} = \mathbf{82 </w:t>
        <w:tab/>
        <w:t>ext{ total features}}$.</w:t>
      </w:r>
    </w:p>
    <w:p>
      <w:pPr>
        <w:pStyle w:val="ListBullet"/>
        <w:spacing w:before="20" w:after="20"/>
      </w:pPr>
      <w:r>
        <w:rPr>
          <w:rFonts w:ascii="Arial" w:hAnsi="Arial"/>
          <w:color w:val="334155"/>
          <w:sz w:val="19"/>
        </w:rPr>
      </w:r>
      <w:r>
        <w:rPr>
          <w:rFonts w:ascii="Arial" w:hAnsi="Arial"/>
          <w:b/>
          <w:color w:val="0F172A"/>
          <w:sz w:val="19"/>
        </w:rPr>
        <w:t>Base Expert Outputs:</w:t>
      </w:r>
      <w:r>
        <w:rPr>
          <w:rFonts w:ascii="Arial" w:hAnsi="Arial"/>
          <w:color w:val="334155"/>
          <w:sz w:val="19"/>
        </w:rPr>
        <w:t xml:space="preserve"> 3 modalities $</w:t>
        <w:tab/>
        <w:t xml:space="preserve">imes$ 5 disease targets = </w:t>
      </w:r>
      <w:r>
        <w:rPr>
          <w:rFonts w:ascii="Arial" w:hAnsi="Arial"/>
          <w:b/>
          <w:color w:val="0F172A"/>
          <w:sz w:val="19"/>
        </w:rPr>
        <w:t>15 total calibrated probability outputs</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Meta-Learner Input Dimension:</w:t>
      </w:r>
      <w:r>
        <w:rPr>
          <w:rFonts w:ascii="Arial" w:hAnsi="Arial"/>
          <w:color w:val="334155"/>
          <w:sz w:val="19"/>
        </w:rPr>
        <w:t xml:space="preserve"> Each of the 5 disease meta-models in `v4_multimodal_fusion_payload.joblib` receives exactly </w:t>
      </w:r>
      <w:r>
        <w:rPr>
          <w:rFonts w:ascii="Arial" w:hAnsi="Arial"/>
          <w:b/>
          <w:color w:val="0F172A"/>
          <w:sz w:val="19"/>
        </w:rPr>
        <w:t>3 probability meta-features</w:t>
      </w:r>
      <w:r>
        <w:rPr>
          <w:rFonts w:ascii="Arial" w:hAnsi="Arial"/>
          <w:color w:val="334155"/>
          <w:sz w:val="19"/>
        </w:rPr>
        <w:t xml:space="preserve"> ($[P_{C, d}, P_{W, d}, P_{G, d}]$), verified by $n\_features\_in\_ = 3$.</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15: MODEL ARTIFACT FEATURE VERIFICATION &amp; ERROR AUDIT</w:t>
      </w:r>
    </w:p>
    <w:p>
      <w:pPr>
        <w:pStyle w:val="Heading3"/>
        <w:spacing w:before="160" w:after="40"/>
      </w:pPr>
      <w:r>
        <w:rPr>
          <w:rFonts w:ascii="Arial" w:hAnsi="Arial"/>
          <w:b/>
          <w:color w:val="0F172A"/>
          <w:sz w:val="21"/>
        </w:rPr>
        <w:t>15.1 Model Artifact Feature Verification Matrix</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E3A8A"/>
            <w:tcMar>
              <w:top w:w="80" w:type="dxa"/>
              <w:bottom w:w="80" w:type="dxa"/>
              <w:left w:w="100" w:type="dxa"/>
              <w:right w:w="100" w:type="dxa"/>
            </w:tcMar>
          </w:tcPr>
          <w:p>
            <w:pPr>
              <w:spacing w:before="40" w:after="40"/>
            </w:pPr>
            <w:r>
              <w:rPr>
                <w:rFonts w:ascii="Arial" w:hAnsi="Arial"/>
                <w:b/>
                <w:color w:val="FFFFFF"/>
                <w:sz w:val="17"/>
              </w:rPr>
              <w:t>Artifact File</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Documented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Dataset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Training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Serialized Model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Production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Correct Count</w:t>
            </w:r>
          </w:p>
        </w:tc>
        <w:tc>
          <w:tcPr>
            <w:tcW w:type="dxa" w:w="1242"/>
            <w:shd w:fill="1E3A8A"/>
            <w:tcMar>
              <w:top w:w="80" w:type="dxa"/>
              <w:bottom w:w="80" w:type="dxa"/>
              <w:left w:w="100" w:type="dxa"/>
              <w:right w:w="100" w:type="dxa"/>
            </w:tcMar>
          </w:tcPr>
          <w:p>
            <w:pPr>
              <w:spacing w:before="40" w:after="40"/>
            </w:pPr>
            <w:r>
              <w:rPr>
                <w:rFonts w:ascii="Arial" w:hAnsi="Arial"/>
                <w:b/>
                <w:color w:val="FFFFFF"/>
                <w:sz w:val="17"/>
              </w:rPr>
              <w:t>Forensic Explanation</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19 (Legacy doc)</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19 (Raw with ID)</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18</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ID column Patient_ID excluded. Exactly 18 predictors enter model.</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10 (Legacy doc)</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16 (Raw with ID)</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15</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Legacy docs omitted 5 CGM features. Model uses 10 standard + 5 CGM = 15.</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gut_v4_expert_payload.joblib</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10 (Legacy doc)</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51 (Raw with ID)</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49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49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49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49</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Legacy docs counted top 10 genera. V4 model uses 40 taxa + 9 indices = 49.</w:t>
            </w:r>
          </w:p>
        </w:tc>
      </w:tr>
      <w:tr>
        <w:tc>
          <w:tcPr>
            <w:tcW w:type="dxa" w:w="1242"/>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20 (Legacy sum)</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67 (Sum)</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2 (Per target)</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2 (Per target)</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2</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2 (Meta)</w:t>
            </w:r>
          </w:p>
        </w:tc>
        <w:tc>
          <w:tcPr>
            <w:tcW w:type="dxa" w:w="1242"/>
            <w:shd w:fill="F8FAFC"/>
            <w:tcMar>
              <w:top w:w="60" w:type="dxa"/>
              <w:bottom w:w="60" w:type="dxa"/>
              <w:left w:w="80" w:type="dxa"/>
              <w:right w:w="80" w:type="dxa"/>
            </w:tcMar>
          </w:tcPr>
          <w:p>
            <w:pPr>
              <w:spacing w:before="20" w:after="20"/>
            </w:pPr>
            <w:r>
              <w:rPr>
                <w:rFonts w:ascii="Arial" w:hAnsi="Arial"/>
                <w:color w:val="0F172A"/>
                <w:sz w:val="16"/>
              </w:rPr>
              <w:t>Consumes 2 expert probabilities per disease, NOT raw concatenated features.</w:t>
            </w:r>
          </w:p>
        </w:tc>
      </w:tr>
      <w:tr>
        <w:tc>
          <w:tcPr>
            <w:tcW w:type="dxa" w:w="1242"/>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39 (Legacy sum)</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86 (Sum)</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3 (Per target)</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3 (Per target)</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3</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3 (Meta)</w:t>
            </w:r>
          </w:p>
        </w:tc>
        <w:tc>
          <w:tcPr>
            <w:tcW w:type="dxa" w:w="1242"/>
            <w:shd w:fill="FFFFFF"/>
            <w:tcMar>
              <w:top w:w="60" w:type="dxa"/>
              <w:bottom w:w="60" w:type="dxa"/>
              <w:left w:w="80" w:type="dxa"/>
              <w:right w:w="80" w:type="dxa"/>
            </w:tcMar>
          </w:tcPr>
          <w:p>
            <w:pPr>
              <w:spacing w:before="20" w:after="20"/>
            </w:pPr>
            <w:r>
              <w:rPr>
                <w:rFonts w:ascii="Arial" w:hAnsi="Arial"/>
                <w:color w:val="0F172A"/>
                <w:sz w:val="16"/>
              </w:rPr>
              <w:t>Consumes 3 expert probabilities per target ($[P_C, P_W, P_G]$), 15 total outputs.</w:t>
            </w:r>
          </w:p>
        </w:tc>
      </w:tr>
    </w:tbl>
    <w:p>
      <w:pPr>
        <w:spacing w:after="120"/>
      </w:pPr>
    </w:p>
    <w:p>
      <w:pPr>
        <w:pStyle w:val="Heading3"/>
        <w:spacing w:before="160" w:after="40"/>
      </w:pPr>
      <w:r>
        <w:rPr>
          <w:rFonts w:ascii="Arial" w:hAnsi="Arial"/>
          <w:b/>
          <w:color w:val="0F172A"/>
          <w:sz w:val="21"/>
        </w:rPr>
        <w:t>15.2 Feature Count Error Classification &amp; Resolution</w:t>
      </w:r>
    </w:p>
    <w:p>
      <w:pPr>
        <w:spacing w:before="40" w:after="80"/>
      </w:pPr>
      <w:r>
        <w:rPr>
          <w:rFonts w:ascii="Arial" w:hAnsi="Arial"/>
          <w:color w:val="334155"/>
          <w:sz w:val="19"/>
        </w:rPr>
        <w:t xml:space="preserve">1. </w:t>
      </w:r>
      <w:r>
        <w:rPr>
          <w:rFonts w:ascii="Arial" w:hAnsi="Arial"/>
          <w:b/>
          <w:color w:val="0F172A"/>
          <w:sz w:val="19"/>
        </w:rPr>
        <w:t>V1 Legacy Documentation Artifact:</w:t>
      </w:r>
      <w:r>
        <w:rPr>
          <w:rFonts w:ascii="Arial" w:hAnsi="Arial"/>
          <w:color w:val="334155"/>
          <w:sz w:val="19"/>
        </w:rPr>
        <w:t xml:space="preserve"> Early prototypes in V1/V2 documented preliminary feature counts ($C=19, W=10, G=10$). As the architecture evolved into V4 with full CGM parameters ($+5$) and metagenomic indices ($+39$), some high-level documentation failed to update.</w:t>
      </w:r>
    </w:p>
    <w:p>
      <w:pPr>
        <w:spacing w:before="40" w:after="80"/>
      </w:pPr>
      <w:r>
        <w:rPr>
          <w:rFonts w:ascii="Arial" w:hAnsi="Arial"/>
          <w:color w:val="334155"/>
          <w:sz w:val="19"/>
        </w:rPr>
        <w:t xml:space="preserve">2. </w:t>
      </w:r>
      <w:r>
        <w:rPr>
          <w:rFonts w:ascii="Arial" w:hAnsi="Arial"/>
          <w:b/>
          <w:color w:val="0F172A"/>
          <w:sz w:val="19"/>
        </w:rPr>
        <w:t>Conflation of Upstream Features vs. Meta-Features:</w:t>
      </w:r>
      <w:r>
        <w:rPr>
          <w:rFonts w:ascii="Arial" w:hAnsi="Arial"/>
          <w:color w:val="334155"/>
          <w:sz w:val="19"/>
        </w:rPr>
        <w:t xml:space="preserve"> Summing $19 + 10 + 10 = 39$ or $18 + 15 + 49 = 82$ represents the </w:t>
      </w:r>
      <w:r>
        <w:rPr>
          <w:rFonts w:ascii="Arial" w:hAnsi="Arial"/>
          <w:b/>
          <w:color w:val="0F172A"/>
          <w:sz w:val="19"/>
        </w:rPr>
        <w:t>upstream modality biomarker pool</w:t>
      </w:r>
      <w:r>
        <w:rPr>
          <w:rFonts w:ascii="Arial" w:hAnsi="Arial"/>
          <w:color w:val="334155"/>
          <w:sz w:val="19"/>
        </w:rPr>
        <w:t xml:space="preserve">, whereas the stacking meta-learner directly consumes </w:t>
      </w:r>
      <w:r>
        <w:rPr>
          <w:rFonts w:ascii="Arial" w:hAnsi="Arial"/>
          <w:b/>
          <w:color w:val="0F172A"/>
          <w:sz w:val="19"/>
        </w:rPr>
        <w:t>3 probability meta-features per target</w:t>
      </w:r>
      <w:r>
        <w:rPr>
          <w:rFonts w:ascii="Arial" w:hAnsi="Arial"/>
          <w:color w:val="334155"/>
          <w:sz w:val="19"/>
        </w:rPr>
        <w:t xml:space="preserve"> ($3 </w:t>
        <w:tab/>
        <w:t>imes 5 = 15$ total).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16: FEATURE-TO-DISEASE ALGORITHM AUDIT</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Algorithm Selected</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Input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Feature Dimension</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Selected From</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Verified Evidence</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XGB / LightGBM</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18</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XGB / LightGBM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XGBClassifier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XGB / LightGBM</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18</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XGB / LightGBM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XGBClassifier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XGB / LightGBM</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Activity + CGM Metrics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XGBClassifier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Activity + CGM Metrics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15</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Activity + CGM Metrics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Activity + CGM Metrics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15</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CatBoostClassifier</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Activity + CGM Metrics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RandomForestClassifier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40 Taxa + 9 Indices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40 Taxa + 9 Indices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49</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40 Taxa + 9 Indices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40 Taxa + 9 Indices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49</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ExtraTreesClassifier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40 Taxa + 9 Indices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Fusion ($C+W+G$)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$[P_C, P_W, P_G]$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3</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Stacking Meta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Fusion ($C+W+G$)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LGBMClassifier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$[P_C, P_W, P_G]$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LightGBM / Stacking Meta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Fusion ($C+W+G$)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$[P_C, P_W, P_G]$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3</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Stacking Meta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Fusion ($C+W+G$)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$[P_C, P_W, P_G]$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LogReg / Stacking Meta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Fusion ($C+W+G$)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$[P_C, P_W, P_G]$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3</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LogReg / Stacking Meta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17: MODEL TRUST, RELIABILITY &amp; UNCERTAINTY</w:t>
      </w:r>
    </w:p>
    <w:p>
      <w:pPr>
        <w:pStyle w:val="Heading3"/>
        <w:spacing w:before="160" w:after="40"/>
      </w:pPr>
      <w:r>
        <w:rPr>
          <w:rFonts w:ascii="Arial" w:hAnsi="Arial"/>
          <w:b/>
          <w:color w:val="0F172A"/>
          <w:sz w:val="21"/>
        </w:rPr>
        <w:t>17.1 Probability vs. Certainty &amp; Calibration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Measured at </w:t>
      </w:r>
      <w:r>
        <w:rPr>
          <w:rFonts w:ascii="Arial" w:hAnsi="Arial"/>
          <w:b/>
          <w:color w:val="0F172A"/>
          <w:sz w:val="19"/>
        </w:rPr>
        <w:t>0.078</w:t>
      </w:r>
      <w:r>
        <w:rPr>
          <w:rFonts w:ascii="Arial" w:hAnsi="Arial"/>
          <w:color w:val="334155"/>
          <w:sz w:val="19"/>
        </w:rPr>
        <w:t xml:space="preserve"> for Clinical, </w:t>
      </w:r>
      <w:r>
        <w:rPr>
          <w:rFonts w:ascii="Arial" w:hAnsi="Arial"/>
          <w:b/>
          <w:color w:val="0F172A"/>
          <w:sz w:val="19"/>
        </w:rPr>
        <w:t>0.092</w:t>
      </w:r>
      <w:r>
        <w:rPr>
          <w:rFonts w:ascii="Arial" w:hAnsi="Arial"/>
          <w:color w:val="334155"/>
          <w:sz w:val="19"/>
        </w:rPr>
        <w:t xml:space="preserve"> for Wearable, </w:t>
      </w:r>
      <w:r>
        <w:rPr>
          <w:rFonts w:ascii="Arial" w:hAnsi="Arial"/>
          <w:b/>
          <w:color w:val="0F172A"/>
          <w:sz w:val="19"/>
        </w:rPr>
        <w:t>0.098</w:t>
      </w:r>
      <w:r>
        <w:rPr>
          <w:rFonts w:ascii="Arial" w:hAnsi="Arial"/>
          <w:color w:val="334155"/>
          <w:sz w:val="19"/>
        </w:rPr>
        <w:t xml:space="preserve"> for Gut, and </w:t>
      </w:r>
      <w:r>
        <w:rPr>
          <w:rFonts w:ascii="Arial" w:hAnsi="Arial"/>
          <w:b/>
          <w:color w:val="0F172A"/>
          <w:sz w:val="19"/>
        </w:rPr>
        <w:t>0.054</w:t>
      </w:r>
      <w:r>
        <w:rPr>
          <w:rFonts w:ascii="Arial" w:hAnsi="Arial"/>
          <w:color w:val="334155"/>
          <w:sz w:val="19"/>
        </w:rPr>
        <w:t xml:space="preserve"> for Trimodal Fusion, indicating well-calibrated posterior probabilities.</w:t>
      </w:r>
    </w:p>
    <w:p>
      <w:pPr>
        <w:pStyle w:val="ListBullet"/>
        <w:spacing w:before="20" w:after="20"/>
      </w:pPr>
      <w:r>
        <w:rPr>
          <w:rFonts w:ascii="Arial" w:hAnsi="Arial"/>
          <w:color w:val="334155"/>
          <w:sz w:val="19"/>
        </w:rPr>
        <w:t>**Prediction $</w:t>
      </w:r>
    </w:p>
    <w:p>
      <w:pPr>
        <w:spacing w:before="40" w:after="80"/>
      </w:pPr>
      <w:r>
        <w:rPr>
          <w:rFonts w:ascii="Arial" w:hAnsi="Arial"/>
          <w:color w:val="334155"/>
          <w:sz w:val="19"/>
        </w:rPr>
        <w:t>e$ Diagnosis:** Machine learning outputs represent statistical risk estimations derived from mathematical feature distributions, not clinical diagnoses. All user-facing views display prominent research disclaimers.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18: FUSION ENGINE &amp; META-STACKER MATHEMATICS</w:t>
      </w:r>
    </w:p>
    <w:p>
      <w:pPr>
        <w:pStyle w:val="Heading3"/>
        <w:spacing w:before="160" w:after="40"/>
      </w:pPr>
      <w:r>
        <w:rPr>
          <w:rFonts w:ascii="Arial" w:hAnsi="Arial"/>
          <w:b/>
          <w:color w:val="0F172A"/>
          <w:sz w:val="21"/>
        </w:rPr>
        <w:t>18.1 Mathematical Stacking Formulation</w:t>
      </w:r>
    </w:p>
    <w:p>
      <w:pPr>
        <w:spacing w:before="40" w:after="80"/>
      </w:pPr>
      <w:r>
        <w:rPr>
          <w:rFonts w:ascii="Arial" w:hAnsi="Arial"/>
          <w:color w:val="334155"/>
          <w:sz w:val="19"/>
        </w:rPr>
        <w:t>For each disease target $k \in \{1, \dots, 5\}$, let $P_{C, k}, P_{W, k}, P_{G, k} \in [0, 1]$ denote the calibrated probability predictions from the Clinical (18 inputs), Wearable (15 inputs), and Gut (49 inputs) expert models. The input vector to the target-specific meta-learner is:</w:t>
      </w:r>
    </w:p>
    <w:p>
      <w:pPr>
        <w:spacing w:before="40" w:after="80"/>
      </w:pPr>
      <w:r>
        <w:rPr>
          <w:rFonts w:ascii="Arial" w:hAnsi="Arial"/>
          <w:color w:val="334155"/>
          <w:sz w:val="19"/>
        </w:rPr>
        <w:t>$$\mathbf{z}_k = [P_{C, k}, \; P_{W, k}, \; P_{G, k}]^T \in \mathbb{R}^3$$</w:t>
      </w:r>
    </w:p>
    <w:p>
      <w:pPr>
        <w:spacing w:before="40" w:after="80"/>
      </w:pPr>
      <w:r>
        <w:rPr>
          <w:rFonts w:ascii="Arial" w:hAnsi="Arial"/>
          <w:color w:val="334155"/>
          <w:sz w:val="19"/>
        </w:rPr>
        <w:t>For targets governed by L2-regularized logistic regression, the fused probability $P_{</w:t>
        <w:tab/>
        <w:t>ext{fused}, k}$ is computed as:</w:t>
      </w:r>
    </w:p>
    <w:p>
      <w:pPr>
        <w:spacing w:before="40" w:after="80"/>
      </w:pPr>
      <w:r>
        <w:rPr>
          <w:rFonts w:ascii="Arial" w:hAnsi="Arial"/>
          <w:color w:val="334155"/>
          <w:sz w:val="19"/>
        </w:rPr>
        <w:t>$$P_{</w:t>
        <w:tab/>
        <w:t xml:space="preserve">ext{fused}, k} = \sigma\left( eta_{0, k} + eta_{C, k} P_{C, k} + eta_{W, k} P_{W, k} + eta_{G, k} P_{G, k} </w:t>
        <w:br/>
        <w:t>ight)$$</w:t>
      </w:r>
    </w:p>
    <w:p>
      <w:pPr>
        <w:spacing w:before="40" w:after="80"/>
      </w:pPr>
      <w:r>
        <w:rPr>
          <w:rFonts w:ascii="Arial" w:hAnsi="Arial"/>
          <w:color w:val="334155"/>
          <w:sz w:val="19"/>
        </w:rPr>
        <w:t>where $\sigma(z) = rac{1}{1 + e^{-z}}$.</w:t>
      </w:r>
    </w:p>
    <w:p>
      <w:pPr>
        <w:pStyle w:val="Heading3"/>
        <w:spacing w:before="160" w:after="40"/>
      </w:pPr>
      <w:r>
        <w:rPr>
          <w:rFonts w:ascii="Arial" w:hAnsi="Arial"/>
          <w:b/>
          <w:color w:val="0F172A"/>
          <w:sz w:val="21"/>
        </w:rPr>
        <w:t>18.2 Actual Inspected Meta-Model Coefficients (from `v4_multimodal_fusion_payload.joblib`)</w:t>
      </w:r>
    </w:p>
    <w:p>
      <w:pPr>
        <w:pStyle w:val="ListBullet"/>
        <w:spacing w:before="20" w:after="20"/>
      </w:pPr>
      <w:r>
        <w:rPr>
          <w:rFonts w:ascii="Arial" w:hAnsi="Arial"/>
          <w:color w:val="334155"/>
          <w:sz w:val="19"/>
        </w:rPr>
      </w:r>
      <w:r>
        <w:rPr>
          <w:rFonts w:ascii="Arial" w:hAnsi="Arial"/>
          <w:b/>
          <w:color w:val="0F172A"/>
          <w:sz w:val="19"/>
        </w:rPr>
        <w:t>Type 2 Diabetes Meta-Model:</w:t>
      </w:r>
      <w:r>
        <w:rPr>
          <w:rFonts w:ascii="Arial" w:hAnsi="Arial"/>
          <w:color w:val="334155"/>
          <w:sz w:val="19"/>
        </w:rPr>
      </w:r>
    </w:p>
    <w:p>
      <w:pPr>
        <w:spacing w:before="40" w:after="80"/>
      </w:pPr>
      <w:r>
        <w:rPr>
          <w:rFonts w:ascii="Arial" w:hAnsi="Arial"/>
          <w:color w:val="334155"/>
          <w:sz w:val="19"/>
        </w:rPr>
        <w:t>$$\mathbf{w}_{</w:t>
        <w:tab/>
        <w:t>ext{T2D}} = [eta_C = +1.0130, \; eta_W = +0.2458, \; eta_G = 0.0000]$$</w:t>
      </w:r>
    </w:p>
    <w:p>
      <w:pPr>
        <w:spacing w:before="40" w:after="80"/>
      </w:pPr>
      <w:r>
        <w:rPr>
          <w:rFonts w:ascii="Arial" w:hAnsi="Arial"/>
          <w:color w:val="334155"/>
          <w:sz w:val="19"/>
        </w:rPr>
        <w:t>*(Reflects the dominant clinical diagnostic weight of HbA1c and fasting glucose, supplemented by wearable continuous glucose).*</w:t>
      </w:r>
    </w:p>
    <w:p>
      <w:pPr>
        <w:pStyle w:val="ListBullet"/>
        <w:spacing w:before="20" w:after="20"/>
      </w:pPr>
      <w:r>
        <w:rPr>
          <w:rFonts w:ascii="Arial" w:hAnsi="Arial"/>
          <w:color w:val="334155"/>
          <w:sz w:val="19"/>
        </w:rPr>
      </w:r>
      <w:r>
        <w:rPr>
          <w:rFonts w:ascii="Arial" w:hAnsi="Arial"/>
          <w:b/>
          <w:color w:val="0F172A"/>
          <w:sz w:val="19"/>
        </w:rPr>
        <w:t>High Adiposity Risk Meta-Model:</w:t>
      </w:r>
      <w:r>
        <w:rPr>
          <w:rFonts w:ascii="Arial" w:hAnsi="Arial"/>
          <w:color w:val="334155"/>
          <w:sz w:val="19"/>
        </w:rPr>
      </w:r>
    </w:p>
    <w:p>
      <w:pPr>
        <w:spacing w:before="40" w:after="80"/>
      </w:pPr>
      <w:r>
        <w:rPr>
          <w:rFonts w:ascii="Arial" w:hAnsi="Arial"/>
          <w:color w:val="334155"/>
          <w:sz w:val="19"/>
        </w:rPr>
        <w:t>$$\mathbf{w}_{</w:t>
        <w:tab/>
        <w:t>ext{Obesity}} = [eta_C = +0.9148, \; eta_W = +0.1556, \; eta_G = +0.0446]$$</w:t>
      </w:r>
    </w:p>
    <w:p>
      <w:pPr>
        <w:pStyle w:val="ListBullet"/>
        <w:spacing w:before="20" w:after="20"/>
      </w:pPr>
      <w:r>
        <w:rPr>
          <w:rFonts w:ascii="Arial" w:hAnsi="Arial"/>
          <w:color w:val="334155"/>
          <w:sz w:val="19"/>
        </w:rPr>
      </w:r>
      <w:r>
        <w:rPr>
          <w:rFonts w:ascii="Arial" w:hAnsi="Arial"/>
          <w:b/>
          <w:color w:val="0F172A"/>
          <w:sz w:val="19"/>
        </w:rPr>
        <w:t>Metabolic Syndrome Meta-Model:</w:t>
      </w:r>
      <w:r>
        <w:rPr>
          <w:rFonts w:ascii="Arial" w:hAnsi="Arial"/>
          <w:color w:val="334155"/>
          <w:sz w:val="19"/>
        </w:rPr>
      </w:r>
    </w:p>
    <w:p>
      <w:pPr>
        <w:spacing w:before="40" w:after="80"/>
      </w:pPr>
      <w:r>
        <w:rPr>
          <w:rFonts w:ascii="Arial" w:hAnsi="Arial"/>
          <w:color w:val="334155"/>
          <w:sz w:val="19"/>
        </w:rPr>
        <w:t>$$\mathbf{w}_{</w:t>
        <w:tab/>
        <w:t>ext{MetSyn}} = [eta_C = +1.0016, \; eta_W = +0.0503, \; eta_G = +0.0575]$$</w:t>
      </w:r>
    </w:p>
    <w:p>
      <w:pPr>
        <w:pStyle w:val="ListBullet"/>
        <w:spacing w:before="20" w:after="20"/>
      </w:pPr>
      <w:r>
        <w:rPr>
          <w:rFonts w:ascii="Arial" w:hAnsi="Arial"/>
          <w:color w:val="334155"/>
          <w:sz w:val="19"/>
        </w:rPr>
      </w:r>
      <w:r>
        <w:rPr>
          <w:rFonts w:ascii="Arial" w:hAnsi="Arial"/>
          <w:b/>
          <w:color w:val="0F172A"/>
          <w:sz w:val="19"/>
        </w:rPr>
        <w:t>NAFLD Meta-Model:</w:t>
      </w:r>
      <w:r>
        <w:rPr>
          <w:rFonts w:ascii="Arial" w:hAnsi="Arial"/>
          <w:color w:val="334155"/>
          <w:sz w:val="19"/>
        </w:rPr>
      </w:r>
    </w:p>
    <w:p>
      <w:pPr>
        <w:spacing w:before="40" w:after="80"/>
      </w:pPr>
      <w:r>
        <w:rPr>
          <w:rFonts w:ascii="Arial" w:hAnsi="Arial"/>
          <w:color w:val="334155"/>
          <w:sz w:val="19"/>
        </w:rPr>
        <w:t>$$\mathbf{w}_{</w:t>
        <w:tab/>
        <w:t>ext{NAFLD}} = [eta_C = +1.0831, \; eta_W = +0.0524, \; eta_G = 0.0000]$$</w:t>
      </w:r>
    </w:p>
    <w:p>
      <w:pPr>
        <w:pStyle w:val="ListBullet"/>
        <w:spacing w:before="20" w:after="20"/>
      </w:pPr>
      <w:r>
        <w:rPr>
          <w:rFonts w:ascii="Arial" w:hAnsi="Arial"/>
          <w:color w:val="334155"/>
          <w:sz w:val="19"/>
        </w:rPr>
      </w:r>
      <w:r>
        <w:rPr>
          <w:rFonts w:ascii="Arial" w:hAnsi="Arial"/>
          <w:b/>
          <w:color w:val="0F172A"/>
          <w:sz w:val="19"/>
        </w:rPr>
        <w:t>Prediabetes Meta-Model:</w:t>
      </w:r>
      <w:r>
        <w:rPr>
          <w:rFonts w:ascii="Arial" w:hAnsi="Arial"/>
          <w:color w:val="334155"/>
          <w:sz w:val="19"/>
        </w:rPr>
      </w:r>
    </w:p>
    <w:p>
      <w:pPr>
        <w:spacing w:before="40" w:after="80"/>
      </w:pPr>
      <w:r>
        <w:rPr>
          <w:rFonts w:ascii="Arial" w:hAnsi="Arial"/>
          <w:color w:val="334155"/>
          <w:sz w:val="19"/>
        </w:rPr>
        <w:t xml:space="preserve">Governed by `LGBMClassifier` trained on $[P_{C, </w:t>
        <w:tab/>
        <w:t xml:space="preserve">ext{Prediabetes}}, P_{W, </w:t>
        <w:tab/>
        <w:t xml:space="preserve">ext{Prediabetes}}, P_{G, </w:t>
        <w:tab/>
        <w:t>ext{Prediabetes}}]$.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19: META-STACKER VS. ALTERNATIVE FUSION METHODS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Fusion Method</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Handles Modality Specialization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Resistance to Outliers</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Status in TeleMed AI</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L2 Logistic Meta-Stacker</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Optimal (Learns cross-disease weights)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ACCEPTED AS FINAL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Soft Probability Averaging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Poor (Equal weighting assumed)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(Suboptimal)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Hard Majority Voting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88.4%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Poor (Discards confidence scores)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(Lossy)</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Deep Neural Fusion</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93.8%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0.915</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Good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Low (Overfits on small meta-data)</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(High memory)</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20: SHAP &amp; TREESHAP EXPLAINABILITY</w:t>
      </w:r>
    </w:p>
    <w:p>
      <w:pPr>
        <w:spacing w:before="0" w:after="0"/>
        <w:ind w:left="432"/>
      </w:pPr>
      <w:r>
        <w:rPr>
          <w:rFonts w:ascii="Consolas" w:hAnsi="Consolas"/>
          <w:color w:val="1E293B"/>
          <w:sz w:val="17"/>
        </w:rPr>
        <w:t>[Patient Modality Input] ──&gt; [TreeSHAP Engine] ──&gt; [Exact Shapley Values φ_i]</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[Risk-Increasing Biomarkers (φ_i &gt; 0)]                                             [Risk-Decreasing Biomarkers (φ_i &lt; 0)]</w:t>
      </w:r>
    </w:p>
    <w:p>
      <w:pPr>
        <w:spacing w:before="0" w:after="0"/>
        <w:ind w:left="432"/>
      </w:pPr>
      <w:r>
        <w:rPr>
          <w:rFonts w:ascii="Consolas" w:hAnsi="Consolas"/>
          <w:color w:val="1E293B"/>
          <w:sz w:val="17"/>
        </w:rPr>
        <w:t>e.g. HbA1c = 8.2% (+0.24 log-odds)                                                e.g. HDL = 62 mg/dL (-0.14 log-odds)</w:t>
      </w:r>
    </w:p>
    <w:p>
      <w:pPr>
        <w:spacing w:before="0" w:after="0"/>
        <w:ind w:left="432"/>
      </w:pPr>
      <w:r>
        <w:rPr>
          <w:rFonts w:ascii="Consolas" w:hAnsi="Consolas"/>
          <w:color w:val="1E293B"/>
          <w:sz w:val="17"/>
        </w:rPr>
        <w:t xml:space="preserve">     CGM Average Glucose = 165 mg/dL (+0.18 log-odds)                                  CGM Time In Range = 92% (-0.19 log-odds)</w:t>
      </w:r>
    </w:p>
    <w:p>
      <w:pPr>
        <w:spacing w:before="0" w:after="0"/>
        <w:ind w:left="432"/>
      </w:pPr>
      <w:r>
        <w:rPr>
          <w:rFonts w:ascii="Consolas" w:hAnsi="Consolas"/>
          <w:color w:val="1E293B"/>
          <w:sz w:val="17"/>
        </w:rPr>
        <w:t xml:space="preserve">     Escherichia coli = 8.4% (+0.09 log-odds)                                          Akkermansia muciniphila = 6.8% (-0.11 log-odds)</w:t>
      </w:r>
    </w:p>
    <w:p>
      <w:pPr>
        <w:pStyle w:val="Heading3"/>
        <w:spacing w:before="160" w:after="40"/>
      </w:pPr>
      <w:r>
        <w:rPr>
          <w:rFonts w:ascii="Arial" w:hAnsi="Arial"/>
          <w:b/>
          <w:color w:val="0F172A"/>
          <w:sz w:val="21"/>
        </w:rPr>
        <w:t>20.1 Mathematical Definition of Shapley Values</w:t>
      </w:r>
    </w:p>
    <w:p>
      <w:pPr>
        <w:spacing w:before="40" w:after="80"/>
      </w:pPr>
      <w:r>
        <w:rPr>
          <w:rFonts w:ascii="Arial" w:hAnsi="Arial"/>
          <w:color w:val="334155"/>
          <w:sz w:val="19"/>
        </w:rPr>
        <w:t>The Shapley value $\phi_i$ represents the unique fair marginal contribution of feature $i$ across all possible feature subsets $S \subseteq F \setminus \{i\}$:</w:t>
      </w:r>
    </w:p>
    <w:p>
      <w:pPr>
        <w:spacing w:before="40" w:after="80"/>
      </w:pPr>
      <w:r>
        <w:rPr>
          <w:rFonts w:ascii="Arial" w:hAnsi="Arial"/>
          <w:color w:val="334155"/>
          <w:sz w:val="19"/>
        </w:rPr>
        <w:t xml:space="preserve">$$\phi_i(x) = \sum_{S \subseteq F \setminus \{i\}} rac{|S|!(|F| - |S| - 1)!}{|F|!} \left[ f_x(S \cup \{i\}) - f_x(S) </w:t>
        <w:br/>
        <w:t>ight]$$</w:t>
      </w:r>
    </w:p>
    <w:p>
      <w:pPr>
        <w:pStyle w:val="ListBullet"/>
        <w:spacing w:before="20" w:after="20"/>
      </w:pPr>
      <w:r>
        <w:rPr>
          <w:rFonts w:ascii="Arial" w:hAnsi="Arial"/>
          <w:color w:val="334155"/>
          <w:sz w:val="19"/>
        </w:rPr>
      </w:r>
      <w:r>
        <w:rPr>
          <w:rFonts w:ascii="Arial" w:hAnsi="Arial"/>
          <w:b/>
          <w:color w:val="0F172A"/>
          <w:sz w:val="19"/>
        </w:rPr>
        <w:t>TreeSHAP Efficiency:</w:t>
      </w:r>
      <w:r>
        <w:rPr>
          <w:rFonts w:ascii="Arial" w:hAnsi="Arial"/>
          <w:color w:val="334155"/>
          <w:sz w:val="19"/>
        </w:rPr>
        <w:t xml:space="preserve"> Reduces the exponential $O(2^{|F|})$ computation to polynomial $O(T L D^2)$, where $T$ is the number of trees, $L$ is max leaves, and $D$ is tree depth, enabling instantaneous client explainability in $&lt;60$ ms.</w:t>
      </w:r>
    </w:p>
    <w:p>
      <w:pPr>
        <w:pStyle w:val="Heading1"/>
        <w:spacing w:before="280" w:after="120"/>
      </w:pPr>
      <w:r>
        <w:rPr>
          <w:rFonts w:ascii="Arial" w:hAnsi="Arial"/>
          <w:b/>
          <w:color w:val="1E3A8A"/>
          <w:sz w:val="30"/>
        </w:rPr>
        <w:t>SECTION 21: PERSONALIZED RECOMMENDATION ENGINE</w:t>
      </w:r>
    </w:p>
    <w:p>
      <w:pPr>
        <w:pStyle w:val="Heading3"/>
        <w:spacing w:before="160" w:after="40"/>
      </w:pPr>
      <w:r>
        <w:rPr>
          <w:rFonts w:ascii="Arial" w:hAnsi="Arial"/>
          <w:b/>
          <w:color w:val="0F172A"/>
          <w:sz w:val="21"/>
        </w:rPr>
        <w:t>21.1 Recommendation Pipeline Architecture</w:t>
      </w:r>
    </w:p>
    <w:p>
      <w:pPr>
        <w:spacing w:before="0" w:after="0"/>
        <w:ind w:left="432"/>
      </w:pPr>
      <w:r>
        <w:rPr>
          <w:rFonts w:ascii="Consolas" w:hAnsi="Consolas"/>
          <w:color w:val="1E293B"/>
          <w:sz w:val="17"/>
        </w:rPr>
        <w:t>[ML Calibrated Risk &amp; Top TreeSHAP Biomarkers]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[Patient Clinical Context (Age, Biomarker Severities, Modalities)]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[Medical RAG Guideline Retrieval (FAISS Vector Store)]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[Clinical Recommendation Synthesis (Deterministic Evidence Grounding)]</w:t>
      </w:r>
    </w:p>
    <w:p>
      <w:pPr>
        <w:spacing w:before="0" w:after="0"/>
        <w:ind w:left="432"/>
      </w:pPr>
      <w:r>
        <w:rPr>
          <w:rFonts w:ascii="Consolas" w:hAnsi="Consolas"/>
          <w:color w:val="1E293B"/>
          <w:sz w:val="17"/>
        </w:rPr>
        <w:t xml:space="preserve">  ├── Category 1: Dietary &amp; Nutritional Interventions (SCFA enrichment, Low-Glycemic Index)</w:t>
      </w:r>
    </w:p>
    <w:p>
      <w:pPr>
        <w:spacing w:before="0" w:after="0"/>
        <w:ind w:left="432"/>
      </w:pPr>
      <w:r>
        <w:rPr>
          <w:rFonts w:ascii="Consolas" w:hAnsi="Consolas"/>
          <w:color w:val="1E293B"/>
          <w:sz w:val="17"/>
        </w:rPr>
        <w:t xml:space="preserve">  ├── Category 2: Physical Activity &amp; Metabolic Conditioning (Zone 2, Resistance Training)</w:t>
      </w:r>
    </w:p>
    <w:p>
      <w:pPr>
        <w:spacing w:before="0" w:after="0"/>
        <w:ind w:left="432"/>
      </w:pPr>
      <w:r>
        <w:rPr>
          <w:rFonts w:ascii="Consolas" w:hAnsi="Consolas"/>
          <w:color w:val="1E293B"/>
          <w:sz w:val="17"/>
        </w:rPr>
        <w:t xml:space="preserve">  ├── Category 3: Clinical Laboratory Surveillance (Repeat HbA1c in 90 days, Fasting Lipids)</w:t>
      </w:r>
    </w:p>
    <w:p>
      <w:pPr>
        <w:spacing w:before="0" w:after="0"/>
        <w:ind w:left="432"/>
      </w:pPr>
      <w:r>
        <w:rPr>
          <w:rFonts w:ascii="Consolas" w:hAnsi="Consolas"/>
          <w:color w:val="1E293B"/>
          <w:sz w:val="17"/>
        </w:rPr>
        <w:t xml:space="preserve">  └── Category 4: Physician Specialist Referral (Endocrinology / Hepatology consultation)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22: RAG &amp; FAISS VECTOR DATABASE ARCHITECTURE</w:t>
      </w:r>
    </w:p>
    <w:p>
      <w:pPr>
        <w:pStyle w:val="Heading3"/>
        <w:spacing w:before="160" w:after="40"/>
      </w:pPr>
      <w:r>
        <w:rPr>
          <w:rFonts w:ascii="Arial" w:hAnsi="Arial"/>
          <w:b/>
          <w:color w:val="0F172A"/>
          <w:sz w:val="21"/>
        </w:rPr>
        <w:t>22.1 Vector Knowledge Base Specifications</w:t>
      </w:r>
    </w:p>
    <w:p>
      <w:pPr>
        <w:pStyle w:val="ListBullet"/>
        <w:spacing w:before="20" w:after="20"/>
      </w:pPr>
      <w:r>
        <w:rPr>
          <w:rFonts w:ascii="Arial" w:hAnsi="Arial"/>
          <w:color w:val="334155"/>
          <w:sz w:val="19"/>
        </w:rPr>
      </w:r>
      <w:r>
        <w:rPr>
          <w:rFonts w:ascii="Arial" w:hAnsi="Arial"/>
          <w:b/>
          <w:color w:val="0F172A"/>
          <w:sz w:val="19"/>
        </w:rPr>
        <w:t>Vector Engine:</w:t>
      </w:r>
      <w:r>
        <w:rPr>
          <w:rFonts w:ascii="Arial" w:hAnsi="Arial"/>
          <w:color w:val="334155"/>
          <w:sz w:val="19"/>
        </w:rPr>
        <w:t xml:space="preserve"> FAISS (Facebook AI Similarity Search) in-memory vector index.</w:t>
      </w:r>
    </w:p>
    <w:p>
      <w:pPr>
        <w:pStyle w:val="ListBullet"/>
        <w:spacing w:before="20" w:after="20"/>
      </w:pPr>
      <w:r>
        <w:rPr>
          <w:rFonts w:ascii="Arial" w:hAnsi="Arial"/>
          <w:color w:val="334155"/>
          <w:sz w:val="19"/>
        </w:rPr>
      </w:r>
      <w:r>
        <w:rPr>
          <w:rFonts w:ascii="Arial" w:hAnsi="Arial"/>
          <w:b/>
          <w:color w:val="0F172A"/>
          <w:sz w:val="19"/>
        </w:rPr>
        <w:t>Corpus Chunks:</w:t>
      </w:r>
      <w:r>
        <w:rPr>
          <w:rFonts w:ascii="Arial" w:hAnsi="Arial"/>
          <w:color w:val="334155"/>
          <w:sz w:val="19"/>
        </w:rPr>
        <w:t xml:space="preserve"> 20 verified clinical guidelines chunks partitioned from 5 premier medical guideline sources:</w:t>
      </w:r>
    </w:p>
    <w:p>
      <w:pPr>
        <w:spacing w:before="40" w:after="80"/>
      </w:pPr>
      <w:r>
        <w:rPr>
          <w:rFonts w:ascii="Arial" w:hAnsi="Arial"/>
          <w:color w:val="334155"/>
          <w:sz w:val="19"/>
        </w:rPr>
        <w:t xml:space="preserve">1. </w:t>
      </w:r>
      <w:r>
        <w:rPr>
          <w:rFonts w:ascii="Arial" w:hAnsi="Arial"/>
          <w:b/>
          <w:color w:val="0F172A"/>
          <w:sz w:val="19"/>
        </w:rPr>
        <w:t>ADA Standards of Medical Care in Diabetes (2024)</w:t>
      </w:r>
      <w:r>
        <w:rPr>
          <w:rFonts w:ascii="Arial" w:hAnsi="Arial"/>
          <w:color w:val="334155"/>
          <w:sz w:val="19"/>
        </w:rPr>
        <w:t xml:space="preserve"> — Glycemic targets, CGM metrics, TIR thresholds.</w:t>
      </w:r>
    </w:p>
    <w:p>
      <w:pPr>
        <w:spacing w:before="40" w:after="80"/>
      </w:pPr>
      <w:r>
        <w:rPr>
          <w:rFonts w:ascii="Arial" w:hAnsi="Arial"/>
          <w:color w:val="334155"/>
          <w:sz w:val="19"/>
        </w:rPr>
        <w:t xml:space="preserve">2. </w:t>
      </w:r>
      <w:r>
        <w:rPr>
          <w:rFonts w:ascii="Arial" w:hAnsi="Arial"/>
          <w:b/>
          <w:color w:val="0F172A"/>
          <w:sz w:val="19"/>
        </w:rPr>
        <w:t>EASD Consensus on Type 2 Diabetes Management</w:t>
      </w:r>
      <w:r>
        <w:rPr>
          <w:rFonts w:ascii="Arial" w:hAnsi="Arial"/>
          <w:color w:val="334155"/>
          <w:sz w:val="19"/>
        </w:rPr>
        <w:t xml:space="preserve"> — Lifestyle and pharmacotherapy algorithms.</w:t>
      </w:r>
    </w:p>
    <w:p>
      <w:pPr>
        <w:spacing w:before="40" w:after="80"/>
      </w:pPr>
      <w:r>
        <w:rPr>
          <w:rFonts w:ascii="Arial" w:hAnsi="Arial"/>
          <w:color w:val="334155"/>
          <w:sz w:val="19"/>
        </w:rPr>
        <w:t xml:space="preserve">3. </w:t>
      </w:r>
      <w:r>
        <w:rPr>
          <w:rFonts w:ascii="Arial" w:hAnsi="Arial"/>
          <w:b/>
          <w:color w:val="0F172A"/>
          <w:sz w:val="19"/>
        </w:rPr>
        <w:t>AHA / ACC Guideline on the Primary Prevention of Cardiovascular Disease</w:t>
      </w:r>
      <w:r>
        <w:rPr>
          <w:rFonts w:ascii="Arial" w:hAnsi="Arial"/>
          <w:color w:val="334155"/>
          <w:sz w:val="19"/>
        </w:rPr>
        <w:t xml:space="preserve"> — Lipid targets, BP thresholds.</w:t>
      </w:r>
    </w:p>
    <w:p>
      <w:pPr>
        <w:spacing w:before="40" w:after="80"/>
      </w:pPr>
      <w:r>
        <w:rPr>
          <w:rFonts w:ascii="Arial" w:hAnsi="Arial"/>
          <w:color w:val="334155"/>
          <w:sz w:val="19"/>
        </w:rPr>
        <w:t xml:space="preserve">4. </w:t>
      </w:r>
      <w:r>
        <w:rPr>
          <w:rFonts w:ascii="Arial" w:hAnsi="Arial"/>
          <w:b/>
          <w:color w:val="0F172A"/>
          <w:sz w:val="19"/>
        </w:rPr>
        <w:t>AASLD Clinical Practice Guidance on NAFLD / MASLD</w:t>
      </w:r>
      <w:r>
        <w:rPr>
          <w:rFonts w:ascii="Arial" w:hAnsi="Arial"/>
          <w:color w:val="334155"/>
          <w:sz w:val="19"/>
        </w:rPr>
        <w:t xml:space="preserve"> — Hepatic steatosis biomarker surveillance.</w:t>
      </w:r>
    </w:p>
    <w:p>
      <w:pPr>
        <w:spacing w:before="40" w:after="80"/>
      </w:pPr>
      <w:r>
        <w:rPr>
          <w:rFonts w:ascii="Arial" w:hAnsi="Arial"/>
          <w:color w:val="334155"/>
          <w:sz w:val="19"/>
        </w:rPr>
        <w:t xml:space="preserve">5. </w:t>
      </w:r>
      <w:r>
        <w:rPr>
          <w:rFonts w:ascii="Arial" w:hAnsi="Arial"/>
          <w:b/>
          <w:color w:val="0F172A"/>
          <w:sz w:val="19"/>
        </w:rPr>
        <w:t>AGA Clinical Practice Guidelines on Microbiome Modulation</w:t>
      </w:r>
      <w:r>
        <w:rPr>
          <w:rFonts w:ascii="Arial" w:hAnsi="Arial"/>
          <w:color w:val="334155"/>
          <w:sz w:val="19"/>
        </w:rPr>
        <w:t xml:space="preserve"> — Gut prebiotic/probiotic evidence.</w:t>
      </w:r>
    </w:p>
    <w:p>
      <w:pPr>
        <w:pStyle w:val="Heading3"/>
        <w:spacing w:before="160" w:after="40"/>
      </w:pPr>
      <w:r>
        <w:rPr>
          <w:rFonts w:ascii="Arial" w:hAnsi="Arial"/>
          <w:b/>
          <w:color w:val="0F172A"/>
          <w:sz w:val="21"/>
        </w:rPr>
        <w:t>22.2 Retrieval &amp; Similarity Metrics</w:t>
      </w:r>
    </w:p>
    <w:p>
      <w:pPr>
        <w:pStyle w:val="ListBullet"/>
        <w:spacing w:before="20" w:after="20"/>
      </w:pPr>
      <w:r>
        <w:rPr>
          <w:rFonts w:ascii="Arial" w:hAnsi="Arial"/>
          <w:color w:val="334155"/>
          <w:sz w:val="19"/>
        </w:rPr>
      </w:r>
      <w:r>
        <w:rPr>
          <w:rFonts w:ascii="Arial" w:hAnsi="Arial"/>
          <w:b/>
          <w:color w:val="0F172A"/>
          <w:sz w:val="19"/>
        </w:rPr>
        <w:t>Similarity Metric:</w:t>
      </w:r>
      <w:r>
        <w:rPr>
          <w:rFonts w:ascii="Arial" w:hAnsi="Arial"/>
          <w:color w:val="334155"/>
          <w:sz w:val="19"/>
        </w:rPr>
        <w:t xml:space="preserve"> Cosine Similarity / Inner Product on Normalized Vector Embeddings ($L_2$ normalized):</w:t>
      </w:r>
    </w:p>
    <w:p>
      <w:pPr>
        <w:spacing w:before="40" w:after="80"/>
      </w:pPr>
      <w:r>
        <w:rPr>
          <w:rFonts w:ascii="Arial" w:hAnsi="Arial"/>
          <w:color w:val="334155"/>
          <w:sz w:val="19"/>
        </w:rPr>
        <w:t>$$</w:t>
        <w:tab/>
        <w:t>ext{Sim}(\mathbf{q}, \mathbf{d}_i) = rac{\mathbf{q} \cdot \mathbf{d}_i}{\|\mathbf{q}\|_2 \|\mathbf{d}_i\|_2}$$</w:t>
      </w:r>
    </w:p>
    <w:p>
      <w:pPr>
        <w:pStyle w:val="ListBullet"/>
        <w:spacing w:before="20" w:after="20"/>
      </w:pPr>
      <w:r>
        <w:rPr>
          <w:rFonts w:ascii="Arial" w:hAnsi="Arial"/>
          <w:color w:val="334155"/>
          <w:sz w:val="19"/>
        </w:rPr>
      </w:r>
      <w:r>
        <w:rPr>
          <w:rFonts w:ascii="Arial" w:hAnsi="Arial"/>
          <w:b/>
          <w:color w:val="0F172A"/>
          <w:sz w:val="19"/>
        </w:rPr>
        <w:t>Retrieval Speed:</w:t>
      </w:r>
      <w:r>
        <w:rPr>
          <w:rFonts w:ascii="Arial" w:hAnsi="Arial"/>
          <w:color w:val="334155"/>
          <w:sz w:val="19"/>
        </w:rPr>
        <w:t xml:space="preserve"> </w:t>
      </w:r>
      <w:r>
        <w:rPr>
          <w:rFonts w:ascii="Arial" w:hAnsi="Arial"/>
          <w:b/>
          <w:color w:val="0F172A"/>
          <w:sz w:val="19"/>
        </w:rPr>
        <w:t>$&lt;15$ ms</w:t>
      </w:r>
      <w:r>
        <w:rPr>
          <w:rFonts w:ascii="Arial" w:hAnsi="Arial"/>
          <w:color w:val="334155"/>
          <w:sz w:val="19"/>
        </w:rPr>
        <w:t xml:space="preserve"> per query.</w:t>
      </w:r>
    </w:p>
    <w:p>
      <w:pPr>
        <w:pStyle w:val="ListBullet"/>
        <w:spacing w:before="20" w:after="20"/>
      </w:pPr>
      <w:r>
        <w:rPr>
          <w:rFonts w:ascii="Arial" w:hAnsi="Arial"/>
          <w:color w:val="334155"/>
          <w:sz w:val="19"/>
        </w:rPr>
      </w:r>
      <w:r>
        <w:rPr>
          <w:rFonts w:ascii="Arial" w:hAnsi="Arial"/>
          <w:b/>
          <w:color w:val="0F172A"/>
          <w:sz w:val="19"/>
        </w:rPr>
        <w:t>Deterministic Fallback:</w:t>
      </w:r>
      <w:r>
        <w:rPr>
          <w:rFonts w:ascii="Arial" w:hAnsi="Arial"/>
          <w:color w:val="334155"/>
          <w:sz w:val="19"/>
        </w:rPr>
        <w:t xml:space="preserve"> Zero external paid API dependence, guaranteeing $0 cloud operating cost.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23: RECOMMENDATION GROUNDING &amp; HALLUCINATION DEFENSE</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HALLUCINATION PREVENTION PROTOCOL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1. Zero Direct Generation: The model cannot invent medical claims.          │</w:t>
      </w:r>
    </w:p>
    <w:p>
      <w:pPr>
        <w:spacing w:before="0" w:after="0"/>
        <w:ind w:left="432"/>
      </w:pPr>
      <w:r>
        <w:rPr>
          <w:rFonts w:ascii="Consolas" w:hAnsi="Consolas"/>
          <w:color w:val="1E293B"/>
          <w:sz w:val="17"/>
        </w:rPr>
        <w:t>│ 2. Strict Citation Binding: Every recommendation references source chunk ID.│</w:t>
      </w:r>
    </w:p>
    <w:p>
      <w:pPr>
        <w:spacing w:before="0" w:after="0"/>
        <w:ind w:left="432"/>
      </w:pPr>
      <w:r>
        <w:rPr>
          <w:rFonts w:ascii="Consolas" w:hAnsi="Consolas"/>
          <w:color w:val="1E293B"/>
          <w:sz w:val="17"/>
        </w:rPr>
        <w:t>│ 3. Clinical Bounds Safety: Disclaimers attached to all outputs.             │</w:t>
      </w:r>
    </w:p>
    <w:p>
      <w:pPr>
        <w:spacing w:before="0" w:after="0"/>
        <w:ind w:left="432"/>
      </w:pPr>
      <w:r>
        <w:rPr>
          <w:rFonts w:ascii="Consolas" w:hAnsi="Consolas"/>
          <w:color w:val="1E293B"/>
          <w:sz w:val="17"/>
        </w:rPr>
        <w:t>│ 4. Deterministic Templating: Evidence sentences verified against manifest.  │</w:t>
      </w:r>
    </w:p>
    <w:p>
      <w:pPr>
        <w:spacing w:before="0" w:after="0"/>
        <w:ind w:left="432"/>
      </w:pPr>
      <w:r>
        <w:rPr>
          <w:rFonts w:ascii="Consolas" w:hAnsi="Consolas"/>
          <w:color w:val="1E293B"/>
          <w:sz w:val="17"/>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24: PATIENT PORTAL ARCHITECTURE</w:t>
      </w:r>
    </w:p>
    <w:p>
      <w:pPr>
        <w:pStyle w:val="Heading3"/>
        <w:spacing w:before="160" w:after="40"/>
      </w:pPr>
      <w:r>
        <w:rPr>
          <w:rFonts w:ascii="Arial" w:hAnsi="Arial"/>
          <w:b/>
          <w:color w:val="0F172A"/>
          <w:sz w:val="21"/>
        </w:rPr>
        <w:t>24.1 Patient Workflow &amp; UI Navigation Structure</w:t>
      </w:r>
    </w:p>
    <w:p>
      <w:pPr>
        <w:spacing w:before="40" w:after="80"/>
      </w:pPr>
      <w:r>
        <w:rPr>
          <w:rFonts w:ascii="Arial" w:hAnsi="Arial"/>
          <w:color w:val="334155"/>
          <w:sz w:val="19"/>
        </w:rPr>
        <w:t xml:space="preserve">1. </w:t>
      </w:r>
      <w:r>
        <w:rPr>
          <w:rFonts w:ascii="Arial" w:hAnsi="Arial"/>
          <w:b/>
          <w:color w:val="0F172A"/>
          <w:sz w:val="19"/>
        </w:rPr>
        <w:t>Public Discovery:</w:t>
      </w:r>
      <w:r>
        <w:rPr>
          <w:rFonts w:ascii="Arial" w:hAnsi="Arial"/>
          <w:color w:val="334155"/>
          <w:sz w:val="19"/>
        </w:rPr>
        <w:t xml:space="preserve"> Landing hero, 3D interactive medical illustrations, research methodology, feature showcase.</w:t>
      </w:r>
    </w:p>
    <w:p>
      <w:pPr>
        <w:spacing w:before="40" w:after="80"/>
      </w:pPr>
      <w:r>
        <w:rPr>
          <w:rFonts w:ascii="Arial" w:hAnsi="Arial"/>
          <w:color w:val="334155"/>
          <w:sz w:val="19"/>
        </w:rPr>
        <w:t xml:space="preserve">2. </w:t>
      </w:r>
      <w:r>
        <w:rPr>
          <w:rFonts w:ascii="Arial" w:hAnsi="Arial"/>
          <w:b/>
          <w:color w:val="0F172A"/>
          <w:sz w:val="19"/>
        </w:rPr>
        <w:t>Registration &amp; Auth:</w:t>
      </w:r>
      <w:r>
        <w:rPr>
          <w:rFonts w:ascii="Arial" w:hAnsi="Arial"/>
          <w:color w:val="334155"/>
          <w:sz w:val="19"/>
        </w:rPr>
        <w:t xml:space="preserve"> Secure email/password registration with strict client + server validation and JWT issuance.</w:t>
      </w:r>
    </w:p>
    <w:p>
      <w:pPr>
        <w:spacing w:before="40" w:after="80"/>
      </w:pPr>
      <w:r>
        <w:rPr>
          <w:rFonts w:ascii="Arial" w:hAnsi="Arial"/>
          <w:color w:val="334155"/>
          <w:sz w:val="19"/>
        </w:rPr>
        <w:t xml:space="preserve">3. </w:t>
      </w:r>
      <w:r>
        <w:rPr>
          <w:rFonts w:ascii="Arial" w:hAnsi="Arial"/>
          <w:b/>
          <w:color w:val="0F172A"/>
          <w:sz w:val="19"/>
        </w:rPr>
        <w:t>Empty-State Dashboard:</w:t>
      </w:r>
      <w:r>
        <w:rPr>
          <w:rFonts w:ascii="Arial" w:hAnsi="Arial"/>
          <w:color w:val="334155"/>
          <w:sz w:val="19"/>
        </w:rPr>
        <w:t xml:space="preserve"> Fresh accounts start with 0 records, 0 consultations, and 0 notifications.</w:t>
      </w:r>
    </w:p>
    <w:p>
      <w:pPr>
        <w:spacing w:before="40" w:after="80"/>
      </w:pPr>
      <w:r>
        <w:rPr>
          <w:rFonts w:ascii="Arial" w:hAnsi="Arial"/>
          <w:color w:val="334155"/>
          <w:sz w:val="19"/>
        </w:rPr>
        <w:t xml:space="preserve">4. </w:t>
      </w:r>
      <w:r>
        <w:rPr>
          <w:rFonts w:ascii="Arial" w:hAnsi="Arial"/>
          <w:b/>
          <w:color w:val="0F172A"/>
          <w:sz w:val="19"/>
        </w:rPr>
        <w:t>Intake &amp; Upload Workspace:</w:t>
      </w:r>
      <w:r>
        <w:rPr>
          <w:rFonts w:ascii="Arial" w:hAnsi="Arial"/>
          <w:color w:val="334155"/>
          <w:sz w:val="19"/>
        </w:rPr>
        <w:t xml:space="preserve"> Drag-and-drop PDF/image lab report ingestion with real-time extracted biomarker preview.</w:t>
      </w:r>
    </w:p>
    <w:p>
      <w:pPr>
        <w:spacing w:before="40" w:after="80"/>
      </w:pPr>
      <w:r>
        <w:rPr>
          <w:rFonts w:ascii="Arial" w:hAnsi="Arial"/>
          <w:color w:val="334155"/>
          <w:sz w:val="19"/>
        </w:rPr>
        <w:t xml:space="preserve">5. </w:t>
      </w:r>
      <w:r>
        <w:rPr>
          <w:rFonts w:ascii="Arial" w:hAnsi="Arial"/>
          <w:b/>
          <w:color w:val="0F172A"/>
          <w:sz w:val="19"/>
        </w:rPr>
        <w:t>Assessment &amp; Risk Visualizer:</w:t>
      </w:r>
      <w:r>
        <w:rPr>
          <w:rFonts w:ascii="Arial" w:hAnsi="Arial"/>
          <w:color w:val="334155"/>
          <w:sz w:val="19"/>
        </w:rPr>
        <w:t xml:space="preserve"> Interactive 5-target risk cards with color-coded severity badges (`Low`, `Borderline`, `Moderate`, `High Risk`).</w:t>
      </w:r>
    </w:p>
    <w:p>
      <w:pPr>
        <w:spacing w:before="40" w:after="80"/>
      </w:pPr>
      <w:r>
        <w:rPr>
          <w:rFonts w:ascii="Arial" w:hAnsi="Arial"/>
          <w:color w:val="334155"/>
          <w:sz w:val="19"/>
        </w:rPr>
        <w:t xml:space="preserve">6. </w:t>
      </w:r>
      <w:r>
        <w:rPr>
          <w:rFonts w:ascii="Arial" w:hAnsi="Arial"/>
          <w:b/>
          <w:color w:val="0F172A"/>
          <w:sz w:val="19"/>
        </w:rPr>
        <w:t>XAI Feature Drivers:</w:t>
      </w:r>
      <w:r>
        <w:rPr>
          <w:rFonts w:ascii="Arial" w:hAnsi="Arial"/>
          <w:color w:val="334155"/>
          <w:sz w:val="19"/>
        </w:rPr>
        <w:t xml:space="preserve"> Waterfall chart rendering top risk-increasing and risk-decreasing biomarkers.</w:t>
      </w:r>
    </w:p>
    <w:p>
      <w:pPr>
        <w:spacing w:before="40" w:after="80"/>
      </w:pPr>
      <w:r>
        <w:rPr>
          <w:rFonts w:ascii="Arial" w:hAnsi="Arial"/>
          <w:color w:val="334155"/>
          <w:sz w:val="19"/>
        </w:rPr>
        <w:t xml:space="preserve">7. </w:t>
      </w:r>
      <w:r>
        <w:rPr>
          <w:rFonts w:ascii="Arial" w:hAnsi="Arial"/>
          <w:b/>
          <w:color w:val="0F172A"/>
          <w:sz w:val="19"/>
        </w:rPr>
        <w:t>Clinical RAG Report:</w:t>
      </w:r>
      <w:r>
        <w:rPr>
          <w:rFonts w:ascii="Arial" w:hAnsi="Arial"/>
          <w:color w:val="334155"/>
          <w:sz w:val="19"/>
        </w:rPr>
        <w:t xml:space="preserve"> Multi-page synthesized assessment with evidence citations and print/download capabilities.</w:t>
      </w:r>
    </w:p>
    <w:p>
      <w:pPr>
        <w:spacing w:before="40" w:after="80"/>
      </w:pPr>
      <w:r>
        <w:rPr>
          <w:rFonts w:ascii="Arial" w:hAnsi="Arial"/>
          <w:color w:val="334155"/>
          <w:sz w:val="19"/>
        </w:rPr>
        <w:t xml:space="preserve">8. </w:t>
      </w:r>
      <w:r>
        <w:rPr>
          <w:rFonts w:ascii="Arial" w:hAnsi="Arial"/>
          <w:b/>
          <w:color w:val="0F172A"/>
          <w:sz w:val="19"/>
        </w:rPr>
        <w:t>Health Records Vault:</w:t>
      </w:r>
      <w:r>
        <w:rPr>
          <w:rFonts w:ascii="Arial" w:hAnsi="Arial"/>
          <w:color w:val="334155"/>
          <w:sz w:val="19"/>
        </w:rPr>
        <w:t xml:space="preserve"> Searchable, filterable repository of all past assessments.</w:t>
      </w:r>
    </w:p>
    <w:p>
      <w:pPr>
        <w:spacing w:before="40" w:after="80"/>
      </w:pPr>
      <w:r>
        <w:rPr>
          <w:rFonts w:ascii="Arial" w:hAnsi="Arial"/>
          <w:color w:val="334155"/>
          <w:sz w:val="19"/>
        </w:rPr>
        <w:t xml:space="preserve">9. </w:t>
      </w:r>
      <w:r>
        <w:rPr>
          <w:rFonts w:ascii="Arial" w:hAnsi="Arial"/>
          <w:b/>
          <w:color w:val="0F172A"/>
          <w:sz w:val="19"/>
        </w:rPr>
        <w:t>Doctor Discovery &amp; Scheduling:</w:t>
      </w:r>
      <w:r>
        <w:rPr>
          <w:rFonts w:ascii="Arial" w:hAnsi="Arial"/>
          <w:color w:val="334155"/>
          <w:sz w:val="19"/>
        </w:rPr>
        <w:t xml:space="preserve"> Search verified specialists, view available time slots, and request appointments.</w:t>
      </w:r>
    </w:p>
    <w:p>
      <w:pPr>
        <w:spacing w:before="40" w:after="80"/>
      </w:pPr>
      <w:r>
        <w:rPr>
          <w:rFonts w:ascii="Arial" w:hAnsi="Arial"/>
          <w:color w:val="334155"/>
          <w:sz w:val="19"/>
        </w:rPr>
        <w:t xml:space="preserve">10. </w:t>
      </w:r>
      <w:r>
        <w:rPr>
          <w:rFonts w:ascii="Arial" w:hAnsi="Arial"/>
          <w:b/>
          <w:color w:val="0F172A"/>
          <w:sz w:val="19"/>
        </w:rPr>
        <w:t>Encrypted Telemedicine Chat:</w:t>
      </w:r>
      <w:r>
        <w:rPr>
          <w:rFonts w:ascii="Arial" w:hAnsi="Arial"/>
          <w:color w:val="334155"/>
          <w:sz w:val="19"/>
        </w:rPr>
        <w:t xml:space="preserve"> Messaging workspace with doctor assignment and real-time updates.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25: APPOINTMENTS &amp; CONSULTATIONS WORKFLOW</w:t>
      </w:r>
    </w:p>
    <w:p>
      <w:pPr>
        <w:spacing w:before="0" w:after="0"/>
        <w:ind w:left="432"/>
      </w:pPr>
      <w:r>
        <w:rPr>
          <w:rFonts w:ascii="Consolas" w:hAnsi="Consolas"/>
          <w:color w:val="1E293B"/>
          <w:sz w:val="17"/>
        </w:rPr>
        <w:t>[Patient Selects Doctor &amp; Desired Slot]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[POST /api/v1/appointments ➔ Backend Validation]</w:t>
      </w:r>
    </w:p>
    <w:p>
      <w:pPr>
        <w:spacing w:before="0" w:after="0"/>
        <w:ind w:left="432"/>
      </w:pPr>
      <w:r>
        <w:rPr>
          <w:rFonts w:ascii="Consolas" w:hAnsi="Consolas"/>
          <w:color w:val="1E293B"/>
          <w:sz w:val="17"/>
        </w:rPr>
        <w:t xml:space="preserve">  ├── Doctor Verification Check (Doctor must be VERIFIED)</w:t>
      </w:r>
    </w:p>
    <w:p>
      <w:pPr>
        <w:spacing w:before="0" w:after="0"/>
        <w:ind w:left="432"/>
      </w:pPr>
      <w:r>
        <w:rPr>
          <w:rFonts w:ascii="Consolas" w:hAnsi="Consolas"/>
          <w:color w:val="1E293B"/>
          <w:sz w:val="17"/>
        </w:rPr>
        <w:t xml:space="preserve">  ├── Double-Booking Defense (Conflicting slot check across Doctor &amp; Patient)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Appointment Created with State: SCHEDULED</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[Consultation Lifecycle State Machine]</w:t>
      </w:r>
    </w:p>
    <w:p>
      <w:pPr>
        <w:spacing w:before="0" w:after="0"/>
        <w:ind w:left="432"/>
      </w:pPr>
      <w:r>
        <w:rPr>
          <w:rFonts w:ascii="Consolas" w:hAnsi="Consolas"/>
          <w:color w:val="1E293B"/>
          <w:sz w:val="17"/>
        </w:rPr>
        <w:t xml:space="preserve">  ├── PENDING      (Awaiting doctor acceptance)</w:t>
      </w:r>
    </w:p>
    <w:p>
      <w:pPr>
        <w:spacing w:before="0" w:after="0"/>
        <w:ind w:left="432"/>
      </w:pPr>
      <w:r>
        <w:rPr>
          <w:rFonts w:ascii="Consolas" w:hAnsi="Consolas"/>
          <w:color w:val="1E293B"/>
          <w:sz w:val="17"/>
        </w:rPr>
        <w:t xml:space="preserve">  ├── IN_PROGRESS  (Active clinical consultation session)</w:t>
      </w:r>
    </w:p>
    <w:p>
      <w:pPr>
        <w:spacing w:before="0" w:after="0"/>
        <w:ind w:left="432"/>
      </w:pPr>
      <w:r>
        <w:rPr>
          <w:rFonts w:ascii="Consolas" w:hAnsi="Consolas"/>
          <w:color w:val="1E293B"/>
          <w:sz w:val="17"/>
        </w:rPr>
        <w:t xml:space="preserve">  ├── COMPLETED    (Doctor adds clinical summary &amp; prescription notes)</w:t>
      </w:r>
    </w:p>
    <w:p>
      <w:pPr>
        <w:spacing w:before="0" w:after="0"/>
        <w:ind w:left="432"/>
      </w:pPr>
      <w:r>
        <w:rPr>
          <w:rFonts w:ascii="Consolas" w:hAnsi="Consolas"/>
          <w:color w:val="1E293B"/>
          <w:sz w:val="17"/>
        </w:rPr>
        <w:t xml:space="preserve">  └── CANCELLED    (Patient or doctor cancels with audit log entry)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26: SECURE MESSAGING &amp; NOTIFICATIONS</w:t>
      </w:r>
    </w:p>
    <w:p>
      <w:pPr>
        <w:pStyle w:val="ListBullet"/>
        <w:spacing w:before="20" w:after="20"/>
      </w:pPr>
      <w:r>
        <w:rPr>
          <w:rFonts w:ascii="Arial" w:hAnsi="Arial"/>
          <w:color w:val="334155"/>
          <w:sz w:val="19"/>
        </w:rPr>
      </w:r>
      <w:r>
        <w:rPr>
          <w:rFonts w:ascii="Arial" w:hAnsi="Arial"/>
          <w:b/>
          <w:color w:val="0F172A"/>
          <w:sz w:val="19"/>
        </w:rPr>
        <w:t>Authorization:</w:t>
      </w:r>
      <w:r>
        <w:rPr>
          <w:rFonts w:ascii="Arial" w:hAnsi="Arial"/>
          <w:color w:val="334155"/>
          <w:sz w:val="19"/>
        </w:rPr>
        <w:t xml:space="preserve"> Every message query validates `user_id` against `consultation.patient_id` or `consultation.doctor_id`.</w:t>
      </w:r>
    </w:p>
    <w:p>
      <w:pPr>
        <w:pStyle w:val="ListBullet"/>
        <w:spacing w:before="20" w:after="20"/>
      </w:pPr>
      <w:r>
        <w:rPr>
          <w:rFonts w:ascii="Arial" w:hAnsi="Arial"/>
          <w:color w:val="334155"/>
          <w:sz w:val="19"/>
        </w:rPr>
      </w:r>
      <w:r>
        <w:rPr>
          <w:rFonts w:ascii="Arial" w:hAnsi="Arial"/>
          <w:b/>
          <w:color w:val="0F172A"/>
          <w:sz w:val="19"/>
        </w:rPr>
        <w:t>Cross-Tenant Privacy:</w:t>
      </w:r>
      <w:r>
        <w:rPr>
          <w:rFonts w:ascii="Arial" w:hAnsi="Arial"/>
          <w:color w:val="334155"/>
          <w:sz w:val="19"/>
        </w:rPr>
        <w:t xml:space="preserve"> Direct access to other consultation message threads returns strict `403 Forbidden`.</w:t>
      </w:r>
    </w:p>
    <w:p>
      <w:pPr>
        <w:pStyle w:val="ListBullet"/>
        <w:spacing w:before="20" w:after="20"/>
      </w:pPr>
      <w:r>
        <w:rPr>
          <w:rFonts w:ascii="Arial" w:hAnsi="Arial"/>
          <w:color w:val="334155"/>
          <w:sz w:val="19"/>
        </w:rPr>
      </w:r>
      <w:r>
        <w:rPr>
          <w:rFonts w:ascii="Arial" w:hAnsi="Arial"/>
          <w:b/>
          <w:color w:val="0F172A"/>
          <w:sz w:val="19"/>
        </w:rPr>
        <w:t>Persistence:</w:t>
      </w:r>
      <w:r>
        <w:rPr>
          <w:rFonts w:ascii="Arial" w:hAnsi="Arial"/>
          <w:color w:val="334155"/>
          <w:sz w:val="19"/>
        </w:rPr>
        <w:t xml:space="preserve"> Messages stored in PostgreSQL `Message` table with timestamps, read/unread states, and sender identity.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27: AI CLINICAL HEALTH COPILOT</w:t>
      </w:r>
    </w:p>
    <w:p>
      <w:pPr>
        <w:pStyle w:val="ListBullet"/>
        <w:spacing w:before="20" w:after="20"/>
      </w:pPr>
      <w:r>
        <w:rPr>
          <w:rFonts w:ascii="Arial" w:hAnsi="Arial"/>
          <w:color w:val="334155"/>
          <w:sz w:val="19"/>
        </w:rPr>
      </w:r>
      <w:r>
        <w:rPr>
          <w:rFonts w:ascii="Arial" w:hAnsi="Arial"/>
          <w:b/>
          <w:color w:val="0F172A"/>
          <w:sz w:val="19"/>
        </w:rPr>
        <w:t>Role:</w:t>
      </w:r>
      <w:r>
        <w:rPr>
          <w:rFonts w:ascii="Arial" w:hAnsi="Arial"/>
          <w:color w:val="334155"/>
          <w:sz w:val="19"/>
        </w:rPr>
        <w:t xml:space="preserve"> Interactive health education assistant answering questions about biomarker ranges, lifestyle modifications, and appointment preparation.</w:t>
      </w:r>
    </w:p>
    <w:p>
      <w:pPr>
        <w:pStyle w:val="ListBullet"/>
        <w:spacing w:before="20" w:after="20"/>
      </w:pPr>
      <w:r>
        <w:rPr>
          <w:rFonts w:ascii="Arial" w:hAnsi="Arial"/>
          <w:color w:val="334155"/>
          <w:sz w:val="19"/>
        </w:rPr>
      </w:r>
      <w:r>
        <w:rPr>
          <w:rFonts w:ascii="Arial" w:hAnsi="Arial"/>
          <w:b/>
          <w:color w:val="0F172A"/>
          <w:sz w:val="19"/>
        </w:rPr>
        <w:t>Safety Boundaries:</w:t>
      </w:r>
      <w:r>
        <w:rPr>
          <w:rFonts w:ascii="Arial" w:hAnsi="Arial"/>
          <w:color w:val="334155"/>
          <w:sz w:val="19"/>
        </w:rPr>
        <w:t xml:space="preserve"> Hard-coded guardrails prevent the AI assistant from prescribing medications or issuing formal diagnostic verdicts.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28: DOCTOR PORTAL &amp; CLINICAL WORKSPACE</w:t>
      </w:r>
    </w:p>
    <w:p>
      <w:pPr>
        <w:pStyle w:val="ListBullet"/>
        <w:spacing w:before="20" w:after="20"/>
      </w:pPr>
      <w:r>
        <w:rPr>
          <w:rFonts w:ascii="Arial" w:hAnsi="Arial"/>
          <w:color w:val="334155"/>
          <w:sz w:val="19"/>
        </w:rPr>
      </w:r>
      <w:r>
        <w:rPr>
          <w:rFonts w:ascii="Arial" w:hAnsi="Arial"/>
          <w:b/>
          <w:color w:val="0F172A"/>
          <w:sz w:val="19"/>
        </w:rPr>
        <w:t>Doctor Onboarding &amp; Verification:</w:t>
      </w:r>
      <w:r>
        <w:rPr>
          <w:rFonts w:ascii="Arial" w:hAnsi="Arial"/>
          <w:color w:val="334155"/>
          <w:sz w:val="19"/>
        </w:rPr>
        <w:t xml:space="preserve"> Doctors register, upload medical license/credentials (`PDF/JPG`), and enter a `PENDING_VERIFICATION` state.</w:t>
      </w:r>
    </w:p>
    <w:p>
      <w:pPr>
        <w:pStyle w:val="ListBullet"/>
        <w:spacing w:before="20" w:after="20"/>
      </w:pPr>
      <w:r>
        <w:rPr>
          <w:rFonts w:ascii="Arial" w:hAnsi="Arial"/>
          <w:color w:val="334155"/>
          <w:sz w:val="19"/>
        </w:rPr>
      </w:r>
      <w:r>
        <w:rPr>
          <w:rFonts w:ascii="Arial" w:hAnsi="Arial"/>
          <w:b/>
          <w:color w:val="0F172A"/>
          <w:sz w:val="19"/>
        </w:rPr>
        <w:t>Clinical Review Queue:</w:t>
      </w:r>
      <w:r>
        <w:rPr>
          <w:rFonts w:ascii="Arial" w:hAnsi="Arial"/>
          <w:color w:val="334155"/>
          <w:sz w:val="19"/>
        </w:rPr>
        <w:t xml:space="preserve"> Verified doctors access assigned patient charts, biomarker histories, ML predictions, and TreeSHAP feature drivers.</w:t>
      </w:r>
    </w:p>
    <w:p>
      <w:pPr>
        <w:pStyle w:val="ListBullet"/>
        <w:spacing w:before="20" w:after="20"/>
      </w:pPr>
      <w:r>
        <w:rPr>
          <w:rFonts w:ascii="Arial" w:hAnsi="Arial"/>
          <w:color w:val="334155"/>
          <w:sz w:val="19"/>
        </w:rPr>
      </w:r>
      <w:r>
        <w:rPr>
          <w:rFonts w:ascii="Arial" w:hAnsi="Arial"/>
          <w:b/>
          <w:color w:val="0F172A"/>
          <w:sz w:val="19"/>
        </w:rPr>
        <w:t>Consultation Notes &amp; Action Plans:</w:t>
      </w:r>
      <w:r>
        <w:rPr>
          <w:rFonts w:ascii="Arial" w:hAnsi="Arial"/>
          <w:color w:val="334155"/>
          <w:sz w:val="19"/>
        </w:rPr>
        <w:t xml:space="preserve"> Doctors enter structured clinical notes, adjust risk classifications, and finalize care plans.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29: ADMIN PORTAL &amp; GOVERNANCE</w:t>
      </w:r>
    </w:p>
    <w:p>
      <w:pPr>
        <w:pStyle w:val="ListBullet"/>
        <w:spacing w:before="20" w:after="20"/>
      </w:pPr>
      <w:r>
        <w:rPr>
          <w:rFonts w:ascii="Arial" w:hAnsi="Arial"/>
          <w:color w:val="334155"/>
          <w:sz w:val="19"/>
        </w:rPr>
      </w:r>
      <w:r>
        <w:rPr>
          <w:rFonts w:ascii="Arial" w:hAnsi="Arial"/>
          <w:b/>
          <w:color w:val="0F172A"/>
          <w:sz w:val="19"/>
        </w:rPr>
        <w:t>System Observability:</w:t>
      </w:r>
      <w:r>
        <w:rPr>
          <w:rFonts w:ascii="Arial" w:hAnsi="Arial"/>
          <w:color w:val="334155"/>
          <w:sz w:val="19"/>
        </w:rPr>
        <w:t xml:space="preserve"> Real-time metrics for database connection pool, API throughput, response latencies, and uptime.</w:t>
      </w:r>
    </w:p>
    <w:p>
      <w:pPr>
        <w:pStyle w:val="ListBullet"/>
        <w:spacing w:before="20" w:after="20"/>
      </w:pPr>
      <w:r>
        <w:rPr>
          <w:rFonts w:ascii="Arial" w:hAnsi="Arial"/>
          <w:color w:val="334155"/>
          <w:sz w:val="19"/>
        </w:rPr>
      </w:r>
      <w:r>
        <w:rPr>
          <w:rFonts w:ascii="Arial" w:hAnsi="Arial"/>
          <w:b/>
          <w:color w:val="0F172A"/>
          <w:sz w:val="19"/>
        </w:rPr>
        <w:t>Doctor Credential Approval Ledger:</w:t>
      </w:r>
      <w:r>
        <w:rPr>
          <w:rFonts w:ascii="Arial" w:hAnsi="Arial"/>
          <w:color w:val="334155"/>
          <w:sz w:val="19"/>
        </w:rPr>
        <w:t xml:space="preserve"> Admin reviews uploaded doctor licenses with inline PDF viewer, approving or rejecting applications with audit logging.</w:t>
      </w:r>
    </w:p>
    <w:p>
      <w:pPr>
        <w:pStyle w:val="ListBullet"/>
        <w:spacing w:before="20" w:after="20"/>
      </w:pPr>
      <w:r>
        <w:rPr>
          <w:rFonts w:ascii="Arial" w:hAnsi="Arial"/>
          <w:color w:val="334155"/>
          <w:sz w:val="19"/>
        </w:rPr>
      </w:r>
      <w:r>
        <w:rPr>
          <w:rFonts w:ascii="Arial" w:hAnsi="Arial"/>
          <w:b/>
          <w:color w:val="0F172A"/>
          <w:sz w:val="19"/>
        </w:rPr>
        <w:t>Cryptographic Audit Ledger:</w:t>
      </w:r>
      <w:r>
        <w:rPr>
          <w:rFonts w:ascii="Arial" w:hAnsi="Arial"/>
          <w:color w:val="334155"/>
          <w:sz w:val="19"/>
        </w:rPr>
        <w:t xml:space="preserve"> Immutable audit trail logging sensitive actions (`USER_LOGIN`, `PATIENT_REGISTER`, `DOCTOR_VERIFY`, `PREDICTION_RUN`, `RECORD_ACCESS`).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30: ROLE-BASED ACCESS CONTROL (RBAC) &amp; IDOR PROTECTION</w:t>
      </w:r>
    </w:p>
    <w:p>
      <w:pPr>
        <w:pStyle w:val="Heading3"/>
        <w:spacing w:before="160" w:after="40"/>
      </w:pPr>
      <w:r>
        <w:rPr>
          <w:rFonts w:ascii="Arial" w:hAnsi="Arial"/>
          <w:b/>
          <w:color w:val="0F172A"/>
          <w:sz w:val="21"/>
        </w:rPr>
        <w:t>30.1 Comprehensive RBAC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Endpoint / Platform Feature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Unauthenticated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Patient Role (`PATIENT`)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Doctor Role (`DOCTOR`)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Admin Role (`ADMIN`)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Public Landing &amp; Info Pages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Register / Login Auth Routes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(Logged in)</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(Logged in)</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(Logged 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Run ML Prediction &amp; TreeSHAP</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Access Own Health Records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(Doctor uses Review)</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(Privacy isolation)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Access Other Patient's Record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(IDOR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(If assigned)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(Strict Privacy)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Book Appointment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Upload Doctor License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Doctor Review Workspace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(If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Approve Doctor Credentials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Only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Audit &amp; Security Ledger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Only</w:t>
            </w:r>
          </w:p>
        </w:tc>
      </w:tr>
    </w:tbl>
    <w:p>
      <w:pPr>
        <w:spacing w:after="120"/>
      </w:pPr>
    </w:p>
    <w:p>
      <w:pPr>
        <w:pStyle w:val="Heading3"/>
        <w:spacing w:before="160" w:after="40"/>
      </w:pPr>
      <w:r>
        <w:rPr>
          <w:rFonts w:ascii="Arial" w:hAnsi="Arial"/>
          <w:b/>
          <w:color w:val="0F172A"/>
          <w:sz w:val="21"/>
        </w:rPr>
        <w:t>30.2 IDOR (Insecure Direct Object Reference) Verification</w:t>
      </w:r>
    </w:p>
    <w:p>
      <w:pPr>
        <w:pStyle w:val="ListBullet"/>
        <w:spacing w:before="20" w:after="20"/>
      </w:pPr>
      <w:r>
        <w:rPr>
          <w:rFonts w:ascii="Arial" w:hAnsi="Arial"/>
          <w:color w:val="334155"/>
          <w:sz w:val="19"/>
        </w:rPr>
      </w:r>
      <w:r>
        <w:rPr>
          <w:rFonts w:ascii="Arial" w:hAnsi="Arial"/>
          <w:b/>
          <w:color w:val="0F172A"/>
          <w:sz w:val="19"/>
        </w:rPr>
        <w:t>Live Test Proof:</w:t>
      </w:r>
      <w:r>
        <w:rPr>
          <w:rFonts w:ascii="Arial" w:hAnsi="Arial"/>
          <w:color w:val="334155"/>
          <w:sz w:val="19"/>
        </w:rPr>
        <w:t xml:space="preserve"> Patient 2 querying `GET /api/v1/records/&lt;Patient_1_Record_ID&gt;` returns HTTP `403 Forbidden`. Patient 2 vault list returns 0 records. Zero data leakage verified.</w:t>
      </w:r>
    </w:p>
    <w:p>
      <w:pPr>
        <w:pStyle w:val="Heading1"/>
        <w:spacing w:before="280" w:after="120"/>
      </w:pPr>
      <w:r>
        <w:rPr>
          <w:rFonts w:ascii="Arial" w:hAnsi="Arial"/>
          <w:b/>
          <w:color w:val="1E3A8A"/>
          <w:sz w:val="30"/>
        </w:rPr>
        <w:t>SECTION 31: DATABASE SCHEMA &amp; ENTITY RELATIONSHIPS</w:t>
      </w:r>
    </w:p>
    <w:p>
      <w:pPr>
        <w:pStyle w:val="Heading3"/>
        <w:spacing w:before="160" w:after="40"/>
      </w:pPr>
      <w:r>
        <w:rPr>
          <w:rFonts w:ascii="Arial" w:hAnsi="Arial"/>
          <w:b/>
          <w:color w:val="0F172A"/>
          <w:sz w:val="21"/>
        </w:rPr>
        <w:t>31.1 Relational Architecture (PostgreSQL 17 on Neon Cloud)</w:t>
      </w:r>
    </w:p>
    <w:p>
      <w:pPr>
        <w:spacing w:before="0" w:after="0"/>
        <w:ind w:left="432"/>
      </w:pPr>
      <w:r>
        <w:rPr>
          <w:rFonts w:ascii="Consolas" w:hAnsi="Consolas"/>
          <w:color w:val="1E293B"/>
          <w:sz w:val="17"/>
        </w:rPr>
        <w:t>┌─────────────────┐       1:1       ┌──────────────────────┐</w:t>
      </w:r>
    </w:p>
    <w:p>
      <w:pPr>
        <w:spacing w:before="0" w:after="0"/>
        <w:ind w:left="432"/>
      </w:pPr>
      <w:r>
        <w:rPr>
          <w:rFonts w:ascii="Consolas" w:hAnsi="Consolas"/>
          <w:color w:val="1E293B"/>
          <w:sz w:val="17"/>
        </w:rPr>
        <w:t>│      users      ├─────────────────┤   patient_profiles   │</w:t>
      </w:r>
    </w:p>
    <w:p>
      <w:pPr>
        <w:spacing w:before="0" w:after="0"/>
        <w:ind w:left="432"/>
      </w:pPr>
      <w:r>
        <w:rPr>
          <w:rFonts w:ascii="Consolas" w:hAnsi="Consolas"/>
          <w:color w:val="1E293B"/>
          <w:sz w:val="17"/>
        </w:rPr>
        <w:t>│  (id, email,    │                 │  (id, user_id, age,  │</w:t>
      </w:r>
    </w:p>
    <w:p>
      <w:pPr>
        <w:spacing w:before="0" w:after="0"/>
        <w:ind w:left="432"/>
      </w:pPr>
      <w:r>
        <w:rPr>
          <w:rFonts w:ascii="Consolas" w:hAnsi="Consolas"/>
          <w:color w:val="1E293B"/>
          <w:sz w:val="17"/>
        </w:rPr>
        <w:t>│   role, hashed) │                 │   gender, contact)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 1:N</w:t>
      </w:r>
    </w:p>
    <w:p>
      <w:pPr>
        <w:spacing w:before="0" w:after="0"/>
        <w:ind w:left="432"/>
      </w:pPr>
      <w:r>
        <w:rPr>
          <w:rFonts w:ascii="Consolas" w:hAnsi="Consolas"/>
          <w:color w:val="1E293B"/>
          <w:sz w:val="17"/>
        </w:rPr>
        <w:t xml:space="preserve">         │ 1:1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    health_records    │</w:t>
      </w:r>
    </w:p>
    <w:p>
      <w:pPr>
        <w:spacing w:before="0" w:after="0"/>
        <w:ind w:left="432"/>
      </w:pPr>
      <w:r>
        <w:rPr>
          <w:rFonts w:ascii="Consolas" w:hAnsi="Consolas"/>
          <w:color w:val="1E293B"/>
          <w:sz w:val="17"/>
        </w:rPr>
        <w:t>┌─────────────────┐                 │ (id, patient_id,     │</w:t>
      </w:r>
    </w:p>
    <w:p>
      <w:pPr>
        <w:spacing w:before="0" w:after="0"/>
        <w:ind w:left="432"/>
      </w:pPr>
      <w:r>
        <w:rPr>
          <w:rFonts w:ascii="Consolas" w:hAnsi="Consolas"/>
          <w:color w:val="1E293B"/>
          <w:sz w:val="17"/>
        </w:rPr>
        <w:t>│ doctor_profiles │                 │  biomarkers, risks)  │</w:t>
      </w:r>
    </w:p>
    <w:p>
      <w:pPr>
        <w:spacing w:before="0" w:after="0"/>
        <w:ind w:left="432"/>
      </w:pPr>
      <w:r>
        <w:rPr>
          <w:rFonts w:ascii="Consolas" w:hAnsi="Consolas"/>
          <w:color w:val="1E293B"/>
          <w:sz w:val="17"/>
        </w:rPr>
        <w:t>│ (id, user_id,   │                 └──────────────────────┘</w:t>
      </w:r>
    </w:p>
    <w:p>
      <w:pPr>
        <w:spacing w:before="0" w:after="0"/>
        <w:ind w:left="432"/>
      </w:pPr>
      <w:r>
        <w:rPr>
          <w:rFonts w:ascii="Consolas" w:hAnsi="Consolas"/>
          <w:color w:val="1E293B"/>
          <w:sz w:val="17"/>
        </w:rPr>
        <w:t>│  license, spec)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1:N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consultations   │</w:t>
      </w:r>
    </w:p>
    <w:p>
      <w:pPr>
        <w:spacing w:before="0" w:after="0"/>
        <w:ind w:left="432"/>
      </w:pPr>
      <w:r>
        <w:rPr>
          <w:rFonts w:ascii="Consolas" w:hAnsi="Consolas"/>
          <w:color w:val="1E293B"/>
          <w:sz w:val="17"/>
        </w:rPr>
        <w:t xml:space="preserve">                   │ (id, patient_id,  │</w:t>
      </w:r>
    </w:p>
    <w:p>
      <w:pPr>
        <w:spacing w:before="0" w:after="0"/>
        <w:ind w:left="432"/>
      </w:pPr>
      <w:r>
        <w:rPr>
          <w:rFonts w:ascii="Consolas" w:hAnsi="Consolas"/>
          <w:color w:val="1E293B"/>
          <w:sz w:val="17"/>
        </w:rPr>
        <w:t xml:space="preserve">                   │  doctor_id, state)│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1:N │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appointments   │   │    messages     │</w:t>
      </w:r>
    </w:p>
    <w:p>
      <w:pPr>
        <w:spacing w:before="0" w:after="0"/>
        <w:ind w:left="432"/>
      </w:pPr>
      <w:r>
        <w:rPr>
          <w:rFonts w:ascii="Consolas" w:hAnsi="Consolas"/>
          <w:color w:val="1E293B"/>
          <w:sz w:val="17"/>
        </w:rPr>
        <w:t xml:space="preserve">         │ (id, slot_time, │   │ (id, sender_id, │</w:t>
      </w:r>
    </w:p>
    <w:p>
      <w:pPr>
        <w:spacing w:before="0" w:after="0"/>
        <w:ind w:left="432"/>
      </w:pPr>
      <w:r>
        <w:rPr>
          <w:rFonts w:ascii="Consolas" w:hAnsi="Consolas"/>
          <w:color w:val="1E293B"/>
          <w:sz w:val="17"/>
        </w:rPr>
        <w:t xml:space="preserve">         │  status, notes) │   │  content, time) │</w:t>
      </w:r>
    </w:p>
    <w:p>
      <w:pPr>
        <w:spacing w:before="0" w:after="0"/>
        <w:ind w:left="432"/>
      </w:pPr>
      <w:r>
        <w:rPr>
          <w:rFonts w:ascii="Consolas" w:hAnsi="Consolas"/>
          <w:color w:val="1E293B"/>
          <w:sz w:val="17"/>
        </w:rPr>
        <w:t xml:space="preserve">         └─────────────────┘   └─────────────────┘</w:t>
      </w:r>
    </w:p>
    <w:p>
      <w:pPr>
        <w:pStyle w:val="Heading3"/>
        <w:spacing w:before="160" w:after="40"/>
      </w:pPr>
      <w:r>
        <w:rPr>
          <w:rFonts w:ascii="Arial" w:hAnsi="Arial"/>
          <w:b/>
          <w:color w:val="0F172A"/>
          <w:sz w:val="21"/>
        </w:rPr>
        <w:t>31.2 Database Tables Inventory</w:t>
      </w:r>
    </w:p>
    <w:p>
      <w:pPr>
        <w:spacing w:before="40" w:after="80"/>
      </w:pPr>
      <w:r>
        <w:rPr>
          <w:rFonts w:ascii="Arial" w:hAnsi="Arial"/>
          <w:color w:val="334155"/>
          <w:sz w:val="19"/>
        </w:rPr>
        <w:t>1. `users` — Primary authentication and RBAC roles (`id`, `email`, `hashed_password`, `role`, `is_active`, `created_at`).</w:t>
      </w:r>
    </w:p>
    <w:p>
      <w:pPr>
        <w:spacing w:before="40" w:after="80"/>
      </w:pPr>
      <w:r>
        <w:rPr>
          <w:rFonts w:ascii="Arial" w:hAnsi="Arial"/>
          <w:color w:val="334155"/>
          <w:sz w:val="19"/>
        </w:rPr>
        <w:t>2. `patient_profiles` — Extended demographic profiles (`user_id`, `age`, `gender`, `contact_number`).</w:t>
      </w:r>
    </w:p>
    <w:p>
      <w:pPr>
        <w:spacing w:before="40" w:after="80"/>
      </w:pPr>
      <w:r>
        <w:rPr>
          <w:rFonts w:ascii="Arial" w:hAnsi="Arial"/>
          <w:color w:val="334155"/>
          <w:sz w:val="19"/>
        </w:rPr>
        <w:t>3. `doctor_profiles` — Clinical specialist profiles (`user_id`, `specialty`, `license_number`, `is_verified`).</w:t>
      </w:r>
    </w:p>
    <w:p>
      <w:pPr>
        <w:spacing w:before="40" w:after="80"/>
      </w:pPr>
      <w:r>
        <w:rPr>
          <w:rFonts w:ascii="Arial" w:hAnsi="Arial"/>
          <w:color w:val="334155"/>
          <w:sz w:val="19"/>
        </w:rPr>
        <w:t>4. `doctor_documents` — Uploaded credential verification files (`doctor_id`, `filename`, `file_type`, `verified_at`).</w:t>
      </w:r>
    </w:p>
    <w:p>
      <w:pPr>
        <w:spacing w:before="40" w:after="80"/>
      </w:pPr>
      <w:r>
        <w:rPr>
          <w:rFonts w:ascii="Arial" w:hAnsi="Arial"/>
          <w:color w:val="334155"/>
          <w:sz w:val="19"/>
        </w:rPr>
        <w:t>5. `health_records` — Immutable patient biomarker logs and assessment outputs (`patient_id`, `biomarkers`, `predictions`).</w:t>
      </w:r>
    </w:p>
    <w:p>
      <w:pPr>
        <w:spacing w:before="40" w:after="80"/>
      </w:pPr>
      <w:r>
        <w:rPr>
          <w:rFonts w:ascii="Arial" w:hAnsi="Arial"/>
          <w:color w:val="334155"/>
          <w:sz w:val="19"/>
        </w:rPr>
        <w:t>6. `consultations` — Clinical consultation state machine (`patient_id`, `doctor_id`, `status`, `notes`).</w:t>
      </w:r>
    </w:p>
    <w:p>
      <w:pPr>
        <w:spacing w:before="40" w:after="80"/>
      </w:pPr>
      <w:r>
        <w:rPr>
          <w:rFonts w:ascii="Arial" w:hAnsi="Arial"/>
          <w:color w:val="334155"/>
          <w:sz w:val="19"/>
        </w:rPr>
        <w:t>7. `appointments` — Calendar schedule slots (`patient_id`, `doctor_id`, `appointment_time`, `status`).</w:t>
      </w:r>
    </w:p>
    <w:p>
      <w:pPr>
        <w:spacing w:before="40" w:after="80"/>
      </w:pPr>
      <w:r>
        <w:rPr>
          <w:rFonts w:ascii="Arial" w:hAnsi="Arial"/>
          <w:color w:val="334155"/>
          <w:sz w:val="19"/>
        </w:rPr>
        <w:t>8. `messages` — Consultation chat messages (`consultation_id`, `sender_id`, `message_text`, `is_read`).</w:t>
      </w:r>
    </w:p>
    <w:p>
      <w:pPr>
        <w:spacing w:before="40" w:after="80"/>
      </w:pPr>
      <w:r>
        <w:rPr>
          <w:rFonts w:ascii="Arial" w:hAnsi="Arial"/>
          <w:color w:val="334155"/>
          <w:sz w:val="19"/>
        </w:rPr>
        <w:t>9. `notifications` — Real-time event notifications (`user_id`, `title`, `message`, `is_read`).</w:t>
      </w:r>
    </w:p>
    <w:p>
      <w:pPr>
        <w:spacing w:before="40" w:after="80"/>
      </w:pPr>
      <w:r>
        <w:rPr>
          <w:rFonts w:ascii="Arial" w:hAnsi="Arial"/>
          <w:color w:val="334155"/>
          <w:sz w:val="19"/>
        </w:rPr>
        <w:t>10. `audit_events` — Hash-chained immutable security audit ledger (`timestamp`, `actor_id`, `action`, `prev_hash`, `event_hash`).</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32: API ARCHITECTURE &amp; ENDPOINT SPECIFICATION</w:t>
      </w:r>
    </w:p>
    <w:p>
      <w:pPr>
        <w:pStyle w:val="Heading3"/>
        <w:spacing w:before="160" w:after="40"/>
      </w:pPr>
      <w:r>
        <w:rPr>
          <w:rFonts w:ascii="Arial" w:hAnsi="Arial"/>
          <w:b/>
          <w:color w:val="0F172A"/>
          <w:sz w:val="21"/>
        </w:rPr>
        <w:t>32.1 Master API Endpoints Directory</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Method</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Endpoint Route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Access Role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Description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 / /api/health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System health check and database readiness probe</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/api/v1/auth/register/patient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Register new patient account and issue JWT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/api/v1/auth/register/doctor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Register new medical specialist account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/api/v1/auth/login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Authenticate user credentials and return JWT bearer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/api/v1/intake/upload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Ingest and parse PDF lab report document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/api/v1/intake/confirm</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Validate and confirm parsed biomarkers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/api/v1/predict/analyze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Execute 7-pathway ML prediction on confirmed session</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/api/v3/predict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Direct stateless multimodal inference across 5 targets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/api/v1/xai/explain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Compute TreeSHAP feature drivers for disease target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/api/v3/xai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Direct stateless TreeSHAP feature attribution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/api/v1/rag/report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Synthesize evidence-grounded medical RAG report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/api/v3/report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Direct stateless RAG clinical report generation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Retrieve patient's personal health records vault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Save new assessment into records vault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Authenticated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List user consultations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Request new doctor consultation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/api/v1/consultations/:id/messages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Participant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Send message in consultation chat thread</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/api/v1/admin/audit-logs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ADMIN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 cryptographic security audit ledger</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/api/v1/admin/doctor-verification/:id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ADMIN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Approve or reject pending doctor credentials</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33: SECURITY, GOVERNANCE &amp; COMPLIANCE</w:t>
      </w:r>
    </w:p>
    <w:p>
      <w:pPr>
        <w:pStyle w:val="ListBullet"/>
        <w:spacing w:before="20" w:after="20"/>
      </w:pPr>
      <w:r>
        <w:rPr>
          <w:rFonts w:ascii="Arial" w:hAnsi="Arial"/>
          <w:color w:val="334155"/>
          <w:sz w:val="19"/>
        </w:rPr>
      </w:r>
      <w:r>
        <w:rPr>
          <w:rFonts w:ascii="Arial" w:hAnsi="Arial"/>
          <w:b/>
          <w:color w:val="0F172A"/>
          <w:sz w:val="19"/>
        </w:rPr>
        <w:t>Authentication:</w:t>
      </w:r>
      <w:r>
        <w:rPr>
          <w:rFonts w:ascii="Arial" w:hAnsi="Arial"/>
          <w:color w:val="334155"/>
          <w:sz w:val="19"/>
        </w:rPr>
        <w:t xml:space="preserve"> JWT (JSON Web Tokens) signed via HMAC-SHA256 with 60-minute access token lifespan.</w:t>
      </w:r>
    </w:p>
    <w:p>
      <w:pPr>
        <w:pStyle w:val="ListBullet"/>
        <w:spacing w:before="20" w:after="20"/>
      </w:pPr>
      <w:r>
        <w:rPr>
          <w:rFonts w:ascii="Arial" w:hAnsi="Arial"/>
          <w:color w:val="334155"/>
          <w:sz w:val="19"/>
        </w:rPr>
      </w:r>
      <w:r>
        <w:rPr>
          <w:rFonts w:ascii="Arial" w:hAnsi="Arial"/>
          <w:b/>
          <w:color w:val="0F172A"/>
          <w:sz w:val="19"/>
        </w:rPr>
        <w:t>Password Security:</w:t>
      </w:r>
      <w:r>
        <w:rPr>
          <w:rFonts w:ascii="Arial" w:hAnsi="Arial"/>
          <w:color w:val="334155"/>
          <w:sz w:val="19"/>
        </w:rPr>
        <w:t xml:space="preserve"> Cryptographic password hashing via PBKDF2 with SHA256 and unique per-user salt.</w:t>
      </w:r>
    </w:p>
    <w:p>
      <w:pPr>
        <w:pStyle w:val="ListBullet"/>
        <w:spacing w:before="20" w:after="20"/>
      </w:pPr>
      <w:r>
        <w:rPr>
          <w:rFonts w:ascii="Arial" w:hAnsi="Arial"/>
          <w:color w:val="334155"/>
          <w:sz w:val="19"/>
        </w:rPr>
      </w:r>
      <w:r>
        <w:rPr>
          <w:rFonts w:ascii="Arial" w:hAnsi="Arial"/>
          <w:b/>
          <w:color w:val="0F172A"/>
          <w:sz w:val="19"/>
        </w:rPr>
        <w:t>Rate Limiting:</w:t>
      </w:r>
      <w:r>
        <w:rPr>
          <w:rFonts w:ascii="Arial" w:hAnsi="Arial"/>
          <w:color w:val="334155"/>
          <w:sz w:val="19"/>
        </w:rPr>
        <w:t xml:space="preserve"> Sliding-window rate limiting on sensitive routes (`/login`, `/register`, `/upload`) mitigating brute-force attacks.</w:t>
      </w:r>
    </w:p>
    <w:p>
      <w:pPr>
        <w:pStyle w:val="ListBullet"/>
        <w:spacing w:before="20" w:after="20"/>
      </w:pPr>
      <w:r>
        <w:rPr>
          <w:rFonts w:ascii="Arial" w:hAnsi="Arial"/>
          <w:color w:val="334155"/>
          <w:sz w:val="19"/>
        </w:rPr>
      </w:r>
      <w:r>
        <w:rPr>
          <w:rFonts w:ascii="Arial" w:hAnsi="Arial"/>
          <w:b/>
          <w:color w:val="0F172A"/>
          <w:sz w:val="19"/>
        </w:rPr>
        <w:t>Audit Ledger:</w:t>
      </w:r>
      <w:r>
        <w:rPr>
          <w:rFonts w:ascii="Arial" w:hAnsi="Arial"/>
          <w:color w:val="334155"/>
          <w:sz w:val="19"/>
        </w:rPr>
        <w:t xml:space="preserve"> SHA256 hash chaining ($H_t = </w:t>
        <w:tab/>
        <w:t xml:space="preserve">ext{SHA256}(H_{t-1} \parallel </w:t>
        <w:tab/>
        <w:t>ext{Event}_t)$) ensuring tamper-evident administrative records.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34: FRONTEND ARCHITECTURE (REACT 18 + VITE)</w:t>
      </w:r>
    </w:p>
    <w:p>
      <w:pPr>
        <w:pStyle w:val="ListBullet"/>
        <w:spacing w:before="20" w:after="20"/>
      </w:pPr>
      <w:r>
        <w:rPr>
          <w:rFonts w:ascii="Arial" w:hAnsi="Arial"/>
          <w:color w:val="334155"/>
          <w:sz w:val="19"/>
        </w:rPr>
      </w:r>
      <w:r>
        <w:rPr>
          <w:rFonts w:ascii="Arial" w:hAnsi="Arial"/>
          <w:b/>
          <w:color w:val="0F172A"/>
          <w:sz w:val="19"/>
        </w:rPr>
        <w:t>Build Tool:</w:t>
      </w:r>
      <w:r>
        <w:rPr>
          <w:rFonts w:ascii="Arial" w:hAnsi="Arial"/>
          <w:color w:val="334155"/>
          <w:sz w:val="19"/>
        </w:rPr>
        <w:t xml:space="preserve"> Vite 5.4+ delivering rapid HMR (Hot Module Replacement) and optimized production rollup bundles.</w:t>
      </w:r>
    </w:p>
    <w:p>
      <w:pPr>
        <w:pStyle w:val="ListBullet"/>
        <w:spacing w:before="20" w:after="20"/>
      </w:pPr>
      <w:r>
        <w:rPr>
          <w:rFonts w:ascii="Arial" w:hAnsi="Arial"/>
          <w:color w:val="334155"/>
          <w:sz w:val="19"/>
        </w:rPr>
      </w:r>
      <w:r>
        <w:rPr>
          <w:rFonts w:ascii="Arial" w:hAnsi="Arial"/>
          <w:b/>
          <w:color w:val="0F172A"/>
          <w:sz w:val="19"/>
        </w:rPr>
        <w:t>UI Framework:</w:t>
      </w:r>
      <w:r>
        <w:rPr>
          <w:rFonts w:ascii="Arial" w:hAnsi="Arial"/>
          <w:color w:val="334155"/>
          <w:sz w:val="19"/>
        </w:rPr>
        <w:t xml:space="preserve"> React 18.2 with Functional Components and Custom Hooks (`useAuth`, `useIntake`, `useAssessment`).</w:t>
      </w:r>
    </w:p>
    <w:p>
      <w:pPr>
        <w:pStyle w:val="ListBullet"/>
        <w:spacing w:before="20" w:after="20"/>
      </w:pPr>
      <w:r>
        <w:rPr>
          <w:rFonts w:ascii="Arial" w:hAnsi="Arial"/>
          <w:color w:val="334155"/>
          <w:sz w:val="19"/>
        </w:rPr>
      </w:r>
      <w:r>
        <w:rPr>
          <w:rFonts w:ascii="Arial" w:hAnsi="Arial"/>
          <w:b/>
          <w:color w:val="0F172A"/>
          <w:sz w:val="19"/>
        </w:rPr>
        <w:t>Design System:</w:t>
      </w:r>
      <w:r>
        <w:rPr>
          <w:rFonts w:ascii="Arial" w:hAnsi="Arial"/>
          <w:color w:val="334155"/>
          <w:sz w:val="19"/>
        </w:rPr>
        <w:t xml:space="preserve"> Vanilla CSS + TailwindCSS utility tokens, custom HSL color palettes, dark mode, glassmorphic surfaces, and Lucide React icons.</w:t>
      </w:r>
    </w:p>
    <w:p>
      <w:pPr>
        <w:pStyle w:val="ListBullet"/>
        <w:spacing w:before="20" w:after="20"/>
      </w:pPr>
      <w:r>
        <w:rPr>
          <w:rFonts w:ascii="Arial" w:hAnsi="Arial"/>
          <w:color w:val="334155"/>
          <w:sz w:val="19"/>
        </w:rPr>
      </w:r>
      <w:r>
        <w:rPr>
          <w:rFonts w:ascii="Arial" w:hAnsi="Arial"/>
          <w:b/>
          <w:color w:val="0F172A"/>
          <w:sz w:val="19"/>
        </w:rPr>
        <w:t>Client-Side Routing:</w:t>
      </w:r>
      <w:r>
        <w:rPr>
          <w:rFonts w:ascii="Arial" w:hAnsi="Arial"/>
          <w:color w:val="334155"/>
          <w:sz w:val="19"/>
        </w:rPr>
        <w:t xml:space="preserve"> React Router DOM v6 with `vercel.json` SPA rewrites (`/(.*) -&gt; /index.html`).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35: BACKEND ARCHITECTURE (FASTAPI + ASGI)</w:t>
      </w:r>
    </w:p>
    <w:p>
      <w:pPr>
        <w:pStyle w:val="ListBullet"/>
        <w:spacing w:before="20" w:after="20"/>
      </w:pPr>
      <w:r>
        <w:rPr>
          <w:rFonts w:ascii="Arial" w:hAnsi="Arial"/>
          <w:color w:val="334155"/>
          <w:sz w:val="19"/>
        </w:rPr>
      </w:r>
      <w:r>
        <w:rPr>
          <w:rFonts w:ascii="Arial" w:hAnsi="Arial"/>
          <w:b/>
          <w:color w:val="0F172A"/>
          <w:sz w:val="19"/>
        </w:rPr>
        <w:t>ASGI Server:</w:t>
      </w:r>
      <w:r>
        <w:rPr>
          <w:rFonts w:ascii="Arial" w:hAnsi="Arial"/>
          <w:color w:val="334155"/>
          <w:sz w:val="19"/>
        </w:rPr>
        <w:t xml:space="preserve"> Uvicorn running asynchronous FastAPI with non-blocking event loops.</w:t>
      </w:r>
    </w:p>
    <w:p>
      <w:pPr>
        <w:pStyle w:val="ListBullet"/>
        <w:spacing w:before="20" w:after="20"/>
      </w:pPr>
      <w:r>
        <w:rPr>
          <w:rFonts w:ascii="Arial" w:hAnsi="Arial"/>
          <w:color w:val="334155"/>
          <w:sz w:val="19"/>
        </w:rPr>
      </w:r>
      <w:r>
        <w:rPr>
          <w:rFonts w:ascii="Arial" w:hAnsi="Arial"/>
          <w:b/>
          <w:color w:val="0F172A"/>
          <w:sz w:val="19"/>
        </w:rPr>
        <w:t>Memory Management:</w:t>
      </w:r>
      <w:r>
        <w:rPr>
          <w:rFonts w:ascii="Arial" w:hAnsi="Arial"/>
          <w:color w:val="334155"/>
          <w:sz w:val="19"/>
        </w:rPr>
        <w:t xml:space="preserve"> Memory-conscious single-worker execution (`--workers 1`) keeping Resident Set Size (RSS) at </w:t>
      </w:r>
      <w:r>
        <w:rPr>
          <w:rFonts w:ascii="Arial" w:hAnsi="Arial"/>
          <w:b/>
          <w:color w:val="0F172A"/>
          <w:sz w:val="19"/>
        </w:rPr>
        <w:t>~449 MB</w:t>
      </w:r>
      <w:r>
        <w:rPr>
          <w:rFonts w:ascii="Arial" w:hAnsi="Arial"/>
          <w:color w:val="334155"/>
          <w:sz w:val="19"/>
        </w:rPr>
        <w:t>, fitting inside Render Free Tier's 512 MB ceiling.</w:t>
      </w:r>
    </w:p>
    <w:p>
      <w:pPr>
        <w:pStyle w:val="ListBullet"/>
        <w:spacing w:before="20" w:after="20"/>
      </w:pPr>
      <w:r>
        <w:rPr>
          <w:rFonts w:ascii="Arial" w:hAnsi="Arial"/>
          <w:color w:val="334155"/>
          <w:sz w:val="19"/>
        </w:rPr>
      </w:r>
      <w:r>
        <w:rPr>
          <w:rFonts w:ascii="Arial" w:hAnsi="Arial"/>
          <w:b/>
          <w:color w:val="0F172A"/>
          <w:sz w:val="19"/>
        </w:rPr>
        <w:t>Exception Sanitization:</w:t>
      </w:r>
      <w:r>
        <w:rPr>
          <w:rFonts w:ascii="Arial" w:hAnsi="Arial"/>
          <w:color w:val="334155"/>
          <w:sz w:val="19"/>
        </w:rPr>
        <w:t xml:space="preserve"> Custom exception handlers prevent stack traces or internal server paths from leaking to clients.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36: COMPLETE TECHNOLOGY STACK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Technology</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Layer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Purpose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Key Advantages</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Trade-Offs / Constraints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React 18</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Frontend UI</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Component hierarchy &amp; state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Fast virtual DOM, declarative UI</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Requires SPA router config</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Vite 5.4</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Frontend Build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Bundler &amp; dev server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12s production build, fast HMR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None in production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FastAPI</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Backend Web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REST API &amp; routing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Asynchronous, auto Pydantic docs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Python GIL on heavy CPU</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Scikit-Learn</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ML Framework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Pipelines &amp; meta-stackers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Standardized API, fast inference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Single-threaded predict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ML Engine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Clinical gradient boosting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High tabular accuracy, L1/L2 reg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Memory overhead during train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LightGBM</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ML Engine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Wearable CGM gradient boosting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Fast histogram binning, GOSS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Requires leaf tuning</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SHAP / TreeSHAP</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Explainability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Shapley feature drivers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Fast polynomial tree attribution</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O(TLD²) complexity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FAISS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Vector DB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In-memory guideline search</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Sub-15ms vector similarity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In-memory RAM consumption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PostgreSQL 17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Relational DB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Primary user &amp; clinical storage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ACID compliance, JSONB support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Connection pool limits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Neon Cloud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Cloud Database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Serverless PostgreSQL hosting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Free tier, instant provisioning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Cold connect handshake (~100ms)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Render</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Backend Cloud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FastAPI web service hosting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Free tier, automatic Git CI/CD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15-min idle spin-down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Vercel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Frontend Cloud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Edge CDN static hosting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Global low latency, instant deploy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Requires proxy rewrites</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37: DOCKER &amp; CONTAINERIZATION</w:t>
      </w:r>
    </w:p>
    <w:p>
      <w:pPr>
        <w:pStyle w:val="ListBullet"/>
        <w:spacing w:before="20" w:after="20"/>
      </w:pPr>
      <w:r>
        <w:rPr>
          <w:rFonts w:ascii="Arial" w:hAnsi="Arial"/>
          <w:color w:val="334155"/>
          <w:sz w:val="19"/>
        </w:rPr>
      </w:r>
      <w:r>
        <w:rPr>
          <w:rFonts w:ascii="Arial" w:hAnsi="Arial"/>
          <w:b/>
          <w:color w:val="0F172A"/>
          <w:sz w:val="19"/>
        </w:rPr>
        <w:t>Multi-Stage Dockerfile:</w:t>
      </w:r>
      <w:r>
        <w:rPr>
          <w:rFonts w:ascii="Arial" w:hAnsi="Arial"/>
          <w:color w:val="334155"/>
          <w:sz w:val="19"/>
        </w:rPr>
        <w:t xml:space="preserve"> Configured in `app/backend/Dockerfile` with Python 3.11-slim base, non-root user execution, and stripped build dependencies.</w:t>
      </w:r>
    </w:p>
    <w:p>
      <w:pPr>
        <w:pStyle w:val="ListBullet"/>
        <w:spacing w:before="20" w:after="20"/>
      </w:pPr>
      <w:r>
        <w:rPr>
          <w:rFonts w:ascii="Arial" w:hAnsi="Arial"/>
          <w:color w:val="334155"/>
          <w:sz w:val="19"/>
        </w:rPr>
      </w:r>
      <w:r>
        <w:rPr>
          <w:rFonts w:ascii="Arial" w:hAnsi="Arial"/>
          <w:b/>
          <w:color w:val="0F172A"/>
          <w:sz w:val="19"/>
        </w:rPr>
        <w:t>Orchestration:</w:t>
      </w:r>
      <w:r>
        <w:rPr>
          <w:rFonts w:ascii="Arial" w:hAnsi="Arial"/>
          <w:color w:val="334155"/>
          <w:sz w:val="19"/>
        </w:rPr>
        <w:t xml:space="preserve"> `deployment/docker/docker-compose.prod.yml` orchestrates backend, PostgreSQL, Redis, and Nginx reverse proxy.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38: ZERO-COST PRODUCTION DEPLOYMENT</w:t>
      </w:r>
    </w:p>
    <w:p>
      <w:pPr>
        <w:spacing w:before="0" w:after="0"/>
        <w:ind w:left="432"/>
      </w:pPr>
      <w:r>
        <w:rPr>
          <w:rFonts w:ascii="Consolas" w:hAnsi="Consolas"/>
          <w:color w:val="1E293B"/>
          <w:sz w:val="17"/>
        </w:rPr>
        <w:t>[Developer: git push origin main]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[Vercel CI/CD]   [Render CI/CD]</w:t>
      </w:r>
    </w:p>
    <w:p>
      <w:pPr>
        <w:spacing w:before="0" w:after="0"/>
        <w:ind w:left="432"/>
      </w:pPr>
      <w:r>
        <w:rPr>
          <w:rFonts w:ascii="Consolas" w:hAnsi="Consolas"/>
          <w:color w:val="1E293B"/>
          <w:sz w:val="17"/>
        </w:rPr>
        <w:t>Builds Frontend  Installs requirements.txt</w:t>
      </w:r>
    </w:p>
    <w:p>
      <w:pPr>
        <w:spacing w:before="0" w:after="0"/>
        <w:ind w:left="432"/>
      </w:pPr>
      <w:r>
        <w:rPr>
          <w:rFonts w:ascii="Consolas" w:hAnsi="Consolas"/>
          <w:color w:val="1E293B"/>
          <w:sz w:val="17"/>
        </w:rPr>
        <w:t>Deploy: Edge     Starts: uvicorn app.backend.main:app</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[Neon PostgreSQL 17]</w:t>
      </w:r>
    </w:p>
    <w:p>
      <w:pPr>
        <w:spacing w:before="0" w:after="0"/>
        <w:ind w:left="432"/>
      </w:pPr>
      <w:r>
        <w:rPr>
          <w:rFonts w:ascii="Consolas" w:hAnsi="Consolas"/>
          <w:color w:val="1E293B"/>
          <w:sz w:val="17"/>
        </w:rPr>
        <w:t xml:space="preserve">       │         Auto-creates tables on boot</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Vercel proxies /api/* to Render</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39: LIVE PRODUCTION VERIFICATION &amp; TELEMETRY</w:t>
      </w:r>
    </w:p>
    <w:p>
      <w:pPr>
        <w:pStyle w:val="ListBullet"/>
        <w:spacing w:before="20" w:after="20"/>
      </w:pPr>
      <w:r>
        <w:rPr>
          <w:rFonts w:ascii="Arial" w:hAnsi="Arial"/>
          <w:color w:val="334155"/>
          <w:sz w:val="19"/>
        </w:rPr>
      </w:r>
      <w:r>
        <w:rPr>
          <w:rFonts w:ascii="Arial" w:hAnsi="Arial"/>
          <w:b/>
          <w:color w:val="0F172A"/>
          <w:sz w:val="19"/>
        </w:rPr>
        <w:t>Live Frontend:</w:t>
      </w:r>
      <w:r>
        <w:rPr>
          <w:rFonts w:ascii="Arial" w:hAnsi="Arial"/>
          <w:color w:val="334155"/>
          <w:sz w:val="19"/>
        </w:rPr>
        <w:t xml:space="preserve"> [`https://tele-med-omega.vercel.app`](https://tele-med-omega.vercel.app)</w:t>
      </w:r>
    </w:p>
    <w:p>
      <w:pPr>
        <w:pStyle w:val="ListBullet"/>
        <w:spacing w:before="20" w:after="20"/>
      </w:pPr>
      <w:r>
        <w:rPr>
          <w:rFonts w:ascii="Arial" w:hAnsi="Arial"/>
          <w:color w:val="334155"/>
          <w:sz w:val="19"/>
        </w:rPr>
      </w:r>
      <w:r>
        <w:rPr>
          <w:rFonts w:ascii="Arial" w:hAnsi="Arial"/>
          <w:b/>
          <w:color w:val="0F172A"/>
          <w:sz w:val="19"/>
        </w:rPr>
        <w:t>Live Backend:</w:t>
      </w:r>
      <w:r>
        <w:rPr>
          <w:rFonts w:ascii="Arial" w:hAnsi="Arial"/>
          <w:color w:val="334155"/>
          <w:sz w:val="19"/>
        </w:rPr>
        <w:t xml:space="preserve"> [`https://telemed-3koh.onrender.com`](https://telemed-3koh.onrender.com)</w:t>
      </w:r>
    </w:p>
    <w:p>
      <w:pPr>
        <w:pStyle w:val="ListBullet"/>
        <w:spacing w:before="20" w:after="20"/>
      </w:pPr>
      <w:r>
        <w:rPr>
          <w:rFonts w:ascii="Arial" w:hAnsi="Arial"/>
          <w:color w:val="334155"/>
          <w:sz w:val="19"/>
        </w:rPr>
      </w:r>
      <w:r>
        <w:rPr>
          <w:rFonts w:ascii="Arial" w:hAnsi="Arial"/>
          <w:b/>
          <w:color w:val="0F172A"/>
          <w:sz w:val="19"/>
        </w:rPr>
        <w:t>Measured Production Latencies:</w:t>
      </w:r>
      <w:r>
        <w:rPr>
          <w:rFonts w:ascii="Arial" w:hAnsi="Arial"/>
          <w:color w:val="334155"/>
          <w:sz w:val="19"/>
        </w:rPr>
      </w:r>
    </w:p>
    <w:p>
      <w:pPr>
        <w:spacing w:before="40" w:after="80"/>
      </w:pPr>
      <w:r>
        <w:rPr>
          <w:rFonts w:ascii="Arial" w:hAnsi="Arial"/>
          <w:color w:val="334155"/>
          <w:sz w:val="19"/>
        </w:rPr>
        <w:t xml:space="preserve">* Root Health Check (`GET /api/health`): </w:t>
      </w:r>
      <w:r>
        <w:rPr>
          <w:rFonts w:ascii="Arial" w:hAnsi="Arial"/>
          <w:b/>
          <w:color w:val="0F172A"/>
          <w:sz w:val="19"/>
        </w:rPr>
        <w:t>0.584s</w:t>
      </w:r>
      <w:r>
        <w:rPr>
          <w:rFonts w:ascii="Arial" w:hAnsi="Arial"/>
          <w:color w:val="334155"/>
          <w:sz w:val="19"/>
        </w:rPr>
      </w:r>
    </w:p>
    <w:p>
      <w:pPr>
        <w:spacing w:before="40" w:after="80"/>
      </w:pPr>
      <w:r>
        <w:rPr>
          <w:rFonts w:ascii="Arial" w:hAnsi="Arial"/>
          <w:color w:val="334155"/>
          <w:sz w:val="19"/>
        </w:rPr>
        <w:t xml:space="preserve">* Patient Registration (`POST /auth/register`): </w:t>
      </w:r>
      <w:r>
        <w:rPr>
          <w:rFonts w:ascii="Arial" w:hAnsi="Arial"/>
          <w:b/>
          <w:color w:val="0F172A"/>
          <w:sz w:val="19"/>
        </w:rPr>
        <w:t>0.358s</w:t>
      </w:r>
      <w:r>
        <w:rPr>
          <w:rFonts w:ascii="Arial" w:hAnsi="Arial"/>
          <w:color w:val="334155"/>
          <w:sz w:val="19"/>
        </w:rPr>
      </w:r>
    </w:p>
    <w:p>
      <w:pPr>
        <w:spacing w:before="40" w:after="80"/>
      </w:pPr>
      <w:r>
        <w:rPr>
          <w:rFonts w:ascii="Arial" w:hAnsi="Arial"/>
          <w:color w:val="334155"/>
          <w:sz w:val="19"/>
        </w:rPr>
        <w:t xml:space="preserve">* Multimodal Inference (`POST /api/v3/predict`): </w:t>
      </w:r>
      <w:r>
        <w:rPr>
          <w:rFonts w:ascii="Arial" w:hAnsi="Arial"/>
          <w:b/>
          <w:color w:val="0F172A"/>
          <w:sz w:val="19"/>
        </w:rPr>
        <w:t>0.407s</w:t>
      </w:r>
      <w:r>
        <w:rPr>
          <w:rFonts w:ascii="Arial" w:hAnsi="Arial"/>
          <w:color w:val="334155"/>
          <w:sz w:val="19"/>
        </w:rPr>
      </w:r>
    </w:p>
    <w:p>
      <w:pPr>
        <w:spacing w:before="40" w:after="80"/>
      </w:pPr>
      <w:r>
        <w:rPr>
          <w:rFonts w:ascii="Arial" w:hAnsi="Arial"/>
          <w:color w:val="334155"/>
          <w:sz w:val="19"/>
        </w:rPr>
        <w:t xml:space="preserve">* TreeSHAP Feature Attribution (`POST /api/v3/xai`): </w:t>
      </w:r>
      <w:r>
        <w:rPr>
          <w:rFonts w:ascii="Arial" w:hAnsi="Arial"/>
          <w:b/>
          <w:color w:val="0F172A"/>
          <w:sz w:val="19"/>
        </w:rPr>
        <w:t>0.380s</w:t>
      </w:r>
      <w:r>
        <w:rPr>
          <w:rFonts w:ascii="Arial" w:hAnsi="Arial"/>
          <w:color w:val="334155"/>
          <w:sz w:val="19"/>
        </w:rPr>
      </w:r>
    </w:p>
    <w:p>
      <w:pPr>
        <w:spacing w:before="40" w:after="80"/>
      </w:pPr>
      <w:r>
        <w:rPr>
          <w:rFonts w:ascii="Arial" w:hAnsi="Arial"/>
          <w:color w:val="334155"/>
          <w:sz w:val="19"/>
        </w:rPr>
        <w:t xml:space="preserve">* Medical RAG Report Synthesis (`POST /api/v3/report`): </w:t>
      </w:r>
      <w:r>
        <w:rPr>
          <w:rFonts w:ascii="Arial" w:hAnsi="Arial"/>
          <w:b/>
          <w:color w:val="0F172A"/>
          <w:sz w:val="19"/>
        </w:rPr>
        <w:t>0.399s</w:t>
      </w:r>
      <w:r>
        <w:rPr>
          <w:rFonts w:ascii="Arial" w:hAnsi="Arial"/>
          <w:color w:val="334155"/>
          <w:sz w:val="19"/>
        </w:rPr>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40: AUTOMATED TESTING &amp; QUALITY ASSURANCE</w:t>
      </w:r>
    </w:p>
    <w:p>
      <w:pPr>
        <w:pStyle w:val="ListBullet"/>
        <w:spacing w:before="20" w:after="20"/>
      </w:pPr>
      <w:r>
        <w:rPr>
          <w:rFonts w:ascii="Arial" w:hAnsi="Arial"/>
          <w:color w:val="334155"/>
          <w:sz w:val="19"/>
        </w:rPr>
      </w:r>
      <w:r>
        <w:rPr>
          <w:rFonts w:ascii="Arial" w:hAnsi="Arial"/>
          <w:b/>
          <w:color w:val="0F172A"/>
          <w:sz w:val="19"/>
        </w:rPr>
        <w:t>Active Test Suite:</w:t>
      </w:r>
      <w:r>
        <w:rPr>
          <w:rFonts w:ascii="Arial" w:hAnsi="Arial"/>
          <w:color w:val="334155"/>
          <w:sz w:val="19"/>
        </w:rPr>
        <w:t xml:space="preserve"> </w:t>
      </w:r>
      <w:r>
        <w:rPr>
          <w:rFonts w:ascii="Arial" w:hAnsi="Arial"/>
          <w:b/>
          <w:color w:val="0F172A"/>
          <w:sz w:val="19"/>
        </w:rPr>
        <w:t>147 / 147 tests passed (100% OK, 0 failures, 0 errors)</w:t>
      </w:r>
      <w:r>
        <w:rPr>
          <w:rFonts w:ascii="Arial" w:hAnsi="Arial"/>
          <w:color w:val="334155"/>
          <w:sz w:val="19"/>
        </w:rPr>
        <w:t xml:space="preserve"> in `34.619s`.</w:t>
      </w:r>
    </w:p>
    <w:p>
      <w:pPr>
        <w:pStyle w:val="ListBullet"/>
        <w:spacing w:before="20" w:after="20"/>
      </w:pPr>
      <w:r>
        <w:rPr>
          <w:rFonts w:ascii="Arial" w:hAnsi="Arial"/>
          <w:color w:val="334155"/>
          <w:sz w:val="19"/>
        </w:rPr>
      </w:r>
      <w:r>
        <w:rPr>
          <w:rFonts w:ascii="Arial" w:hAnsi="Arial"/>
          <w:b/>
          <w:color w:val="0F172A"/>
          <w:sz w:val="19"/>
        </w:rPr>
        <w:t>Test Isolation:</w:t>
      </w:r>
      <w:r>
        <w:rPr>
          <w:rFonts w:ascii="Arial" w:hAnsi="Arial"/>
          <w:color w:val="334155"/>
          <w:sz w:val="19"/>
        </w:rPr>
        <w:t xml:space="preserve"> Dedicated test database fixtures and `setUp` / `tearDown` table purges prevent cross-test state pollution.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41: PERFORMANCE ENGINEERING &amp; CONCURRENCY BENCHMARKS</w:t>
      </w:r>
    </w:p>
    <w:p>
      <w:pPr>
        <w:pStyle w:val="ListBullet"/>
        <w:spacing w:before="20" w:after="20"/>
      </w:pPr>
      <w:r>
        <w:rPr>
          <w:rFonts w:ascii="Arial" w:hAnsi="Arial"/>
          <w:color w:val="334155"/>
          <w:sz w:val="19"/>
        </w:rPr>
      </w:r>
      <w:r>
        <w:rPr>
          <w:rFonts w:ascii="Arial" w:hAnsi="Arial"/>
          <w:b/>
          <w:color w:val="0F172A"/>
          <w:sz w:val="19"/>
        </w:rPr>
        <w:t>Load Test Concurrency ($C = 10, 25, 50, 100$ clients):</w:t>
      </w:r>
      <w:r>
        <w:rPr>
          <w:rFonts w:ascii="Arial" w:hAnsi="Arial"/>
          <w:color w:val="334155"/>
          <w:sz w:val="19"/>
        </w:rPr>
      </w:r>
    </w:p>
    <w:p>
      <w:pPr>
        <w:spacing w:before="40" w:after="80"/>
      </w:pPr>
      <w:r>
        <w:rPr>
          <w:rFonts w:ascii="Arial" w:hAnsi="Arial"/>
          <w:color w:val="334155"/>
          <w:sz w:val="19"/>
        </w:rPr>
        <w:t xml:space="preserve">* Health Probe Throughput: </w:t>
      </w:r>
      <w:r>
        <w:rPr>
          <w:rFonts w:ascii="Arial" w:hAnsi="Arial"/>
          <w:b/>
          <w:color w:val="0F172A"/>
          <w:sz w:val="19"/>
        </w:rPr>
        <w:t>466 – 477 requests/second</w:t>
      </w:r>
      <w:r>
        <w:rPr>
          <w:rFonts w:ascii="Arial" w:hAnsi="Arial"/>
          <w:color w:val="334155"/>
          <w:sz w:val="19"/>
        </w:rPr>
        <w:t xml:space="preserve"> ($p_{50} &lt; 2$ ms).</w:t>
      </w:r>
    </w:p>
    <w:p>
      <w:pPr>
        <w:spacing w:before="40" w:after="80"/>
      </w:pPr>
      <w:r>
        <w:rPr>
          <w:rFonts w:ascii="Arial" w:hAnsi="Arial"/>
          <w:color w:val="334155"/>
          <w:sz w:val="19"/>
        </w:rPr>
        <w:t xml:space="preserve">* Record Retrieval &amp; Consultations: </w:t>
      </w:r>
      <w:r>
        <w:rPr>
          <w:rFonts w:ascii="Arial" w:hAnsi="Arial"/>
          <w:b/>
          <w:color w:val="0F172A"/>
          <w:sz w:val="19"/>
        </w:rPr>
        <w:t>115 – 120 requests/second</w:t>
      </w:r>
      <w:r>
        <w:rPr>
          <w:rFonts w:ascii="Arial" w:hAnsi="Arial"/>
          <w:color w:val="334155"/>
          <w:sz w:val="19"/>
        </w:rPr>
        <w:t xml:space="preserve"> ($p_{50} pprox 7.4$ ms).</w:t>
      </w:r>
    </w:p>
    <w:p>
      <w:pPr>
        <w:spacing w:before="40" w:after="80"/>
      </w:pPr>
      <w:r>
        <w:rPr>
          <w:rFonts w:ascii="Arial" w:hAnsi="Arial"/>
          <w:color w:val="334155"/>
          <w:sz w:val="19"/>
        </w:rPr>
        <w:t xml:space="preserve">* Medical RAG Querying: </w:t>
      </w:r>
      <w:r>
        <w:rPr>
          <w:rFonts w:ascii="Arial" w:hAnsi="Arial"/>
          <w:b/>
          <w:color w:val="0F172A"/>
          <w:sz w:val="19"/>
        </w:rPr>
        <w:t>58 – 60 requests/second</w:t>
      </w:r>
      <w:r>
        <w:rPr>
          <w:rFonts w:ascii="Arial" w:hAnsi="Arial"/>
          <w:color w:val="334155"/>
          <w:sz w:val="19"/>
        </w:rPr>
        <w:t xml:space="preserve"> ($p_{50} pprox 13.6$ ms).</w:t>
      </w:r>
    </w:p>
    <w:p>
      <w:pPr>
        <w:spacing w:before="40" w:after="80"/>
      </w:pPr>
      <w:r>
        <w:rPr>
          <w:rFonts w:ascii="Arial" w:hAnsi="Arial"/>
          <w:color w:val="334155"/>
          <w:sz w:val="19"/>
        </w:rPr>
        <w:t xml:space="preserve">* 7-Pathway ML Inference: </w:t>
      </w:r>
      <w:r>
        <w:rPr>
          <w:rFonts w:ascii="Arial" w:hAnsi="Arial"/>
          <w:b/>
          <w:color w:val="0F172A"/>
          <w:sz w:val="19"/>
        </w:rPr>
        <w:t>15.5 – 16.0 requests/second</w:t>
      </w:r>
      <w:r>
        <w:rPr>
          <w:rFonts w:ascii="Arial" w:hAnsi="Arial"/>
          <w:color w:val="334155"/>
          <w:sz w:val="19"/>
        </w:rPr>
        <w:t xml:space="preserve"> ($p_{50} pprox 53$ ms).</w:t>
      </w:r>
    </w:p>
    <w:p>
      <w:pPr>
        <w:spacing w:before="40" w:after="80"/>
      </w:pPr>
      <w:r>
        <w:rPr>
          <w:rFonts w:ascii="Arial" w:hAnsi="Arial"/>
          <w:color w:val="334155"/>
          <w:sz w:val="19"/>
        </w:rPr>
        <w:t xml:space="preserve">* Unhandled 500 Error Rate: </w:t>
      </w:r>
      <w:r>
        <w:rPr>
          <w:rFonts w:ascii="Arial" w:hAnsi="Arial"/>
          <w:b/>
          <w:color w:val="0F172A"/>
          <w:sz w:val="19"/>
        </w:rPr>
        <w:t>0.0%</w:t>
      </w:r>
      <w:r>
        <w:rPr>
          <w:rFonts w:ascii="Arial" w:hAnsi="Arial"/>
          <w:color w:val="334155"/>
          <w:sz w:val="19"/>
        </w:rPr>
        <w:t>.</w:t>
      </w:r>
    </w:p>
    <w:p>
      <w:pPr>
        <w:pStyle w:val="Heading1"/>
        <w:spacing w:before="280" w:after="120"/>
      </w:pPr>
      <w:r>
        <w:rPr>
          <w:rFonts w:ascii="Arial" w:hAnsi="Arial"/>
          <w:b/>
          <w:color w:val="1E3A8A"/>
          <w:sz w:val="30"/>
        </w:rPr>
        <w:t>SECTION 42: MODEL PERFORMANCE INTERPRETATION GUIDE</w:t>
      </w:r>
    </w:p>
    <w:p>
      <w:pPr>
        <w:pStyle w:val="Heading3"/>
        <w:spacing w:before="160" w:after="40"/>
      </w:pPr>
      <w:r>
        <w:rPr>
          <w:rFonts w:ascii="Arial" w:hAnsi="Arial"/>
          <w:b/>
          <w:color w:val="0F172A"/>
          <w:sz w:val="21"/>
        </w:rPr>
        <w:t>42.1 Mathematical Formulas &amp; Clinical Meanings</w:t>
      </w:r>
    </w:p>
    <w:p>
      <w:pPr>
        <w:spacing w:before="40" w:after="80"/>
      </w:pPr>
      <w:r>
        <w:rPr>
          <w:rFonts w:ascii="Arial" w:hAnsi="Arial"/>
          <w:color w:val="334155"/>
          <w:sz w:val="19"/>
        </w:rPr>
        <w:t>#### 1. Accuracy</w:t>
      </w:r>
    </w:p>
    <w:p>
      <w:pPr>
        <w:spacing w:before="40" w:after="80"/>
      </w:pPr>
      <w:r>
        <w:rPr>
          <w:rFonts w:ascii="Arial" w:hAnsi="Arial"/>
          <w:color w:val="334155"/>
          <w:sz w:val="19"/>
        </w:rPr>
        <w:t>$$</w:t>
        <w:tab/>
        <w:t>ext{Accuracy} = rac{TP + TN}{TP + TN + FP + FN}$$</w:t>
      </w:r>
    </w:p>
    <w:p>
      <w:pPr>
        <w:pStyle w:val="ListBullet"/>
        <w:spacing w:before="20" w:after="20"/>
      </w:pPr>
      <w:r>
        <w:rPr>
          <w:rFonts w:ascii="Arial" w:hAnsi="Arial"/>
          <w:color w:val="334155"/>
          <w:sz w:val="19"/>
        </w:rPr>
      </w:r>
      <w:r>
        <w:rPr>
          <w:rFonts w:ascii="Arial" w:hAnsi="Arial"/>
          <w:b/>
          <w:color w:val="0F172A"/>
          <w:sz w:val="19"/>
        </w:rPr>
        <w:t>Meaning:</w:t>
      </w:r>
      <w:r>
        <w:rPr>
          <w:rFonts w:ascii="Arial" w:hAnsi="Arial"/>
          <w:color w:val="334155"/>
          <w:sz w:val="19"/>
        </w:rPr>
        <w:t xml:space="preserve"> Proportion of total predictions that were correct.</w:t>
      </w:r>
    </w:p>
    <w:p>
      <w:pPr>
        <w:pStyle w:val="ListBullet"/>
        <w:spacing w:before="20" w:after="20"/>
      </w:pPr>
      <w:r>
        <w:rPr>
          <w:rFonts w:ascii="Arial" w:hAnsi="Arial"/>
          <w:color w:val="334155"/>
          <w:sz w:val="19"/>
        </w:rPr>
      </w:r>
      <w:r>
        <w:rPr>
          <w:rFonts w:ascii="Arial" w:hAnsi="Arial"/>
          <w:b/>
          <w:color w:val="0F172A"/>
          <w:sz w:val="19"/>
        </w:rPr>
        <w:t>Limitation:</w:t>
      </w:r>
      <w:r>
        <w:rPr>
          <w:rFonts w:ascii="Arial" w:hAnsi="Arial"/>
          <w:color w:val="334155"/>
          <w:sz w:val="19"/>
        </w:rPr>
        <w:t xml:space="preserve"> Highly misleading under class imbalance. A model predicting 0 for all samples on a 90/10 split achieves 90% accuracy while failing completely on diseased patients.</w:t>
      </w:r>
    </w:p>
    <w:p>
      <w:pPr>
        <w:spacing w:before="40" w:after="80"/>
      </w:pPr>
      <w:r>
        <w:rPr>
          <w:rFonts w:ascii="Arial" w:hAnsi="Arial"/>
          <w:color w:val="334155"/>
          <w:sz w:val="19"/>
        </w:rPr>
        <w:t>#### 2. Precision (Positive Predictive Value - PPV)</w:t>
      </w:r>
    </w:p>
    <w:p>
      <w:pPr>
        <w:spacing w:before="40" w:after="80"/>
      </w:pPr>
      <w:r>
        <w:rPr>
          <w:rFonts w:ascii="Arial" w:hAnsi="Arial"/>
          <w:color w:val="334155"/>
          <w:sz w:val="19"/>
        </w:rPr>
        <w:t>$$</w:t>
        <w:tab/>
        <w:t>ext{Precision} = rac{TP}{TP + FP}$$</w:t>
      </w:r>
    </w:p>
    <w:p>
      <w:pPr>
        <w:pStyle w:val="ListBullet"/>
        <w:spacing w:before="20" w:after="20"/>
      </w:pPr>
      <w:r>
        <w:rPr>
          <w:rFonts w:ascii="Arial" w:hAnsi="Arial"/>
          <w:color w:val="334155"/>
          <w:sz w:val="19"/>
        </w:rPr>
      </w:r>
      <w:r>
        <w:rPr>
          <w:rFonts w:ascii="Arial" w:hAnsi="Arial"/>
          <w:b/>
          <w:color w:val="0F172A"/>
          <w:sz w:val="19"/>
        </w:rPr>
        <w:t>Clinical Meaning:</w:t>
      </w:r>
      <w:r>
        <w:rPr>
          <w:rFonts w:ascii="Arial" w:hAnsi="Arial"/>
          <w:color w:val="334155"/>
          <w:sz w:val="19"/>
        </w:rPr>
        <w:t xml:space="preserve"> When the model predicts a patient has Type 2 Diabetes, how often is the patient actually diabetic? High precision minimizes false alarms and unnecessary clinical anxiety.</w:t>
      </w:r>
    </w:p>
    <w:p>
      <w:pPr>
        <w:spacing w:before="40" w:after="80"/>
      </w:pPr>
      <w:r>
        <w:rPr>
          <w:rFonts w:ascii="Arial" w:hAnsi="Arial"/>
          <w:color w:val="334155"/>
          <w:sz w:val="19"/>
        </w:rPr>
        <w:t>#### 3. Recall / Sensitivity (True Positive Rate - TPR)</w:t>
      </w:r>
    </w:p>
    <w:p>
      <w:pPr>
        <w:spacing w:before="40" w:after="80"/>
      </w:pPr>
      <w:r>
        <w:rPr>
          <w:rFonts w:ascii="Arial" w:hAnsi="Arial"/>
          <w:color w:val="334155"/>
          <w:sz w:val="19"/>
        </w:rPr>
        <w:t>$$</w:t>
        <w:tab/>
        <w:t>ext{Recall} = rac{TP}{TP + FN}$$</w:t>
      </w:r>
    </w:p>
    <w:p>
      <w:pPr>
        <w:pStyle w:val="ListBullet"/>
        <w:spacing w:before="20" w:after="20"/>
      </w:pPr>
      <w:r>
        <w:rPr>
          <w:rFonts w:ascii="Arial" w:hAnsi="Arial"/>
          <w:color w:val="334155"/>
          <w:sz w:val="19"/>
        </w:rPr>
      </w:r>
      <w:r>
        <w:rPr>
          <w:rFonts w:ascii="Arial" w:hAnsi="Arial"/>
          <w:b/>
          <w:color w:val="0F172A"/>
          <w:sz w:val="19"/>
        </w:rPr>
        <w:t>Clinical Meaning:</w:t>
      </w:r>
      <w:r>
        <w:rPr>
          <w:rFonts w:ascii="Arial" w:hAnsi="Arial"/>
          <w:color w:val="334155"/>
          <w:sz w:val="19"/>
        </w:rPr>
        <w:t xml:space="preserve"> Out of all patients who truly have NAFLD, what percentage did the AI catch? High recall prevents missed diagnoses and progressive organ damage.</w:t>
      </w:r>
    </w:p>
    <w:p>
      <w:pPr>
        <w:spacing w:before="40" w:after="80"/>
      </w:pPr>
      <w:r>
        <w:rPr>
          <w:rFonts w:ascii="Arial" w:hAnsi="Arial"/>
          <w:color w:val="334155"/>
          <w:sz w:val="19"/>
        </w:rPr>
        <w:t>#### 4. Specificity (True Negative Rate - TNR)</w:t>
      </w:r>
    </w:p>
    <w:p>
      <w:pPr>
        <w:spacing w:before="40" w:after="80"/>
      </w:pPr>
      <w:r>
        <w:rPr>
          <w:rFonts w:ascii="Arial" w:hAnsi="Arial"/>
          <w:color w:val="334155"/>
          <w:sz w:val="19"/>
        </w:rPr>
        <w:t>$$</w:t>
        <w:tab/>
        <w:t>ext{Specificity} = rac{TN}{TN + FP}$$</w:t>
      </w:r>
    </w:p>
    <w:p>
      <w:pPr>
        <w:pStyle w:val="ListBullet"/>
        <w:spacing w:before="20" w:after="20"/>
      </w:pPr>
      <w:r>
        <w:rPr>
          <w:rFonts w:ascii="Arial" w:hAnsi="Arial"/>
          <w:color w:val="334155"/>
          <w:sz w:val="19"/>
        </w:rPr>
      </w:r>
      <w:r>
        <w:rPr>
          <w:rFonts w:ascii="Arial" w:hAnsi="Arial"/>
          <w:b/>
          <w:color w:val="0F172A"/>
          <w:sz w:val="19"/>
        </w:rPr>
        <w:t>Clinical Meaning:</w:t>
      </w:r>
      <w:r>
        <w:rPr>
          <w:rFonts w:ascii="Arial" w:hAnsi="Arial"/>
          <w:color w:val="334155"/>
          <w:sz w:val="19"/>
        </w:rPr>
        <w:t xml:space="preserve"> Out of all healthy individuals, what percentage were correctly identified as disease-free?</w:t>
      </w:r>
    </w:p>
    <w:p>
      <w:pPr>
        <w:spacing w:before="40" w:after="80"/>
      </w:pPr>
      <w:r>
        <w:rPr>
          <w:rFonts w:ascii="Arial" w:hAnsi="Arial"/>
          <w:color w:val="334155"/>
          <w:sz w:val="19"/>
        </w:rPr>
        <w:t>#### 5. $F_1$ Score &amp; Macro vs. Weighted $F_1$</w:t>
      </w:r>
    </w:p>
    <w:p>
      <w:pPr>
        <w:spacing w:before="40" w:after="80"/>
      </w:pPr>
      <w:r>
        <w:rPr>
          <w:rFonts w:ascii="Arial" w:hAnsi="Arial"/>
          <w:color w:val="334155"/>
          <w:sz w:val="19"/>
        </w:rPr>
        <w:t xml:space="preserve">$$F_1 = 2 </w:t>
        <w:tab/>
        <w:t>imes rac{</w:t>
        <w:tab/>
        <w:t xml:space="preserve">ext{Precision} </w:t>
        <w:tab/>
        <w:t xml:space="preserve">imes </w:t>
        <w:tab/>
        <w:t>ext{Recall}}{</w:t>
        <w:tab/>
        <w:t xml:space="preserve">ext{Precision} + </w:t>
        <w:tab/>
        <w:t>ext{Recall}} = rac{2TP}{2TP + FP + FN}$$</w:t>
      </w:r>
    </w:p>
    <w:p>
      <w:pPr>
        <w:pStyle w:val="ListBullet"/>
        <w:spacing w:before="20" w:after="20"/>
      </w:pPr>
      <w:r>
        <w:rPr>
          <w:rFonts w:ascii="Arial" w:hAnsi="Arial"/>
          <w:color w:val="334155"/>
          <w:sz w:val="19"/>
        </w:rPr>
      </w:r>
      <w:r>
        <w:rPr>
          <w:rFonts w:ascii="Arial" w:hAnsi="Arial"/>
          <w:b/>
          <w:color w:val="0F172A"/>
          <w:sz w:val="19"/>
        </w:rPr>
        <w:t>Macro $F_1$:</w:t>
      </w:r>
      <w:r>
        <w:rPr>
          <w:rFonts w:ascii="Arial" w:hAnsi="Arial"/>
          <w:color w:val="334155"/>
          <w:sz w:val="19"/>
        </w:rPr>
        <w:t xml:space="preserve"> Arithmetic unweighted mean across all classes:</w:t>
      </w:r>
    </w:p>
    <w:p>
      <w:pPr>
        <w:spacing w:before="40" w:after="80"/>
      </w:pPr>
      <w:r>
        <w:rPr>
          <w:rFonts w:ascii="Arial" w:hAnsi="Arial"/>
          <w:color w:val="334155"/>
          <w:sz w:val="19"/>
        </w:rPr>
        <w:t>$$</w:t>
        <w:tab/>
        <w:t>ext{Macro } F_1 = rac{1}{K} \sum_{k=1}^{K} F_{1, k}$$</w:t>
      </w:r>
    </w:p>
    <w:p>
      <w:pPr>
        <w:spacing w:before="40" w:after="80"/>
      </w:pPr>
      <w:r>
        <w:rPr>
          <w:rFonts w:ascii="Arial" w:hAnsi="Arial"/>
          <w:color w:val="334155"/>
          <w:sz w:val="19"/>
        </w:rPr>
        <w:t>*Evaluates every disease class equally regardless of frequency, preventing majority-class dominance.*</w:t>
      </w:r>
    </w:p>
    <w:p>
      <w:pPr>
        <w:pStyle w:val="ListBullet"/>
        <w:spacing w:before="20" w:after="20"/>
      </w:pPr>
      <w:r>
        <w:rPr>
          <w:rFonts w:ascii="Arial" w:hAnsi="Arial"/>
          <w:color w:val="334155"/>
          <w:sz w:val="19"/>
        </w:rPr>
      </w:r>
      <w:r>
        <w:rPr>
          <w:rFonts w:ascii="Arial" w:hAnsi="Arial"/>
          <w:b/>
          <w:color w:val="0F172A"/>
          <w:sz w:val="19"/>
        </w:rPr>
        <w:t>Weighted $F_1$:</w:t>
      </w:r>
      <w:r>
        <w:rPr>
          <w:rFonts w:ascii="Arial" w:hAnsi="Arial"/>
          <w:color w:val="334155"/>
          <w:sz w:val="19"/>
        </w:rPr>
        <w:t xml:space="preserve"> Class support-weighted average:</w:t>
      </w:r>
    </w:p>
    <w:p>
      <w:pPr>
        <w:spacing w:before="40" w:after="80"/>
      </w:pPr>
      <w:r>
        <w:rPr>
          <w:rFonts w:ascii="Arial" w:hAnsi="Arial"/>
          <w:color w:val="334155"/>
          <w:sz w:val="19"/>
        </w:rPr>
        <w:t>$$</w:t>
        <w:tab/>
        <w:t>ext{Weighted } F_1 = \sum_{k=1}^{K} \left(rac{N_k}{N}</w:t>
        <w:br/>
        <w:t>ight) F_{1, k}$$</w:t>
      </w:r>
    </w:p>
    <w:p>
      <w:pPr>
        <w:spacing w:before="40" w:after="80"/>
      </w:pPr>
      <w:r>
        <w:rPr>
          <w:rFonts w:ascii="Arial" w:hAnsi="Arial"/>
          <w:color w:val="334155"/>
          <w:sz w:val="19"/>
        </w:rPr>
        <w:t>#### 6. ROC-AUC (Area Under the Receiver Operating Characteristic Curve)</w:t>
      </w:r>
    </w:p>
    <w:p>
      <w:pPr>
        <w:spacing w:before="40" w:after="80"/>
      </w:pPr>
      <w:r>
        <w:rPr>
          <w:rFonts w:ascii="Arial" w:hAnsi="Arial"/>
          <w:color w:val="334155"/>
          <w:sz w:val="19"/>
        </w:rPr>
        <w:t>$$</w:t>
        <w:tab/>
        <w:t xml:space="preserve">ext{ROC-AUC} = \int_{0}^{1} </w:t>
        <w:tab/>
        <w:t>ext{TPR}(</w:t>
        <w:tab/>
        <w:t>ext{FPR}^{-1}(t)) \, dt$$</w:t>
      </w:r>
    </w:p>
    <w:p>
      <w:pPr>
        <w:pStyle w:val="ListBullet"/>
        <w:spacing w:before="20" w:after="20"/>
      </w:pPr>
      <w:r>
        <w:rPr>
          <w:rFonts w:ascii="Arial" w:hAnsi="Arial"/>
          <w:color w:val="334155"/>
          <w:sz w:val="19"/>
        </w:rPr>
      </w:r>
      <w:r>
        <w:rPr>
          <w:rFonts w:ascii="Arial" w:hAnsi="Arial"/>
          <w:b/>
          <w:color w:val="0F172A"/>
          <w:sz w:val="19"/>
        </w:rPr>
        <w:t>Meaning:</w:t>
      </w:r>
      <w:r>
        <w:rPr>
          <w:rFonts w:ascii="Arial" w:hAnsi="Arial"/>
          <w:color w:val="334155"/>
          <w:sz w:val="19"/>
        </w:rPr>
        <w:t xml:space="preserve"> Probability that the model ranks a randomly chosen positive patient higher than a randomly chosen negative patient across all classification thresholds.</w:t>
      </w:r>
    </w:p>
    <w:p>
      <w:pPr>
        <w:spacing w:before="40" w:after="80"/>
      </w:pPr>
      <w:r>
        <w:rPr>
          <w:rFonts w:ascii="Arial" w:hAnsi="Arial"/>
          <w:color w:val="334155"/>
          <w:sz w:val="19"/>
        </w:rPr>
        <w:t>#### 7. Matthews Correlation Coefficient (MCC)</w:t>
      </w:r>
    </w:p>
    <w:p>
      <w:pPr>
        <w:spacing w:before="40" w:after="80"/>
      </w:pPr>
      <w:r>
        <w:rPr>
          <w:rFonts w:ascii="Arial" w:hAnsi="Arial"/>
          <w:color w:val="334155"/>
          <w:sz w:val="19"/>
        </w:rPr>
        <w:t>$$</w:t>
        <w:tab/>
        <w:t xml:space="preserve">ext{MCC} = rac{(TP </w:t>
        <w:tab/>
        <w:t xml:space="preserve">imes TN) - (FP </w:t>
        <w:tab/>
        <w:t>imes FN)}{\sqrt{(TP+FP)(TP+FN)(TN+FP)(TN+FN)}}$$</w:t>
      </w:r>
    </w:p>
    <w:p>
      <w:pPr>
        <w:pStyle w:val="ListBullet"/>
        <w:spacing w:before="20" w:after="20"/>
      </w:pPr>
      <w:r>
        <w:rPr>
          <w:rFonts w:ascii="Arial" w:hAnsi="Arial"/>
          <w:color w:val="334155"/>
          <w:sz w:val="19"/>
        </w:rPr>
      </w:r>
      <w:r>
        <w:rPr>
          <w:rFonts w:ascii="Arial" w:hAnsi="Arial"/>
          <w:b/>
          <w:color w:val="0F172A"/>
          <w:sz w:val="19"/>
        </w:rPr>
        <w:t>Meaning:</w:t>
      </w:r>
      <w:r>
        <w:rPr>
          <w:rFonts w:ascii="Arial" w:hAnsi="Arial"/>
          <w:color w:val="334155"/>
          <w:sz w:val="19"/>
        </w:rPr>
        <w:t xml:space="preserve"> Balanced metric operating on $[-1, +1]$ that remains robust even under extreme class skew.</w:t>
      </w:r>
    </w:p>
    <w:p>
      <w:pPr>
        <w:spacing w:before="40" w:after="80"/>
      </w:pPr>
      <w:r>
        <w:rPr>
          <w:rFonts w:ascii="Arial" w:hAnsi="Arial"/>
          <w:color w:val="334155"/>
          <w:sz w:val="19"/>
        </w:rPr>
        <w:t>#### 8. Brier Score (Probability Calibration Error)</w:t>
      </w:r>
    </w:p>
    <w:p>
      <w:pPr>
        <w:spacing w:before="40" w:after="80"/>
      </w:pPr>
      <w:r>
        <w:rPr>
          <w:rFonts w:ascii="Arial" w:hAnsi="Arial"/>
          <w:color w:val="334155"/>
          <w:sz w:val="19"/>
        </w:rPr>
        <w:t>$$</w:t>
        <w:tab/>
        <w:t>ext{Brier Score} = rac{1}{N} \sum_{i=1}^{N} (\hat{p}_i - y_i)^2$$</w:t>
      </w:r>
    </w:p>
    <w:p>
      <w:pPr>
        <w:pStyle w:val="ListBullet"/>
        <w:spacing w:before="20" w:after="20"/>
      </w:pPr>
      <w:r>
        <w:rPr>
          <w:rFonts w:ascii="Arial" w:hAnsi="Arial"/>
          <w:color w:val="334155"/>
          <w:sz w:val="19"/>
        </w:rPr>
      </w:r>
      <w:r>
        <w:rPr>
          <w:rFonts w:ascii="Arial" w:hAnsi="Arial"/>
          <w:b/>
          <w:color w:val="0F172A"/>
          <w:sz w:val="19"/>
        </w:rPr>
        <w:t>Meaning:</w:t>
      </w:r>
      <w:r>
        <w:rPr>
          <w:rFonts w:ascii="Arial" w:hAnsi="Arial"/>
          <w:color w:val="334155"/>
          <w:sz w:val="19"/>
        </w:rPr>
        <w:t xml:space="preserve"> Mean squared error between predicted risk probabilities $\hat{p}_i \in [0, 1]$ and binary outcomes $y_i \in \{0, 1\}$. Lower values indicate superior probability reliability.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43: DATASET QUALITY &amp; VALIDITY AUDIT</w:t>
      </w:r>
    </w:p>
    <w:p>
      <w:pPr>
        <w:pStyle w:val="ListBullet"/>
        <w:spacing w:before="20" w:after="20"/>
      </w:pPr>
      <w:r>
        <w:rPr>
          <w:rFonts w:ascii="Arial" w:hAnsi="Arial"/>
          <w:color w:val="334155"/>
          <w:sz w:val="19"/>
        </w:rPr>
      </w:r>
      <w:r>
        <w:rPr>
          <w:rFonts w:ascii="Arial" w:hAnsi="Arial"/>
          <w:b/>
          <w:color w:val="0F172A"/>
          <w:sz w:val="19"/>
        </w:rPr>
        <w:t>Data Leakage Audit:</w:t>
      </w:r>
      <w:r>
        <w:rPr>
          <w:rFonts w:ascii="Arial" w:hAnsi="Arial"/>
          <w:color w:val="334155"/>
          <w:sz w:val="19"/>
        </w:rPr>
        <w:t xml:space="preserve"> Verified that test split patients (`patient_split.csv`) were never present in training matrices. Preprocessing transforms (StandardScaler) were fit strictly on the training set and applied downstream.</w:t>
      </w:r>
    </w:p>
    <w:p>
      <w:pPr>
        <w:pStyle w:val="ListBullet"/>
        <w:spacing w:before="20" w:after="20"/>
      </w:pPr>
      <w:r>
        <w:rPr>
          <w:rFonts w:ascii="Arial" w:hAnsi="Arial"/>
          <w:color w:val="334155"/>
          <w:sz w:val="19"/>
        </w:rPr>
      </w:r>
      <w:r>
        <w:rPr>
          <w:rFonts w:ascii="Arial" w:hAnsi="Arial"/>
          <w:b/>
          <w:color w:val="0F172A"/>
          <w:sz w:val="19"/>
        </w:rPr>
        <w:t>Contamination Defense:</w:t>
      </w:r>
      <w:r>
        <w:rPr>
          <w:rFonts w:ascii="Arial" w:hAnsi="Arial"/>
          <w:color w:val="334155"/>
          <w:sz w:val="19"/>
        </w:rPr>
        <w:t xml:space="preserve"> Multi-target models evaluate true co-morbidities without synthetic feature circularity.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44: MODEL ROBUSTNESS &amp; STRESS TESTING</w:t>
      </w:r>
    </w:p>
    <w:p>
      <w:pPr>
        <w:pStyle w:val="ListBullet"/>
        <w:spacing w:before="20" w:after="20"/>
      </w:pPr>
      <w:r>
        <w:rPr>
          <w:rFonts w:ascii="Arial" w:hAnsi="Arial"/>
          <w:color w:val="334155"/>
          <w:sz w:val="19"/>
        </w:rPr>
      </w:r>
      <w:r>
        <w:rPr>
          <w:rFonts w:ascii="Arial" w:hAnsi="Arial"/>
          <w:b/>
          <w:color w:val="0F172A"/>
          <w:sz w:val="19"/>
        </w:rPr>
        <w:t>Missing Modality Perturbation:</w:t>
      </w:r>
      <w:r>
        <w:rPr>
          <w:rFonts w:ascii="Arial" w:hAnsi="Arial"/>
          <w:color w:val="334155"/>
          <w:sz w:val="19"/>
        </w:rPr>
        <w:t xml:space="preserve"> When 1 or 2 modalities are removed, the system dynamically shifts to unimodal or bimodal pathways without crashing or imputing artificial averages.</w:t>
      </w:r>
    </w:p>
    <w:p>
      <w:pPr>
        <w:pStyle w:val="ListBullet"/>
        <w:spacing w:before="20" w:after="20"/>
      </w:pPr>
      <w:r>
        <w:rPr>
          <w:rFonts w:ascii="Arial" w:hAnsi="Arial"/>
          <w:color w:val="334155"/>
          <w:sz w:val="19"/>
        </w:rPr>
      </w:r>
      <w:r>
        <w:rPr>
          <w:rFonts w:ascii="Arial" w:hAnsi="Arial"/>
          <w:b/>
          <w:color w:val="0F172A"/>
          <w:sz w:val="19"/>
        </w:rPr>
        <w:t>Biomarker Noise Tolerance:</w:t>
      </w:r>
      <w:r>
        <w:rPr>
          <w:rFonts w:ascii="Arial" w:hAnsi="Arial"/>
          <w:color w:val="334155"/>
          <w:sz w:val="19"/>
        </w:rPr>
        <w:t xml:space="preserve"> Gaussian noise ($\pm 5\%$) injected into gut bacterial relative abundances altered predicted probabilities by $&lt;0.032$, demonstrating stable decision boundaries.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45: ERROR ANALYSIS &amp; MISCLASSIFICATION PATTERNS</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CONFUSION ERROR TAXONOMY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Disease Target   │  Primary Error    │          Root Mechanism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Prediabetes      │ False Negative    │ Borderline HbA1c (5.6% vs 5.8%)     │</w:t>
      </w:r>
    </w:p>
    <w:p>
      <w:pPr>
        <w:spacing w:before="0" w:after="0"/>
        <w:ind w:left="432"/>
      </w:pPr>
      <w:r>
        <w:rPr>
          <w:rFonts w:ascii="Consolas" w:hAnsi="Consolas"/>
          <w:color w:val="1E293B"/>
          <w:sz w:val="17"/>
        </w:rPr>
        <w:t>│  Metabolic Syn.   │ False Positive    │ Isolated High Triglycerides         │</w:t>
      </w:r>
    </w:p>
    <w:p>
      <w:pPr>
        <w:spacing w:before="0" w:after="0"/>
        <w:ind w:left="432"/>
      </w:pPr>
      <w:r>
        <w:rPr>
          <w:rFonts w:ascii="Consolas" w:hAnsi="Consolas"/>
          <w:color w:val="1E293B"/>
          <w:sz w:val="17"/>
        </w:rPr>
        <w:t>│  NAFLD            │ False Negative    │ Normal ALT in early-stage steatosis │</w:t>
      </w:r>
    </w:p>
    <w:p>
      <w:pPr>
        <w:spacing w:before="0" w:after="0"/>
        <w:ind w:left="432"/>
      </w:pPr>
      <w:r>
        <w:rPr>
          <w:rFonts w:ascii="Consolas" w:hAnsi="Consolas"/>
          <w:color w:val="1E293B"/>
          <w:sz w:val="17"/>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46: ABLATION &amp; MODALITY CONTRIBUTION ANALYSIS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Evaluated Configuration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Predictive Features Available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ROC-AUC</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Marginal Gain over Baseline</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Modality Alone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89.6%</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0.867</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0.932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Baseline</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Modality Alone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86.4%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0.833</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-3.2% vs Clinical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Microbiome Alone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0.819</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0.885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-4.4% vs Clinical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Bimodal Clinical + Wearable ($C+W$)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92.1%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0.951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+2.5% over Clinical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Bimodal Clinical + Gut ($C+G$)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91.4%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0.889</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0.944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over Clinical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Bimodal Wearable + Gut ($W+G$)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88.7%</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0.858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0.919</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-0.9% vs Clinical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Trimodal Fusion Meta-Learner ($C+W+G$)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82 Upstream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0.971</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+4.6% OVER BEST UNIMODAL</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47: COMPLETE END-TO-END PATIENT WALKTHROUGH</w:t>
      </w:r>
    </w:p>
    <w:p>
      <w:pPr>
        <w:spacing w:before="0" w:after="0"/>
        <w:ind w:left="432"/>
      </w:pPr>
      <w:r>
        <w:rPr>
          <w:rFonts w:ascii="Consolas" w:hAnsi="Consolas"/>
          <w:color w:val="1E293B"/>
          <w:sz w:val="17"/>
        </w:rPr>
        <w:t>1. Patient Intake: Patient uploads PDF blood panel + connects CGM + enters gut test.</w:t>
      </w:r>
    </w:p>
    <w:p>
      <w:pPr>
        <w:spacing w:before="0" w:after="0"/>
        <w:ind w:left="432"/>
      </w:pPr>
      <w:r>
        <w:rPr>
          <w:rFonts w:ascii="Consolas" w:hAnsi="Consolas"/>
          <w:color w:val="1E293B"/>
          <w:sz w:val="17"/>
        </w:rPr>
        <w:t>2. Normalization: 18 Clinical + 15 Wearable + 49 Gut features parsed and validated.</w:t>
      </w:r>
    </w:p>
    <w:p>
      <w:pPr>
        <w:spacing w:before="0" w:after="0"/>
        <w:ind w:left="432"/>
      </w:pPr>
      <w:r>
        <w:rPr>
          <w:rFonts w:ascii="Consolas" w:hAnsi="Consolas"/>
          <w:color w:val="1E293B"/>
          <w:sz w:val="17"/>
        </w:rPr>
        <w:t>3. Routing: Trimodal active ➔ Routes to Pathway 7 (C+W+G Fusion).</w:t>
      </w:r>
    </w:p>
    <w:p>
      <w:pPr>
        <w:spacing w:before="0" w:after="0"/>
        <w:ind w:left="432"/>
      </w:pPr>
      <w:r>
        <w:rPr>
          <w:rFonts w:ascii="Consolas" w:hAnsi="Consolas"/>
          <w:color w:val="1E293B"/>
          <w:sz w:val="17"/>
        </w:rPr>
        <w:t>4. Expert Base Inference: 3 experts generate 15 probability outputs across 5 targets.</w:t>
      </w:r>
    </w:p>
    <w:p>
      <w:pPr>
        <w:spacing w:before="0" w:after="0"/>
        <w:ind w:left="432"/>
      </w:pPr>
      <w:r>
        <w:rPr>
          <w:rFonts w:ascii="Consolas" w:hAnsi="Consolas"/>
          <w:color w:val="1E293B"/>
          <w:sz w:val="17"/>
        </w:rPr>
        <w:t>5. Meta-Stacking: Target meta-models consume [P_C, P_W, P_G] to compute fused calibrated probabilities:</w:t>
      </w:r>
    </w:p>
    <w:p>
      <w:pPr>
        <w:spacing w:before="0" w:after="0"/>
        <w:ind w:left="432"/>
      </w:pPr>
      <w:r>
        <w:rPr>
          <w:rFonts w:ascii="Consolas" w:hAnsi="Consolas"/>
          <w:color w:val="1E293B"/>
          <w:sz w:val="17"/>
        </w:rPr>
        <w:t xml:space="preserve">   - Prediabetes: 0.78 (High Risk)</w:t>
      </w:r>
    </w:p>
    <w:p>
      <w:pPr>
        <w:spacing w:before="0" w:after="0"/>
        <w:ind w:left="432"/>
      </w:pPr>
      <w:r>
        <w:rPr>
          <w:rFonts w:ascii="Consolas" w:hAnsi="Consolas"/>
          <w:color w:val="1E293B"/>
          <w:sz w:val="17"/>
        </w:rPr>
        <w:t xml:space="preserve">   - Type 2 Diabetes: 0.22 (Low Risk)</w:t>
      </w:r>
    </w:p>
    <w:p>
      <w:pPr>
        <w:spacing w:before="0" w:after="0"/>
        <w:ind w:left="432"/>
      </w:pPr>
      <w:r>
        <w:rPr>
          <w:rFonts w:ascii="Consolas" w:hAnsi="Consolas"/>
          <w:color w:val="1E293B"/>
          <w:sz w:val="17"/>
        </w:rPr>
        <w:t xml:space="preserve">   - High Adiposity Risk: 0.64 (Moderate Risk)</w:t>
      </w:r>
    </w:p>
    <w:p>
      <w:pPr>
        <w:spacing w:before="0" w:after="0"/>
        <w:ind w:left="432"/>
      </w:pPr>
      <w:r>
        <w:rPr>
          <w:rFonts w:ascii="Consolas" w:hAnsi="Consolas"/>
          <w:color w:val="1E293B"/>
          <w:sz w:val="17"/>
        </w:rPr>
        <w:t xml:space="preserve">   - Metabolic Syndrome: 0.71 (High Risk)</w:t>
      </w:r>
    </w:p>
    <w:p>
      <w:pPr>
        <w:spacing w:before="0" w:after="0"/>
        <w:ind w:left="432"/>
      </w:pPr>
      <w:r>
        <w:rPr>
          <w:rFonts w:ascii="Consolas" w:hAnsi="Consolas"/>
          <w:color w:val="1E293B"/>
          <w:sz w:val="17"/>
        </w:rPr>
        <w:t xml:space="preserve">   - NAFLD: 0.58 (Moderate Risk)</w:t>
      </w:r>
    </w:p>
    <w:p>
      <w:pPr>
        <w:spacing w:before="0" w:after="0"/>
        <w:ind w:left="432"/>
      </w:pPr>
      <w:r>
        <w:rPr>
          <w:rFonts w:ascii="Consolas" w:hAnsi="Consolas"/>
          <w:color w:val="1E293B"/>
          <w:sz w:val="17"/>
        </w:rPr>
        <w:t>6. TreeSHAP: Generates top drivers: Elevated Fasting Glucose (+0.28), Depleted Akkermansia (+0.14).</w:t>
      </w:r>
    </w:p>
    <w:p>
      <w:pPr>
        <w:spacing w:before="0" w:after="0"/>
        <w:ind w:left="432"/>
      </w:pPr>
      <w:r>
        <w:rPr>
          <w:rFonts w:ascii="Consolas" w:hAnsi="Consolas"/>
          <w:color w:val="1E293B"/>
          <w:sz w:val="17"/>
        </w:rPr>
        <w:t>7. Medical RAG: Retrieves ADA 2024 &amp; EASD guidelines on prediabetes reversal.</w:t>
      </w:r>
    </w:p>
    <w:p>
      <w:pPr>
        <w:spacing w:before="0" w:after="0"/>
        <w:ind w:left="432"/>
      </w:pPr>
      <w:r>
        <w:rPr>
          <w:rFonts w:ascii="Consolas" w:hAnsi="Consolas"/>
          <w:color w:val="1E293B"/>
          <w:sz w:val="17"/>
        </w:rPr>
        <w:t>8. Consultation: Patient schedules virtual appointment with verified endocrinologist.</w:t>
      </w:r>
    </w:p>
    <w:p>
      <w:pPr>
        <w:spacing w:before="0" w:after="0"/>
        <w:ind w:left="432"/>
      </w:pPr>
      <w:r>
        <w:rPr>
          <w:rFonts w:ascii="Consolas" w:hAnsi="Consolas"/>
          <w:color w:val="1E293B"/>
          <w:sz w:val="17"/>
        </w:rPr>
        <w:t>9. Clinical Review: Doctor reviews chart, confirms findings, and sends care plan.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48: CLINICAL SAFETY &amp; REGULATORY BOUNDARIES</w:t>
      </w:r>
    </w:p>
    <w:p>
      <w:pPr>
        <w:pStyle w:val="ListBullet"/>
        <w:spacing w:before="20" w:after="20"/>
      </w:pPr>
      <w:r>
        <w:rPr>
          <w:rFonts w:ascii="Arial" w:hAnsi="Arial"/>
          <w:color w:val="334155"/>
          <w:sz w:val="19"/>
        </w:rPr>
      </w:r>
      <w:r>
        <w:rPr>
          <w:rFonts w:ascii="Arial" w:hAnsi="Arial"/>
          <w:b/>
          <w:color w:val="0F172A"/>
          <w:sz w:val="19"/>
        </w:rPr>
        <w:t>Decision Support Boundary:</w:t>
      </w:r>
      <w:r>
        <w:rPr>
          <w:rFonts w:ascii="Arial" w:hAnsi="Arial"/>
          <w:color w:val="334155"/>
          <w:sz w:val="19"/>
        </w:rPr>
        <w:t xml:space="preserve"> The system is an algorithmic risk-stratification tool, not an autonomous medical device.</w:t>
      </w:r>
    </w:p>
    <w:p>
      <w:pPr>
        <w:pStyle w:val="ListBullet"/>
        <w:spacing w:before="20" w:after="20"/>
      </w:pPr>
      <w:r>
        <w:rPr>
          <w:rFonts w:ascii="Arial" w:hAnsi="Arial"/>
          <w:color w:val="334155"/>
          <w:sz w:val="19"/>
        </w:rPr>
      </w:r>
      <w:r>
        <w:rPr>
          <w:rFonts w:ascii="Arial" w:hAnsi="Arial"/>
          <w:b/>
          <w:color w:val="0F172A"/>
          <w:sz w:val="19"/>
        </w:rPr>
        <w:t>Non-Prescriptive Design:</w:t>
      </w:r>
      <w:r>
        <w:rPr>
          <w:rFonts w:ascii="Arial" w:hAnsi="Arial"/>
          <w:color w:val="334155"/>
          <w:sz w:val="19"/>
        </w:rPr>
        <w:t xml:space="preserve"> TeleMed AI v4 outputs risk tiers and educational summaries, deferring all diagnostic decisions and drug prescriptions to licensed medical doctors.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49: DESIGN TRADE-OFFS &amp; ALTERNATIVES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Architecture Component</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Implemented Design</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Rejected Alternative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Core Reason for Selection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Missing Modality Handling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7-Pathway Routing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Mean/KNN Imputation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Prevents clinical hallucination</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Multimodal Combination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Probability-Level L2 Stacking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Direct 82-Feature Concatenation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Prevents overfitting and allows missing modalities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Explainability Engine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TreeSHAP ($O(TLD^2)$)</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KernelSHAP / LIME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50x faster, exact Shapley values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Guideline Synthesis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Vector RAG (FAISS)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Direct LLM Prompting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Eliminates medical hallucinations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Hosting Model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Vercel + Render + Neon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AWS ECS / EKS Cluster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$0.00 zero-cost production hosting</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50: MASTER PERFORMANCE TABLE (FINAL V4 RELEASE)</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Active Modalities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Primary Classifier Suite</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Upstream Features</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Meta-Features Consumed</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Macro Precision</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Macro Recall</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994"/>
            <w:shd w:fill="1E3A8A"/>
            <w:tcMar>
              <w:top w:w="80" w:type="dxa"/>
              <w:bottom w:w="80" w:type="dxa"/>
              <w:left w:w="100" w:type="dxa"/>
              <w:right w:w="100" w:type="dxa"/>
            </w:tcMar>
          </w:tcPr>
          <w:p>
            <w:pPr>
              <w:spacing w:before="40" w:after="40"/>
            </w:pPr>
            <w:r>
              <w:rPr>
                <w:rFonts w:ascii="Arial" w:hAnsi="Arial"/>
                <w:b/>
                <w:color w:val="FFFFFF"/>
                <w:sz w:val="17"/>
              </w:rPr>
              <w:t>ROC-AUC</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P1</w:t>
            </w:r>
          </w:p>
        </w:tc>
        <w:tc>
          <w:tcPr>
            <w:tcW w:type="dxa" w:w="994"/>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994"/>
            <w:shd w:fill="FFFFFF"/>
            <w:tcMar>
              <w:top w:w="60" w:type="dxa"/>
              <w:bottom w:w="60" w:type="dxa"/>
              <w:left w:w="80" w:type="dxa"/>
              <w:right w:w="80" w:type="dxa"/>
            </w:tcMar>
          </w:tcPr>
          <w:p>
            <w:pPr>
              <w:spacing w:before="20" w:after="20"/>
            </w:pPr>
            <w:r>
              <w:rPr>
                <w:rFonts w:ascii="Arial" w:hAnsi="Arial"/>
                <w:color w:val="0F172A"/>
                <w:sz w:val="16"/>
              </w:rPr>
              <w:t>LogReg / XGBoost Suite</w:t>
            </w:r>
          </w:p>
        </w:tc>
        <w:tc>
          <w:tcPr>
            <w:tcW w:type="dxa" w:w="994"/>
            <w:shd w:fill="FFFFFF"/>
            <w:tcMar>
              <w:top w:w="60" w:type="dxa"/>
              <w:bottom w:w="60" w:type="dxa"/>
              <w:left w:w="80" w:type="dxa"/>
              <w:right w:w="80" w:type="dxa"/>
            </w:tcMar>
          </w:tcPr>
          <w:p>
            <w:pPr>
              <w:spacing w:before="20" w:after="20"/>
            </w:pPr>
            <w:r>
              <w:rPr>
                <w:rFonts w:ascii="Arial" w:hAnsi="Arial"/>
                <w:color w:val="0F172A"/>
                <w:sz w:val="16"/>
              </w:rPr>
              <w:t>18</w:t>
            </w:r>
          </w:p>
        </w:tc>
        <w:tc>
          <w:tcPr>
            <w:tcW w:type="dxa" w:w="994"/>
            <w:shd w:fill="FFFFFF"/>
            <w:tcMar>
              <w:top w:w="60" w:type="dxa"/>
              <w:bottom w:w="60" w:type="dxa"/>
              <w:left w:w="80" w:type="dxa"/>
              <w:right w:w="80" w:type="dxa"/>
            </w:tcMar>
          </w:tcPr>
          <w:p>
            <w:pPr>
              <w:spacing w:before="20" w:after="20"/>
            </w:pPr>
            <w:r>
              <w:rPr>
                <w:rFonts w:ascii="Arial" w:hAnsi="Arial"/>
                <w:color w:val="0F172A"/>
                <w:sz w:val="16"/>
              </w:rPr>
              <w:t>N/A (Direct)</w:t>
            </w:r>
          </w:p>
        </w:tc>
        <w:tc>
          <w:tcPr>
            <w:tcW w:type="dxa" w:w="994"/>
            <w:shd w:fill="FFFFFF"/>
            <w:tcMar>
              <w:top w:w="60" w:type="dxa"/>
              <w:bottom w:w="60" w:type="dxa"/>
              <w:left w:w="80" w:type="dxa"/>
              <w:right w:w="80" w:type="dxa"/>
            </w:tcMar>
          </w:tcPr>
          <w:p>
            <w:pPr>
              <w:spacing w:before="20" w:after="20"/>
            </w:pPr>
            <w:r>
              <w:rPr>
                <w:rFonts w:ascii="Arial" w:hAnsi="Arial"/>
                <w:color w:val="0F172A"/>
                <w:sz w:val="16"/>
              </w:rPr>
              <w:t>89.6%</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0.871</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0.864</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0.867</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0.932</w:t>
            </w:r>
          </w:p>
        </w:tc>
      </w:tr>
      <w:tr>
        <w:tc>
          <w:tcPr>
            <w:tcW w:type="dxa" w:w="994"/>
            <w:shd w:fill="F8FAFC"/>
            <w:tcMar>
              <w:top w:w="60" w:type="dxa"/>
              <w:bottom w:w="60" w:type="dxa"/>
              <w:left w:w="80" w:type="dxa"/>
              <w:right w:w="80" w:type="dxa"/>
            </w:tcMar>
          </w:tcPr>
          <w:p>
            <w:pPr>
              <w:spacing w:before="20" w:after="20"/>
            </w:pPr>
            <w:r>
              <w:rPr>
                <w:rFonts w:ascii="Arial" w:hAnsi="Arial"/>
                <w:color w:val="0F172A"/>
                <w:sz w:val="16"/>
              </w:rPr>
              <w:t>P2</w:t>
            </w:r>
          </w:p>
        </w:tc>
        <w:tc>
          <w:tcPr>
            <w:tcW w:type="dxa" w:w="994"/>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994"/>
            <w:shd w:fill="F8FAFC"/>
            <w:tcMar>
              <w:top w:w="60" w:type="dxa"/>
              <w:bottom w:w="60" w:type="dxa"/>
              <w:left w:w="80" w:type="dxa"/>
              <w:right w:w="80" w:type="dxa"/>
            </w:tcMar>
          </w:tcPr>
          <w:p>
            <w:pPr>
              <w:spacing w:before="20" w:after="20"/>
            </w:pPr>
            <w:r>
              <w:rPr>
                <w:rFonts w:ascii="Arial" w:hAnsi="Arial"/>
                <w:color w:val="0F172A"/>
                <w:sz w:val="16"/>
              </w:rPr>
              <w:t>LogReg / XGB / CatBoost</w:t>
            </w:r>
          </w:p>
        </w:tc>
        <w:tc>
          <w:tcPr>
            <w:tcW w:type="dxa" w:w="994"/>
            <w:shd w:fill="F8FAFC"/>
            <w:tcMar>
              <w:top w:w="60" w:type="dxa"/>
              <w:bottom w:w="60" w:type="dxa"/>
              <w:left w:w="80" w:type="dxa"/>
              <w:right w:w="80" w:type="dxa"/>
            </w:tcMar>
          </w:tcPr>
          <w:p>
            <w:pPr>
              <w:spacing w:before="20" w:after="20"/>
            </w:pPr>
            <w:r>
              <w:rPr>
                <w:rFonts w:ascii="Arial" w:hAnsi="Arial"/>
                <w:color w:val="0F172A"/>
                <w:sz w:val="16"/>
              </w:rPr>
              <w:t>15</w:t>
            </w:r>
          </w:p>
        </w:tc>
        <w:tc>
          <w:tcPr>
            <w:tcW w:type="dxa" w:w="994"/>
            <w:shd w:fill="F8FAFC"/>
            <w:tcMar>
              <w:top w:w="60" w:type="dxa"/>
              <w:bottom w:w="60" w:type="dxa"/>
              <w:left w:w="80" w:type="dxa"/>
              <w:right w:w="80" w:type="dxa"/>
            </w:tcMar>
          </w:tcPr>
          <w:p>
            <w:pPr>
              <w:spacing w:before="20" w:after="20"/>
            </w:pPr>
            <w:r>
              <w:rPr>
                <w:rFonts w:ascii="Arial" w:hAnsi="Arial"/>
                <w:color w:val="0F172A"/>
                <w:sz w:val="16"/>
              </w:rPr>
              <w:t>N/A (Direct)</w:t>
            </w:r>
          </w:p>
        </w:tc>
        <w:tc>
          <w:tcPr>
            <w:tcW w:type="dxa" w:w="994"/>
            <w:shd w:fill="F8FAFC"/>
            <w:tcMar>
              <w:top w:w="60" w:type="dxa"/>
              <w:bottom w:w="60" w:type="dxa"/>
              <w:left w:w="80" w:type="dxa"/>
              <w:right w:w="80" w:type="dxa"/>
            </w:tcMar>
          </w:tcPr>
          <w:p>
            <w:pPr>
              <w:spacing w:before="20" w:after="20"/>
            </w:pPr>
            <w:r>
              <w:rPr>
                <w:rFonts w:ascii="Arial" w:hAnsi="Arial"/>
                <w:color w:val="0F172A"/>
                <w:sz w:val="16"/>
              </w:rPr>
              <w:t>86.4%</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0.838</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0.829</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0.833</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0.898</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P3</w:t>
            </w:r>
          </w:p>
        </w:tc>
        <w:tc>
          <w:tcPr>
            <w:tcW w:type="dxa" w:w="994"/>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994"/>
            <w:shd w:fill="FFFFFF"/>
            <w:tcMar>
              <w:top w:w="60" w:type="dxa"/>
              <w:bottom w:w="60" w:type="dxa"/>
              <w:left w:w="80" w:type="dxa"/>
              <w:right w:w="80" w:type="dxa"/>
            </w:tcMar>
          </w:tcPr>
          <w:p>
            <w:pPr>
              <w:spacing w:before="20" w:after="20"/>
            </w:pPr>
            <w:r>
              <w:rPr>
                <w:rFonts w:ascii="Arial" w:hAnsi="Arial"/>
                <w:color w:val="0F172A"/>
                <w:sz w:val="16"/>
              </w:rPr>
              <w:t>RF / ExtraTrees / LogReg</w:t>
            </w:r>
          </w:p>
        </w:tc>
        <w:tc>
          <w:tcPr>
            <w:tcW w:type="dxa" w:w="994"/>
            <w:shd w:fill="FFFFFF"/>
            <w:tcMar>
              <w:top w:w="60" w:type="dxa"/>
              <w:bottom w:w="60" w:type="dxa"/>
              <w:left w:w="80" w:type="dxa"/>
              <w:right w:w="80" w:type="dxa"/>
            </w:tcMar>
          </w:tcPr>
          <w:p>
            <w:pPr>
              <w:spacing w:before="20" w:after="20"/>
            </w:pPr>
            <w:r>
              <w:rPr>
                <w:rFonts w:ascii="Arial" w:hAnsi="Arial"/>
                <w:color w:val="0F172A"/>
                <w:sz w:val="16"/>
              </w:rPr>
              <w:t>49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N/A (Direct)</w:t>
            </w:r>
          </w:p>
        </w:tc>
        <w:tc>
          <w:tcPr>
            <w:tcW w:type="dxa" w:w="994"/>
            <w:shd w:fill="FFFFFF"/>
            <w:tcMar>
              <w:top w:w="60" w:type="dxa"/>
              <w:bottom w:w="60" w:type="dxa"/>
              <w:left w:w="80" w:type="dxa"/>
              <w:right w:w="80" w:type="dxa"/>
            </w:tcMar>
          </w:tcPr>
          <w:p>
            <w:pPr>
              <w:spacing w:before="20" w:after="20"/>
            </w:pPr>
            <w:r>
              <w:rPr>
                <w:rFonts w:ascii="Arial" w:hAnsi="Arial"/>
                <w:color w:val="0F172A"/>
                <w:sz w:val="16"/>
              </w:rPr>
              <w:t>85.2%</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0.824</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0.815</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0.819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0.885</w:t>
            </w:r>
          </w:p>
        </w:tc>
      </w:tr>
      <w:tr>
        <w:tc>
          <w:tcPr>
            <w:tcW w:type="dxa" w:w="994"/>
            <w:shd w:fill="F8FAFC"/>
            <w:tcMar>
              <w:top w:w="60" w:type="dxa"/>
              <w:bottom w:w="60" w:type="dxa"/>
              <w:left w:w="80" w:type="dxa"/>
              <w:right w:w="80" w:type="dxa"/>
            </w:tcMar>
          </w:tcPr>
          <w:p>
            <w:pPr>
              <w:spacing w:before="20" w:after="20"/>
            </w:pPr>
            <w:r>
              <w:rPr>
                <w:rFonts w:ascii="Arial" w:hAnsi="Arial"/>
                <w:color w:val="0F172A"/>
                <w:sz w:val="16"/>
              </w:rPr>
              <w:t>P4</w:t>
            </w:r>
          </w:p>
        </w:tc>
        <w:tc>
          <w:tcPr>
            <w:tcW w:type="dxa" w:w="994"/>
            <w:shd w:fill="F8FAFC"/>
            <w:tcMar>
              <w:top w:w="60" w:type="dxa"/>
              <w:bottom w:w="60" w:type="dxa"/>
              <w:left w:w="80" w:type="dxa"/>
              <w:right w:w="80" w:type="dxa"/>
            </w:tcMar>
          </w:tcPr>
          <w:p>
            <w:pPr>
              <w:spacing w:before="20" w:after="20"/>
            </w:pPr>
            <w:r>
              <w:rPr>
                <w:rFonts w:ascii="Arial" w:hAnsi="Arial"/>
                <w:color w:val="0F172A"/>
                <w:sz w:val="16"/>
              </w:rPr>
              <w:t>Clinical + Wearable ($C+W$)</w:t>
            </w:r>
          </w:p>
        </w:tc>
        <w:tc>
          <w:tcPr>
            <w:tcW w:type="dxa" w:w="994"/>
            <w:shd w:fill="F8FAFC"/>
            <w:tcMar>
              <w:top w:w="60" w:type="dxa"/>
              <w:bottom w:w="60" w:type="dxa"/>
              <w:left w:w="80" w:type="dxa"/>
              <w:right w:w="80" w:type="dxa"/>
            </w:tcMar>
          </w:tcPr>
          <w:p>
            <w:pPr>
              <w:spacing w:before="20" w:after="20"/>
            </w:pPr>
            <w:r>
              <w:rPr>
                <w:rFonts w:ascii="Arial" w:hAnsi="Arial"/>
                <w:color w:val="0F172A"/>
                <w:sz w:val="16"/>
              </w:rPr>
              <w:t>Stacking Ensemble</w:t>
            </w:r>
          </w:p>
        </w:tc>
        <w:tc>
          <w:tcPr>
            <w:tcW w:type="dxa" w:w="994"/>
            <w:shd w:fill="F8FAFC"/>
            <w:tcMar>
              <w:top w:w="60" w:type="dxa"/>
              <w:bottom w:w="60" w:type="dxa"/>
              <w:left w:w="80" w:type="dxa"/>
              <w:right w:w="80" w:type="dxa"/>
            </w:tcMar>
          </w:tcPr>
          <w:p>
            <w:pPr>
              <w:spacing w:before="20" w:after="20"/>
            </w:pPr>
            <w:r>
              <w:rPr>
                <w:rFonts w:ascii="Arial" w:hAnsi="Arial"/>
                <w:color w:val="0F172A"/>
                <w:sz w:val="16"/>
              </w:rPr>
              <w:t>33 ($18+15$)</w:t>
            </w:r>
          </w:p>
        </w:tc>
        <w:tc>
          <w:tcPr>
            <w:tcW w:type="dxa" w:w="994"/>
            <w:shd w:fill="F8FAFC"/>
            <w:tcMar>
              <w:top w:w="60" w:type="dxa"/>
              <w:bottom w:w="60" w:type="dxa"/>
              <w:left w:w="80" w:type="dxa"/>
              <w:right w:w="80" w:type="dxa"/>
            </w:tcMar>
          </w:tcPr>
          <w:p>
            <w:pPr>
              <w:spacing w:before="20" w:after="20"/>
            </w:pPr>
            <w:r>
              <w:rPr>
                <w:rFonts w:ascii="Arial" w:hAnsi="Arial"/>
                <w:color w:val="0F172A"/>
                <w:sz w:val="16"/>
              </w:rPr>
              <w:t>2 per target</w:t>
            </w:r>
          </w:p>
        </w:tc>
        <w:tc>
          <w:tcPr>
            <w:tcW w:type="dxa" w:w="994"/>
            <w:shd w:fill="F8FAFC"/>
            <w:tcMar>
              <w:top w:w="60" w:type="dxa"/>
              <w:bottom w:w="60" w:type="dxa"/>
              <w:left w:w="80" w:type="dxa"/>
              <w:right w:w="80" w:type="dxa"/>
            </w:tcMar>
          </w:tcPr>
          <w:p>
            <w:pPr>
              <w:spacing w:before="20" w:after="20"/>
            </w:pPr>
            <w:r>
              <w:rPr>
                <w:rFonts w:ascii="Arial" w:hAnsi="Arial"/>
                <w:color w:val="0F172A"/>
                <w:sz w:val="16"/>
              </w:rPr>
              <w:t>92.1%</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0.904</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0.892</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0.898</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0.951</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P5</w:t>
            </w:r>
          </w:p>
        </w:tc>
        <w:tc>
          <w:tcPr>
            <w:tcW w:type="dxa" w:w="994"/>
            <w:shd w:fill="FFFFFF"/>
            <w:tcMar>
              <w:top w:w="60" w:type="dxa"/>
              <w:bottom w:w="60" w:type="dxa"/>
              <w:left w:w="80" w:type="dxa"/>
              <w:right w:w="80" w:type="dxa"/>
            </w:tcMar>
          </w:tcPr>
          <w:p>
            <w:pPr>
              <w:spacing w:before="20" w:after="20"/>
            </w:pPr>
            <w:r>
              <w:rPr>
                <w:rFonts w:ascii="Arial" w:hAnsi="Arial"/>
                <w:color w:val="0F172A"/>
                <w:sz w:val="16"/>
              </w:rPr>
              <w:t>Clinical + Gut ($C+G$)</w:t>
            </w:r>
          </w:p>
        </w:tc>
        <w:tc>
          <w:tcPr>
            <w:tcW w:type="dxa" w:w="994"/>
            <w:shd w:fill="FFFFFF"/>
            <w:tcMar>
              <w:top w:w="60" w:type="dxa"/>
              <w:bottom w:w="60" w:type="dxa"/>
              <w:left w:w="80" w:type="dxa"/>
              <w:right w:w="80" w:type="dxa"/>
            </w:tcMar>
          </w:tcPr>
          <w:p>
            <w:pPr>
              <w:spacing w:before="20" w:after="20"/>
            </w:pPr>
            <w:r>
              <w:rPr>
                <w:rFonts w:ascii="Arial" w:hAnsi="Arial"/>
                <w:color w:val="0F172A"/>
                <w:sz w:val="16"/>
              </w:rPr>
              <w:t>Stacking Ensemble</w:t>
            </w:r>
          </w:p>
        </w:tc>
        <w:tc>
          <w:tcPr>
            <w:tcW w:type="dxa" w:w="994"/>
            <w:shd w:fill="FFFFFF"/>
            <w:tcMar>
              <w:top w:w="60" w:type="dxa"/>
              <w:bottom w:w="60" w:type="dxa"/>
              <w:left w:w="80" w:type="dxa"/>
              <w:right w:w="80" w:type="dxa"/>
            </w:tcMar>
          </w:tcPr>
          <w:p>
            <w:pPr>
              <w:spacing w:before="20" w:after="20"/>
            </w:pPr>
            <w:r>
              <w:rPr>
                <w:rFonts w:ascii="Arial" w:hAnsi="Arial"/>
                <w:color w:val="0F172A"/>
                <w:sz w:val="16"/>
              </w:rPr>
              <w:t>67 ($18+49$)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2 per target</w:t>
            </w:r>
          </w:p>
        </w:tc>
        <w:tc>
          <w:tcPr>
            <w:tcW w:type="dxa" w:w="994"/>
            <w:shd w:fill="FFFFFF"/>
            <w:tcMar>
              <w:top w:w="60" w:type="dxa"/>
              <w:bottom w:w="60" w:type="dxa"/>
              <w:left w:w="80" w:type="dxa"/>
              <w:right w:w="80" w:type="dxa"/>
            </w:tcMar>
          </w:tcPr>
          <w:p>
            <w:pPr>
              <w:spacing w:before="20" w:after="20"/>
            </w:pPr>
            <w:r>
              <w:rPr>
                <w:rFonts w:ascii="Arial" w:hAnsi="Arial"/>
                <w:color w:val="0F172A"/>
                <w:sz w:val="16"/>
              </w:rPr>
              <w:t>91.4%</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0.895</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0.883</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0.889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0.944</w:t>
            </w:r>
          </w:p>
        </w:tc>
      </w:tr>
      <w:tr>
        <w:tc>
          <w:tcPr>
            <w:tcW w:type="dxa" w:w="994"/>
            <w:shd w:fill="F8FAFC"/>
            <w:tcMar>
              <w:top w:w="60" w:type="dxa"/>
              <w:bottom w:w="60" w:type="dxa"/>
              <w:left w:w="80" w:type="dxa"/>
              <w:right w:w="80" w:type="dxa"/>
            </w:tcMar>
          </w:tcPr>
          <w:p>
            <w:pPr>
              <w:spacing w:before="20" w:after="20"/>
            </w:pPr>
            <w:r>
              <w:rPr>
                <w:rFonts w:ascii="Arial" w:hAnsi="Arial"/>
                <w:color w:val="0F172A"/>
                <w:sz w:val="16"/>
              </w:rPr>
              <w:t>P6</w:t>
            </w:r>
          </w:p>
        </w:tc>
        <w:tc>
          <w:tcPr>
            <w:tcW w:type="dxa" w:w="994"/>
            <w:shd w:fill="F8FAFC"/>
            <w:tcMar>
              <w:top w:w="60" w:type="dxa"/>
              <w:bottom w:w="60" w:type="dxa"/>
              <w:left w:w="80" w:type="dxa"/>
              <w:right w:w="80" w:type="dxa"/>
            </w:tcMar>
          </w:tcPr>
          <w:p>
            <w:pPr>
              <w:spacing w:before="20" w:after="20"/>
            </w:pPr>
            <w:r>
              <w:rPr>
                <w:rFonts w:ascii="Arial" w:hAnsi="Arial"/>
                <w:color w:val="0F172A"/>
                <w:sz w:val="16"/>
              </w:rPr>
              <w:t>Wearable + Gut ($W+G$)</w:t>
            </w:r>
          </w:p>
        </w:tc>
        <w:tc>
          <w:tcPr>
            <w:tcW w:type="dxa" w:w="994"/>
            <w:shd w:fill="F8FAFC"/>
            <w:tcMar>
              <w:top w:w="60" w:type="dxa"/>
              <w:bottom w:w="60" w:type="dxa"/>
              <w:left w:w="80" w:type="dxa"/>
              <w:right w:w="80" w:type="dxa"/>
            </w:tcMar>
          </w:tcPr>
          <w:p>
            <w:pPr>
              <w:spacing w:before="20" w:after="20"/>
            </w:pPr>
            <w:r>
              <w:rPr>
                <w:rFonts w:ascii="Arial" w:hAnsi="Arial"/>
                <w:color w:val="0F172A"/>
                <w:sz w:val="16"/>
              </w:rPr>
              <w:t>LogReg Stacker Artifact</w:t>
            </w:r>
          </w:p>
        </w:tc>
        <w:tc>
          <w:tcPr>
            <w:tcW w:type="dxa" w:w="994"/>
            <w:shd w:fill="F8FAFC"/>
            <w:tcMar>
              <w:top w:w="60" w:type="dxa"/>
              <w:bottom w:w="60" w:type="dxa"/>
              <w:left w:w="80" w:type="dxa"/>
              <w:right w:w="80" w:type="dxa"/>
            </w:tcMar>
          </w:tcPr>
          <w:p>
            <w:pPr>
              <w:spacing w:before="20" w:after="20"/>
            </w:pPr>
            <w:r>
              <w:rPr>
                <w:rFonts w:ascii="Arial" w:hAnsi="Arial"/>
                <w:color w:val="0F172A"/>
                <w:sz w:val="16"/>
              </w:rPr>
              <w:t>64 ($15+49$)</w:t>
            </w:r>
          </w:p>
        </w:tc>
        <w:tc>
          <w:tcPr>
            <w:tcW w:type="dxa" w:w="994"/>
            <w:shd w:fill="F8FAFC"/>
            <w:tcMar>
              <w:top w:w="60" w:type="dxa"/>
              <w:bottom w:w="60" w:type="dxa"/>
              <w:left w:w="80" w:type="dxa"/>
              <w:right w:w="80" w:type="dxa"/>
            </w:tcMar>
          </w:tcPr>
          <w:p>
            <w:pPr>
              <w:spacing w:before="20" w:after="20"/>
            </w:pPr>
            <w:r>
              <w:rPr>
                <w:rFonts w:ascii="Arial" w:hAnsi="Arial"/>
                <w:color w:val="0F172A"/>
                <w:sz w:val="16"/>
              </w:rPr>
              <w:t>2 per target</w:t>
            </w:r>
          </w:p>
        </w:tc>
        <w:tc>
          <w:tcPr>
            <w:tcW w:type="dxa" w:w="994"/>
            <w:shd w:fill="F8FAFC"/>
            <w:tcMar>
              <w:top w:w="60" w:type="dxa"/>
              <w:bottom w:w="60" w:type="dxa"/>
              <w:left w:w="80" w:type="dxa"/>
              <w:right w:w="80" w:type="dxa"/>
            </w:tcMar>
          </w:tcPr>
          <w:p>
            <w:pPr>
              <w:spacing w:before="20" w:after="20"/>
            </w:pPr>
            <w:r>
              <w:rPr>
                <w:rFonts w:ascii="Arial" w:hAnsi="Arial"/>
                <w:color w:val="0F172A"/>
                <w:sz w:val="16"/>
              </w:rPr>
              <w:t>88.7%</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0.864</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0.852</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0.858</w:t>
            </w:r>
          </w:p>
        </w:tc>
        <w:tc>
          <w:tcPr>
            <w:tcW w:type="dxa" w:w="994"/>
            <w:shd w:fill="F8FAFC"/>
            <w:tcMar>
              <w:top w:w="60" w:type="dxa"/>
              <w:bottom w:w="60" w:type="dxa"/>
              <w:left w:w="80" w:type="dxa"/>
              <w:right w:w="80" w:type="dxa"/>
            </w:tcMar>
          </w:tcPr>
          <w:p>
            <w:pPr>
              <w:spacing w:before="20" w:after="20"/>
            </w:pPr>
            <w:r>
              <w:rPr>
                <w:rFonts w:ascii="Arial" w:hAnsi="Arial"/>
                <w:color w:val="0F172A"/>
                <w:sz w:val="16"/>
              </w:rPr>
              <w:t>0.919</w:t>
            </w:r>
          </w:p>
        </w:tc>
      </w:tr>
      <w:tr>
        <w:tc>
          <w:tcPr>
            <w:tcW w:type="dxa" w:w="994"/>
            <w:shd w:fill="FFFFFF"/>
            <w:tcMar>
              <w:top w:w="60" w:type="dxa"/>
              <w:bottom w:w="60" w:type="dxa"/>
              <w:left w:w="80" w:type="dxa"/>
              <w:right w:w="80" w:type="dxa"/>
            </w:tcMar>
          </w:tcPr>
          <w:p>
            <w:pPr>
              <w:spacing w:before="20" w:after="20"/>
            </w:pPr>
            <w:r>
              <w:rPr>
                <w:rFonts w:ascii="Arial" w:hAnsi="Arial"/>
                <w:color w:val="0F172A"/>
                <w:sz w:val="16"/>
              </w:rPr>
              <w:t>P7</w:t>
            </w:r>
          </w:p>
        </w:tc>
        <w:tc>
          <w:tcPr>
            <w:tcW w:type="dxa" w:w="994"/>
            <w:shd w:fill="FFFFFF"/>
            <w:tcMar>
              <w:top w:w="60" w:type="dxa"/>
              <w:bottom w:w="60" w:type="dxa"/>
              <w:left w:w="80" w:type="dxa"/>
              <w:right w:w="80" w:type="dxa"/>
            </w:tcMar>
          </w:tcPr>
          <w:p>
            <w:pPr>
              <w:spacing w:before="20" w:after="20"/>
            </w:pPr>
            <w:r>
              <w:rPr>
                <w:rFonts w:ascii="Arial" w:hAnsi="Arial"/>
                <w:color w:val="0F172A"/>
                <w:sz w:val="16"/>
              </w:rPr>
              <w:t>Trimodal Fusion ($C+W+G$)</w:t>
            </w:r>
          </w:p>
        </w:tc>
        <w:tc>
          <w:tcPr>
            <w:tcW w:type="dxa" w:w="994"/>
            <w:shd w:fill="FFFFFF"/>
            <w:tcMar>
              <w:top w:w="60" w:type="dxa"/>
              <w:bottom w:w="60" w:type="dxa"/>
              <w:left w:w="80" w:type="dxa"/>
              <w:right w:w="80" w:type="dxa"/>
            </w:tcMar>
          </w:tcPr>
          <w:p>
            <w:pPr>
              <w:spacing w:before="20" w:after="20"/>
            </w:pPr>
            <w:r>
              <w:rPr>
                <w:rFonts w:ascii="Arial" w:hAnsi="Arial"/>
                <w:color w:val="0F172A"/>
                <w:sz w:val="16"/>
              </w:rPr>
              <w:t>Meta-Stacker (V4 Fusion)</w:t>
            </w:r>
          </w:p>
        </w:tc>
        <w:tc>
          <w:tcPr>
            <w:tcW w:type="dxa" w:w="994"/>
            <w:shd w:fill="FFFFFF"/>
            <w:tcMar>
              <w:top w:w="60" w:type="dxa"/>
              <w:bottom w:w="60" w:type="dxa"/>
              <w:left w:w="80" w:type="dxa"/>
              <w:right w:w="80" w:type="dxa"/>
            </w:tcMar>
          </w:tcPr>
          <w:p>
            <w:pPr>
              <w:spacing w:before="20" w:after="20"/>
            </w:pPr>
            <w:r>
              <w:rPr>
                <w:rFonts w:ascii="Arial" w:hAnsi="Arial"/>
                <w:color w:val="0F172A"/>
                <w:sz w:val="16"/>
              </w:rPr>
              <w:t>82 ($18+15+49$)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3 per target (15 total)</w:t>
            </w:r>
          </w:p>
        </w:tc>
        <w:tc>
          <w:tcPr>
            <w:tcW w:type="dxa" w:w="994"/>
            <w:shd w:fill="FFFFFF"/>
            <w:tcMar>
              <w:top w:w="60" w:type="dxa"/>
              <w:bottom w:w="60" w:type="dxa"/>
              <w:left w:w="80" w:type="dxa"/>
              <w:right w:w="80" w:type="dxa"/>
            </w:tcMar>
          </w:tcPr>
          <w:p>
            <w:pPr>
              <w:spacing w:before="20" w:after="20"/>
            </w:pPr>
            <w:r>
              <w:rPr>
                <w:rFonts w:ascii="Arial" w:hAnsi="Arial"/>
                <w:color w:val="0F172A"/>
                <w:sz w:val="16"/>
              </w:rPr>
              <w:t>94.2%</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0.928</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0.919</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994"/>
            <w:shd w:fill="FFFFFF"/>
            <w:tcMar>
              <w:top w:w="60" w:type="dxa"/>
              <w:bottom w:w="60" w:type="dxa"/>
              <w:left w:w="80" w:type="dxa"/>
              <w:right w:w="80" w:type="dxa"/>
            </w:tcMar>
          </w:tcPr>
          <w:p>
            <w:pPr>
              <w:spacing w:before="20" w:after="20"/>
            </w:pPr>
            <w:r>
              <w:rPr>
                <w:rFonts w:ascii="Arial" w:hAnsi="Arial"/>
                <w:color w:val="0F172A"/>
                <w:sz w:val="16"/>
              </w:rPr>
              <w:t>0.971</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51: FEATURE COUNT CONSISTENCY AUDIT &amp; CROSS-VERSION MATRIX</w:t>
      </w:r>
    </w:p>
    <w:p>
      <w:pPr>
        <w:pStyle w:val="Heading3"/>
        <w:spacing w:before="160" w:after="40"/>
      </w:pPr>
      <w:r>
        <w:rPr>
          <w:rFonts w:ascii="Arial" w:hAnsi="Arial"/>
          <w:b/>
          <w:color w:val="0F172A"/>
          <w:sz w:val="21"/>
        </w:rPr>
        <w:t>51.1 Programmatic Feature Count Consistency Audit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Document / Code Source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Claimed Feature Count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Actual Verified Count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Corrected?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Root Cause &amp; Forensic Explanation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archive/v1/Clinical_Dataset.csv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26 raw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18 predictive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 Corrected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 ID (Patient_ID), 1 target (Healthy), 5 disease labels excluded = 18 features.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archive/v1/Wearable_Dataset.csv</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19 raw columns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predictive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Corrected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V1 had 13 features; V4 added 5 CGM metrics and standardized 15 features.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archive/v1/Gut_Microbiome_Dataset.csv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19 raw columns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49 predictive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 Corrected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V1 had 12 taxa; V4 expanded to 40 species + 9 diversity/functional indices = 49.</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Legacy Prototype Routing Docs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$C=19, W=10, G=10$ ($39$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$C=18, W=15, G=49$ ($82$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Corrected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Early prototype placeholder arithmetic replaced with audited V4 payload schemas.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Stacking Meta-Learner Docs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"Stacker uses 39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Stacker uses 3 per target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 Corrected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Conflation corrected: 82 features available upstream; meta-learner consumes 3 per disease.</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meta-features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3 inputs per target meta-model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3 modalities $</w:t>
              <w:tab/>
              <w:t>imes$ 5 disease targets = 15 total meta-probabilities across 5 models.</w:t>
            </w:r>
          </w:p>
        </w:tc>
      </w:tr>
    </w:tbl>
    <w:p>
      <w:pPr>
        <w:spacing w:after="120"/>
      </w:pPr>
    </w:p>
    <w:p>
      <w:pPr>
        <w:pStyle w:val="Heading3"/>
        <w:spacing w:before="160" w:after="40"/>
      </w:pPr>
      <w:r>
        <w:rPr>
          <w:rFonts w:ascii="Arial" w:hAnsi="Arial"/>
          <w:b/>
          <w:color w:val="0F172A"/>
          <w:sz w:val="21"/>
        </w:rPr>
        <w:t>51.2 Master Cross-Version Model Progression</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Model Evaluation Pipeline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Metric</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V1 Dataset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V2 Dataset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V3 Dataset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V4 Final Dataset</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Absolute Gain (V1 $</w:t>
              <w:tab/>
              <w:t>o$ V4)</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Expert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Accuracy</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82.4%</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86.8%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88.5%</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89.6%</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+7.2%</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Clinical Expert ($C$)</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Macro F1</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0.767</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0.826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0.852</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0.867</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+10.0%</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Expert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ROC-AUC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0.842</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0.895</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0.918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0.932</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+9.0%</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Expert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Accuracy</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79.1%</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83.2%</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85.1%</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86.4%</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+7.3%</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Wearable Expert ($W$)</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Macro F1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0.729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0.789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0.815</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0.833</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+10.4%</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Gut Expert ($G$)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Accuracy</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76.5%</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81.0%</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83.7%</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85.2%</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+8.7%</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Expert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Macro F1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0.702</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0.763</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0.798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0.819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+11.7%</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Trimodal Fusion ($C+W+G$)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Accuracy</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85.8%</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90.1%</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92.4%</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94.2%</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+8.4%</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Trimodal Fusion ($C+W+G$)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Macro F1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0.804</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0.868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0.898</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+11.9%</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Trimodal Fusion ($C+W+G$)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ROC-AUC</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0.882</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0.934</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0.955</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0.971</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+8.9%</w:t>
            </w:r>
          </w:p>
        </w:tc>
      </w:tr>
    </w:tbl>
    <w:p>
      <w:pPr>
        <w:spacing w:after="120"/>
      </w:pPr>
    </w:p>
    <w:p>
      <w:pPr>
        <w:pStyle w:val="Heading1"/>
        <w:spacing w:before="280" w:after="120"/>
      </w:pPr>
      <w:r>
        <w:rPr>
          <w:rFonts w:ascii="Arial" w:hAnsi="Arial"/>
          <w:b/>
          <w:color w:val="1E3A8A"/>
          <w:sz w:val="30"/>
        </w:rPr>
        <w:t>SECTION 52: ACADEMIC &amp; TECHNICAL VIVA QUESTIONS AND ANSWERS</w:t>
      </w:r>
    </w:p>
    <w:p>
      <w:pPr>
        <w:pStyle w:val="Heading3"/>
        <w:spacing w:before="160" w:after="40"/>
      </w:pPr>
      <w:r>
        <w:rPr>
          <w:rFonts w:ascii="Arial" w:hAnsi="Arial"/>
          <w:b/>
          <w:color w:val="0F172A"/>
          <w:sz w:val="21"/>
        </w:rPr>
        <w:t>Q1: Why did you build a 7-pathway architecture instead of imputing missing data into a single trimodal neural network?</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In healthcare AI, missing data is not missing at random (MNAR); it represents real clinical variability (e.g. a patient cannot afford a metagenomic sequencing kit or does not wear a CGM). Imputing synthetic averages via mean, median, or KNN creates artificial biomarker relationships, yielding false clinical confidence and severe contamination. A 7-pathway routing system ensures that when data is absent, the missing modalities remain strictly `null`, executing specialized models trained solely on the available feature subset.</w:t>
      </w:r>
    </w:p>
    <w:p>
      <w:pPr>
        <w:pStyle w:val="Heading3"/>
        <w:spacing w:before="160" w:after="40"/>
      </w:pPr>
      <w:r>
        <w:rPr>
          <w:rFonts w:ascii="Arial" w:hAnsi="Arial"/>
          <w:b/>
          <w:color w:val="0F172A"/>
          <w:sz w:val="21"/>
        </w:rPr>
        <w:t>Q2: Exactly how many predictive features enter the base expert models versus the meta-stacker in Pathway 7 ($C+W+G$)?</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This requires distinguishing upstream modality features from downstream meta-features:</w:t>
      </w:r>
    </w:p>
    <w:p>
      <w:pPr>
        <w:spacing w:before="40" w:after="80"/>
      </w:pPr>
      <w:r>
        <w:rPr>
          <w:rFonts w:ascii="Arial" w:hAnsi="Arial"/>
          <w:color w:val="334155"/>
          <w:sz w:val="19"/>
        </w:rPr>
        <w:t xml:space="preserve">1. </w:t>
      </w:r>
      <w:r>
        <w:rPr>
          <w:rFonts w:ascii="Arial" w:hAnsi="Arial"/>
          <w:b/>
          <w:color w:val="0F172A"/>
          <w:sz w:val="19"/>
        </w:rPr>
        <w:t>Upstream Modality Features (82 Total):</w:t>
      </w:r>
      <w:r>
        <w:rPr>
          <w:rFonts w:ascii="Arial" w:hAnsi="Arial"/>
          <w:color w:val="334155"/>
          <w:sz w:val="19"/>
        </w:rPr>
        <w:t xml:space="preserve"> The Clinical expert processes </w:t>
      </w:r>
      <w:r>
        <w:rPr>
          <w:rFonts w:ascii="Arial" w:hAnsi="Arial"/>
          <w:b/>
          <w:color w:val="0F172A"/>
          <w:sz w:val="19"/>
        </w:rPr>
        <w:t>18 features</w:t>
      </w:r>
      <w:r>
        <w:rPr>
          <w:rFonts w:ascii="Arial" w:hAnsi="Arial"/>
          <w:color w:val="334155"/>
          <w:sz w:val="19"/>
        </w:rPr>
        <w:t xml:space="preserve">, the Wearable expert processes </w:t>
      </w:r>
      <w:r>
        <w:rPr>
          <w:rFonts w:ascii="Arial" w:hAnsi="Arial"/>
          <w:b/>
          <w:color w:val="0F172A"/>
          <w:sz w:val="19"/>
        </w:rPr>
        <w:t>15 features</w:t>
      </w:r>
      <w:r>
        <w:rPr>
          <w:rFonts w:ascii="Arial" w:hAnsi="Arial"/>
          <w:color w:val="334155"/>
          <w:sz w:val="19"/>
        </w:rPr>
        <w:t xml:space="preserve"> (10 standard + 5 CGM), and the Gut Microbiome expert processes </w:t>
      </w:r>
      <w:r>
        <w:rPr>
          <w:rFonts w:ascii="Arial" w:hAnsi="Arial"/>
          <w:b/>
          <w:color w:val="0F172A"/>
          <w:sz w:val="19"/>
        </w:rPr>
        <w:t>49 features</w:t>
      </w:r>
      <w:r>
        <w:rPr>
          <w:rFonts w:ascii="Arial" w:hAnsi="Arial"/>
          <w:color w:val="334155"/>
          <w:sz w:val="19"/>
        </w:rPr>
        <w:t xml:space="preserve"> (40 taxa + 9 diversity/functional indices), yielding $18 + 15 + 49 = \mathbf{82}$ total predictive biomarkers.</w:t>
      </w:r>
    </w:p>
    <w:p>
      <w:pPr>
        <w:spacing w:before="40" w:after="80"/>
      </w:pPr>
      <w:r>
        <w:rPr>
          <w:rFonts w:ascii="Arial" w:hAnsi="Arial"/>
          <w:color w:val="334155"/>
          <w:sz w:val="19"/>
        </w:rPr>
        <w:t xml:space="preserve">2. </w:t>
      </w:r>
      <w:r>
        <w:rPr>
          <w:rFonts w:ascii="Arial" w:hAnsi="Arial"/>
          <w:b/>
          <w:color w:val="0F172A"/>
          <w:sz w:val="19"/>
        </w:rPr>
        <w:t>Meta-Learner Inputs (3 per disease target, 15 total outputs):</w:t>
      </w:r>
      <w:r>
        <w:rPr>
          <w:rFonts w:ascii="Arial" w:hAnsi="Arial"/>
          <w:color w:val="334155"/>
          <w:sz w:val="19"/>
        </w:rPr>
        <w:t xml:space="preserve"> Each expert outputs calibrated probabilities across 5 disease targets ($3 </w:t>
        <w:tab/>
        <w:t xml:space="preserve">imes 5 = 15$ total probability outputs). The target-specific stacking meta-learner (L2-regularized logistic regression or LightGBM) directly consumes the </w:t>
      </w:r>
      <w:r>
        <w:rPr>
          <w:rFonts w:ascii="Arial" w:hAnsi="Arial"/>
          <w:b/>
          <w:color w:val="0F172A"/>
          <w:sz w:val="19"/>
        </w:rPr>
        <w:t>3 expert probabilities for that specific target</w:t>
      </w:r>
      <w:r>
        <w:rPr>
          <w:rFonts w:ascii="Arial" w:hAnsi="Arial"/>
          <w:color w:val="334155"/>
          <w:sz w:val="19"/>
        </w:rPr>
        <w:t xml:space="preserve"> ($[P_{C, d}, P_{W, d}, P_{G, d}]$), verified by $n\_features\_in\_ = 3$ in `v4_multimodal_fusion_payload.joblib`.</w:t>
      </w:r>
    </w:p>
    <w:p>
      <w:pPr>
        <w:pStyle w:val="Heading3"/>
        <w:spacing w:before="160" w:after="40"/>
      </w:pPr>
      <w:r>
        <w:rPr>
          <w:rFonts w:ascii="Arial" w:hAnsi="Arial"/>
          <w:b/>
          <w:color w:val="0F172A"/>
          <w:sz w:val="21"/>
        </w:rPr>
        <w:t>Q3: Why is Macro F1 a more critical metric than Accuracy for this platform?</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Accuracy is vulnerable to class imbalance. In metabolic conditions like NAFLD or Prediabetes where positive prevalence in clinical samples is ~25–30%, a naive classifier predicting negative for all instances would achieve ~70–75% accuracy while possessing a clinical utility of zero. Macro $F_1$ computes the arithmetic mean of $F_1$ scores across all classes equally, penalizing poor performance on minority disease classes.</w:t>
      </w:r>
    </w:p>
    <w:p>
      <w:pPr>
        <w:pStyle w:val="Heading3"/>
        <w:spacing w:before="160" w:after="40"/>
      </w:pPr>
      <w:r>
        <w:rPr>
          <w:rFonts w:ascii="Arial" w:hAnsi="Arial"/>
          <w:b/>
          <w:color w:val="0F172A"/>
          <w:sz w:val="21"/>
        </w:rPr>
        <w:t>Q4: How does TreeSHAP achieve polynomial time complexity over KernelSHAP?</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Classical Shapley value calculation requires computing marginal feature contributions across all $2^{|F|}$ subsets (exponential complexity). TreeSHAP exploits the internal decision tree structure: by recursively keeping track of the proportion of training instances that flow down each subtree branch, it calculates exact Shapley values in $O(T L D^2)$ time, where $T$ is the number of trees, $L$ is max leaves, and $D$ is maximum tree depth.</w:t>
      </w:r>
    </w:p>
    <w:p>
      <w:pPr>
        <w:pStyle w:val="Heading3"/>
        <w:spacing w:before="160" w:after="40"/>
      </w:pPr>
      <w:r>
        <w:rPr>
          <w:rFonts w:ascii="Arial" w:hAnsi="Arial"/>
          <w:b/>
          <w:color w:val="0F172A"/>
          <w:sz w:val="21"/>
        </w:rPr>
        <w:t>Q5: Why did you select Stacking with L2 Logistic Regression over simple Soft Voting for multimodal fusion?</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Soft voting assigns fixed, equal weights ($w = 1/3$) to all modalities, assuming that Clinical, Wearable, and Gut experts are equally reliable for every disease. In reality, Clinical labs dominate Type 2 Diabetes detection ($eta_C = 1.013, eta_W = 0.246, eta_G = 0.000$), while Gut microbiome and wearable features provide crucial secondary signals for High Adiposity Risk and Metabolic Syndrome. Stacking with an L2-regularized logistic meta-learner learns the optimal cross-disease weighting while penalizing extreme coefficients to prevent overfitting.</w:t>
      </w:r>
    </w:p>
    <w:p>
      <w:pPr>
        <w:pStyle w:val="Heading3"/>
        <w:spacing w:before="160" w:after="40"/>
      </w:pPr>
      <w:r>
        <w:rPr>
          <w:rFonts w:ascii="Arial" w:hAnsi="Arial"/>
          <w:b/>
          <w:color w:val="0F172A"/>
          <w:sz w:val="21"/>
        </w:rPr>
        <w:t>Q6: How does your Medical RAG prevent generative hallucinations?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Rather than allowing an unconstrained LLM to generate freeform medical advice, TeleMed AI v4 uses a vector retrieval pipeline over an in-memory FAISS database of 20 verified chunks from 5 official clinical guidelines (ADA, EASD, AHA/ACC, AASLD, AGA). Recommendations are strictly mapped to retrieved guideline chunks with explicit source citations.</w:t>
      </w:r>
    </w:p>
    <w:p>
      <w:pPr>
        <w:pStyle w:val="Heading3"/>
        <w:spacing w:before="160" w:after="40"/>
      </w:pPr>
      <w:r>
        <w:rPr>
          <w:rFonts w:ascii="Arial" w:hAnsi="Arial"/>
          <w:b/>
          <w:color w:val="0F172A"/>
          <w:sz w:val="21"/>
        </w:rPr>
        <w:t>Q7: How do you prevent Insecure Direct Object References (IDOR) between patients?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In all database query routers (e.g., `records_routes.py`, `consultation_routes.py`), authorization is enforced server-side. The backend extracts the `user_id` from the cryptographically verified JWT token and checks `WHERE record.patient_id == current_user.id`. Even if Patient 2 guesses Patient 1's record UUID, the server returns HTTP `403 Forbidden`.</w:t>
      </w:r>
    </w:p>
    <w:p>
      <w:pPr>
        <w:pStyle w:val="Heading3"/>
        <w:spacing w:before="160" w:after="40"/>
      </w:pPr>
      <w:r>
        <w:rPr>
          <w:rFonts w:ascii="Arial" w:hAnsi="Arial"/>
          <w:b/>
          <w:color w:val="0F172A"/>
          <w:sz w:val="21"/>
        </w:rPr>
        <w:t>Q8: Why did you choose Vercel + Render + Neon for production deployment?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This architecture achieves an enterprise-grade full-stack topology at </w:t>
      </w:r>
      <w:r>
        <w:rPr>
          <w:rFonts w:ascii="Arial" w:hAnsi="Arial"/>
          <w:b/>
          <w:color w:val="0F172A"/>
          <w:sz w:val="19"/>
        </w:rPr>
        <w:t>$0.00 zero hosting cost</w:t>
      </w:r>
      <w:r>
        <w:rPr>
          <w:rFonts w:ascii="Arial" w:hAnsi="Arial"/>
          <w:color w:val="334155"/>
          <w:sz w:val="19"/>
        </w:rPr>
        <w:t>:</w:t>
      </w:r>
    </w:p>
    <w:p>
      <w:pPr>
        <w:spacing w:before="40" w:after="80"/>
      </w:pPr>
      <w:r>
        <w:rPr>
          <w:rFonts w:ascii="Arial" w:hAnsi="Arial"/>
          <w:color w:val="334155"/>
          <w:sz w:val="19"/>
        </w:rPr>
        <w:t xml:space="preserve">1. </w:t>
      </w:r>
      <w:r>
        <w:rPr>
          <w:rFonts w:ascii="Arial" w:hAnsi="Arial"/>
          <w:b/>
          <w:color w:val="0F172A"/>
          <w:sz w:val="19"/>
        </w:rPr>
        <w:t>Vercel:</w:t>
      </w:r>
      <w:r>
        <w:rPr>
          <w:rFonts w:ascii="Arial" w:hAnsi="Arial"/>
          <w:color w:val="334155"/>
          <w:sz w:val="19"/>
        </w:rPr>
        <w:t xml:space="preserve"> Hosts the React 18 SPA on a global Edge CDN with instant CI/CD and proxy rewrites.</w:t>
      </w:r>
    </w:p>
    <w:p>
      <w:pPr>
        <w:spacing w:before="40" w:after="80"/>
      </w:pPr>
      <w:r>
        <w:rPr>
          <w:rFonts w:ascii="Arial" w:hAnsi="Arial"/>
          <w:color w:val="334155"/>
          <w:sz w:val="19"/>
        </w:rPr>
        <w:t xml:space="preserve">2. </w:t>
      </w:r>
      <w:r>
        <w:rPr>
          <w:rFonts w:ascii="Arial" w:hAnsi="Arial"/>
          <w:b/>
          <w:color w:val="0F172A"/>
          <w:sz w:val="19"/>
        </w:rPr>
        <w:t>Render:</w:t>
      </w:r>
      <w:r>
        <w:rPr>
          <w:rFonts w:ascii="Arial" w:hAnsi="Arial"/>
          <w:color w:val="334155"/>
          <w:sz w:val="19"/>
        </w:rPr>
        <w:t xml:space="preserve"> Runs the FastAPI backend with all ML models and TreeSHAP explainers in memory (~449 MB RSS, within the 512 MB Free Tier limit).</w:t>
      </w:r>
    </w:p>
    <w:p>
      <w:pPr>
        <w:spacing w:before="40" w:after="80"/>
      </w:pPr>
      <w:r>
        <w:rPr>
          <w:rFonts w:ascii="Arial" w:hAnsi="Arial"/>
          <w:color w:val="334155"/>
          <w:sz w:val="19"/>
        </w:rPr>
        <w:t xml:space="preserve">3. </w:t>
      </w:r>
      <w:r>
        <w:rPr>
          <w:rFonts w:ascii="Arial" w:hAnsi="Arial"/>
          <w:b/>
          <w:color w:val="0F172A"/>
          <w:sz w:val="19"/>
        </w:rPr>
        <w:t>Neon:</w:t>
      </w:r>
      <w:r>
        <w:rPr>
          <w:rFonts w:ascii="Arial" w:hAnsi="Arial"/>
          <w:color w:val="334155"/>
          <w:sz w:val="19"/>
        </w:rPr>
        <w:t xml:space="preserve"> Provides a serverless PostgreSQL 17 database with automated pooling and SSL connections.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53: PRESENTATION SCRIPTS &amp; TALKING POINTS</w:t>
      </w:r>
    </w:p>
    <w:p>
      <w:pPr>
        <w:pStyle w:val="Heading3"/>
        <w:spacing w:before="160" w:after="40"/>
      </w:pPr>
      <w:r>
        <w:rPr>
          <w:rFonts w:ascii="Arial" w:hAnsi="Arial"/>
          <w:b/>
          <w:color w:val="0F172A"/>
          <w:sz w:val="21"/>
        </w:rPr>
        <w:t>53.1 30-Second Elevator Pitch</w:t>
      </w:r>
    </w:p>
    <w:p>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routing architecture, Unified TreeSHAP explainability, and evidence-grounded Medical RAG. It achieves 94.2% multimodal accuracy and is deployed live on a zero-cost production cloud."</w:t>
      </w:r>
    </w:p>
    <w:p>
      <w:pPr>
        <w:pStyle w:val="Heading3"/>
        <w:spacing w:before="160" w:after="40"/>
      </w:pPr>
      <w:r>
        <w:rPr>
          <w:rFonts w:ascii="Arial" w:hAnsi="Arial"/>
          <w:b/>
          <w:color w:val="0F172A"/>
          <w:sz w:val="21"/>
        </w:rPr>
        <w:t>53.2 2-Minute Technical Overview</w:t>
      </w:r>
    </w:p>
    <w:p>
      <w:pPr>
        <w:spacing w:before="40" w:after="80"/>
      </w:pPr>
      <w:r>
        <w:rPr>
          <w:rFonts w:ascii="Arial" w:hAnsi="Arial"/>
          <w:color w:val="334155"/>
          <w:sz w:val="19"/>
        </w:rPr>
        <w:t>"Metabolic disorders like Type 2 Diabetes and NAFLD develop through interconnected systemic, glycemic, and gut-microbial pathways. TeleMed AI v4 addresses the critical problem of incomplete patient data in telemedicine. Instead of imputing synthetic values when a patient lacks certain tests, our system uses a 7-pathway dynamic router that runs unimodal, bimodal, or trimodal models depending on available inputs. We evaluated V1 through V4 dataset iterations, establishing a frozen benchmark of 20,000 patients. Across 18 Clinical, 15 Wearable, and 49 Gut Microbiome features (82 total upstream biomarkers), our base models generate 15 calibrated disease probabilities. Our Trimodal Meta-Stacker achieves a Macro F1 of 0.923 and ROC-AUC of 0.971 across 5 metabolic targets. For explainability, we implemented TreeSHAP to deliver instantaneous local feature attributions, while a FAISS-powered Medical RAG engine grounds clinical summaries in ADA, EASD, and AHA guidelines. The full system is deployed across Vercel, Render, and Neon Cloud, verified by 147 automated tests."</w:t>
      </w:r>
    </w:p>
    <w:p>
      <w:pPr>
        <w:pStyle w:val="Heading3"/>
        <w:spacing w:before="160" w:after="40"/>
      </w:pPr>
      <w:r>
        <w:rPr>
          <w:rFonts w:ascii="Arial" w:hAnsi="Arial"/>
          <w:b/>
          <w:color w:val="0F172A"/>
          <w:sz w:val="21"/>
        </w:rPr>
        <w:t>53.3 10-Minute Deep Technical Walkthrough</w:t>
      </w:r>
    </w:p>
    <w:p>
      <w:pPr>
        <w:spacing w:before="40" w:after="80"/>
      </w:pPr>
      <w:r>
        <w:rPr>
          <w:rFonts w:ascii="Arial" w:hAnsi="Arial"/>
          <w:color w:val="334155"/>
          <w:sz w:val="19"/>
        </w:rPr>
        <w:t xml:space="preserve">1. </w:t>
      </w:r>
      <w:r>
        <w:rPr>
          <w:rFonts w:ascii="Arial" w:hAnsi="Arial"/>
          <w:b/>
          <w:color w:val="0F172A"/>
          <w:sz w:val="19"/>
        </w:rPr>
        <w:t>Architecture &amp; 7 Pathways (2 mins):</w:t>
      </w:r>
      <w:r>
        <w:rPr>
          <w:rFonts w:ascii="Arial" w:hAnsi="Arial"/>
          <w:color w:val="334155"/>
          <w:sz w:val="19"/>
        </w:rPr>
        <w:t xml:space="preserve"> Explain combinatorial derivation $2^3 - 1 = 7$, zero-imputation guarantee, and modular isolation.</w:t>
      </w:r>
    </w:p>
    <w:p>
      <w:pPr>
        <w:spacing w:before="40" w:after="80"/>
      </w:pPr>
      <w:r>
        <w:rPr>
          <w:rFonts w:ascii="Arial" w:hAnsi="Arial"/>
          <w:color w:val="334155"/>
          <w:sz w:val="19"/>
        </w:rPr>
        <w:t xml:space="preserve">2. </w:t>
      </w:r>
      <w:r>
        <w:rPr>
          <w:rFonts w:ascii="Arial" w:hAnsi="Arial"/>
          <w:b/>
          <w:color w:val="0F172A"/>
          <w:sz w:val="19"/>
        </w:rPr>
        <w:t>Features &amp; Stacking Meta-Learner (3 mins):</w:t>
      </w:r>
      <w:r>
        <w:rPr>
          <w:rFonts w:ascii="Arial" w:hAnsi="Arial"/>
          <w:color w:val="334155"/>
          <w:sz w:val="19"/>
        </w:rPr>
        <w:t xml:space="preserve"> Explain the distinction between the 82 upstream modality features, 15 expert probability outputs, and the 3-input per disease meta-stacker.</w:t>
      </w:r>
    </w:p>
    <w:p>
      <w:pPr>
        <w:spacing w:before="40" w:after="80"/>
      </w:pPr>
      <w:r>
        <w:rPr>
          <w:rFonts w:ascii="Arial" w:hAnsi="Arial"/>
          <w:color w:val="334155"/>
          <w:sz w:val="19"/>
        </w:rPr>
        <w:t xml:space="preserve">3. </w:t>
      </w:r>
      <w:r>
        <w:rPr>
          <w:rFonts w:ascii="Arial" w:hAnsi="Arial"/>
          <w:b/>
          <w:color w:val="0F172A"/>
          <w:sz w:val="19"/>
        </w:rPr>
        <w:t>Explainability &amp; Grounded RAG (2 mins):</w:t>
      </w:r>
      <w:r>
        <w:rPr>
          <w:rFonts w:ascii="Arial" w:hAnsi="Arial"/>
          <w:color w:val="334155"/>
          <w:sz w:val="19"/>
        </w:rPr>
        <w:t xml:space="preserve"> Cover TreeSHAP polynomial optimization and FAISS vector guideline search.</w:t>
      </w:r>
    </w:p>
    <w:p>
      <w:pPr>
        <w:spacing w:before="40" w:after="80"/>
      </w:pPr>
      <w:r>
        <w:rPr>
          <w:rFonts w:ascii="Arial" w:hAnsi="Arial"/>
          <w:color w:val="334155"/>
          <w:sz w:val="19"/>
        </w:rPr>
        <w:t xml:space="preserve">4. </w:t>
      </w:r>
      <w:r>
        <w:rPr>
          <w:rFonts w:ascii="Arial" w:hAnsi="Arial"/>
          <w:b/>
          <w:color w:val="0F172A"/>
          <w:sz w:val="19"/>
        </w:rPr>
        <w:t>Security &amp; Full-Stack Implementation (2 mins):</w:t>
      </w:r>
      <w:r>
        <w:rPr>
          <w:rFonts w:ascii="Arial" w:hAnsi="Arial"/>
          <w:color w:val="334155"/>
          <w:sz w:val="19"/>
        </w:rPr>
        <w:t xml:space="preserve"> Highlight RBAC, IDOR defense, and PostgreSQL 17 relational architecture.</w:t>
      </w:r>
    </w:p>
    <w:p>
      <w:pPr>
        <w:spacing w:before="40" w:after="80"/>
      </w:pPr>
      <w:r>
        <w:rPr>
          <w:rFonts w:ascii="Arial" w:hAnsi="Arial"/>
          <w:color w:val="334155"/>
          <w:sz w:val="19"/>
        </w:rPr>
        <w:t xml:space="preserve">5. </w:t>
      </w:r>
      <w:r>
        <w:rPr>
          <w:rFonts w:ascii="Arial" w:hAnsi="Arial"/>
          <w:b/>
          <w:color w:val="0F172A"/>
          <w:sz w:val="19"/>
        </w:rPr>
        <w:t>Live Verification &amp; Results (1 min):</w:t>
      </w:r>
      <w:r>
        <w:rPr>
          <w:rFonts w:ascii="Arial" w:hAnsi="Arial"/>
          <w:color w:val="334155"/>
          <w:sz w:val="19"/>
        </w:rPr>
        <w:t xml:space="preserve"> Present live production telemetry (&lt;400ms latency, 100% test pass rate).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54: FUTURE WORK &amp; CLINICAL ROADMAP</w:t>
      </w:r>
    </w:p>
    <w:p>
      <w:pPr>
        <w:spacing w:before="40" w:after="80"/>
      </w:pPr>
      <w:r>
        <w:rPr>
          <w:rFonts w:ascii="Arial" w:hAnsi="Arial"/>
          <w:color w:val="334155"/>
          <w:sz w:val="19"/>
        </w:rPr>
        <w:t xml:space="preserve">1. </w:t>
      </w:r>
      <w:r>
        <w:rPr>
          <w:rFonts w:ascii="Arial" w:hAnsi="Arial"/>
          <w:b/>
          <w:color w:val="0F172A"/>
          <w:sz w:val="19"/>
        </w:rPr>
        <w:t>Prospective Clinical Trials:</w:t>
      </w:r>
      <w:r>
        <w:rPr>
          <w:rFonts w:ascii="Arial" w:hAnsi="Arial"/>
          <w:color w:val="334155"/>
          <w:sz w:val="19"/>
        </w:rPr>
        <w:t xml:space="preserve"> Conduct IRB-approved multi-center clinical trials to benchmark synthetic model predictions against real-world electronic health record (EHR) cohorts.</w:t>
      </w:r>
    </w:p>
    <w:p>
      <w:pPr>
        <w:spacing w:before="40" w:after="80"/>
      </w:pPr>
      <w:r>
        <w:rPr>
          <w:rFonts w:ascii="Arial" w:hAnsi="Arial"/>
          <w:color w:val="334155"/>
          <w:sz w:val="19"/>
        </w:rPr>
        <w:t xml:space="preserve">2. </w:t>
      </w:r>
      <w:r>
        <w:rPr>
          <w:rFonts w:ascii="Arial" w:hAnsi="Arial"/>
          <w:b/>
          <w:color w:val="0F172A"/>
          <w:sz w:val="19"/>
        </w:rPr>
        <w:t>Deep Metagenomic Shotgun Sequencing:</w:t>
      </w:r>
      <w:r>
        <w:rPr>
          <w:rFonts w:ascii="Arial" w:hAnsi="Arial"/>
          <w:color w:val="334155"/>
          <w:sz w:val="19"/>
        </w:rPr>
        <w:t xml:space="preserve"> Expand the Gut Microbiome feature space from 49 16S markers to high-resolution species-level metagenomics and functional metabolic pathways (e.g. butyrate synthesis operons).</w:t>
      </w:r>
    </w:p>
    <w:p>
      <w:pPr>
        <w:spacing w:before="40" w:after="80"/>
      </w:pPr>
      <w:r>
        <w:rPr>
          <w:rFonts w:ascii="Arial" w:hAnsi="Arial"/>
          <w:color w:val="334155"/>
          <w:sz w:val="19"/>
        </w:rPr>
        <w:t xml:space="preserve">3. </w:t>
      </w:r>
      <w:r>
        <w:rPr>
          <w:rFonts w:ascii="Arial" w:hAnsi="Arial"/>
          <w:b/>
          <w:color w:val="0F172A"/>
          <w:sz w:val="19"/>
        </w:rPr>
        <w:t>Federated Multi-Hospital Learning:</w:t>
      </w:r>
      <w:r>
        <w:rPr>
          <w:rFonts w:ascii="Arial" w:hAnsi="Arial"/>
          <w:color w:val="334155"/>
          <w:sz w:val="19"/>
        </w:rPr>
        <w:t xml:space="preserve"> Implement federated model updates across hospital nodes without centralizing raw patient biometric records.</w:t>
      </w:r>
    </w:p>
    <w:p>
      <w:pPr>
        <w:spacing w:before="40" w:after="80"/>
      </w:pPr>
      <w:r>
        <w:rPr>
          <w:rFonts w:ascii="Arial" w:hAnsi="Arial"/>
          <w:color w:val="334155"/>
          <w:sz w:val="19"/>
        </w:rPr>
        <w:t xml:space="preserve">4. </w:t>
      </w:r>
      <w:r>
        <w:rPr>
          <w:rFonts w:ascii="Arial" w:hAnsi="Arial"/>
          <w:b/>
          <w:color w:val="0F172A"/>
          <w:sz w:val="19"/>
        </w:rPr>
        <w:t>Active MLOps &amp; Drift Monitoring:</w:t>
      </w:r>
      <w:r>
        <w:rPr>
          <w:rFonts w:ascii="Arial" w:hAnsi="Arial"/>
          <w:color w:val="334155"/>
          <w:sz w:val="19"/>
        </w:rPr>
        <w:t xml:space="preserve"> Implement automated Evidently AI drift monitors tracking population-level biomarker distribution shifts.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55: GLOSSARY OF TECHNICAL TERMS</w:t>
      </w:r>
    </w:p>
    <w:p>
      <w:pPr>
        <w:pStyle w:val="ListBullet"/>
        <w:spacing w:before="20" w:after="20"/>
      </w:pPr>
      <w:r>
        <w:rPr>
          <w:rFonts w:ascii="Arial" w:hAnsi="Arial"/>
          <w:color w:val="334155"/>
          <w:sz w:val="19"/>
        </w:rPr>
      </w:r>
      <w:r>
        <w:rPr>
          <w:rFonts w:ascii="Arial" w:hAnsi="Arial"/>
          <w:b/>
          <w:color w:val="0F172A"/>
          <w:sz w:val="19"/>
        </w:rPr>
        <w:t>Multimodal AI:</w:t>
      </w:r>
      <w:r>
        <w:rPr>
          <w:rFonts w:ascii="Arial" w:hAnsi="Arial"/>
          <w:color w:val="334155"/>
          <w:sz w:val="19"/>
        </w:rPr>
        <w:t xml:space="preserve"> Machine learning combining heterogeneous data types (structured biochemistry, continuous time-series, metagenomics).</w:t>
      </w:r>
    </w:p>
    <w:p>
      <w:pPr>
        <w:pStyle w:val="ListBullet"/>
        <w:spacing w:before="20" w:after="20"/>
      </w:pPr>
      <w:r>
        <w:rPr>
          <w:rFonts w:ascii="Arial" w:hAnsi="Arial"/>
          <w:color w:val="334155"/>
          <w:sz w:val="19"/>
        </w:rPr>
      </w:r>
      <w:r>
        <w:rPr>
          <w:rFonts w:ascii="Arial" w:hAnsi="Arial"/>
          <w:b/>
          <w:color w:val="0F172A"/>
          <w:sz w:val="19"/>
        </w:rPr>
        <w:t>7-Pathway Architecture:</w:t>
      </w:r>
      <w:r>
        <w:rPr>
          <w:rFonts w:ascii="Arial" w:hAnsi="Arial"/>
          <w:color w:val="334155"/>
          <w:sz w:val="19"/>
        </w:rPr>
        <w:t xml:space="preserve"> Dynamic inference topology routing inputs to one of 7 permutations of available modalities without data imputation.</w:t>
      </w:r>
    </w:p>
    <w:p>
      <w:pPr>
        <w:pStyle w:val="ListBullet"/>
        <w:spacing w:before="20" w:after="20"/>
      </w:pPr>
      <w:r>
        <w:rPr>
          <w:rFonts w:ascii="Arial" w:hAnsi="Arial"/>
          <w:color w:val="334155"/>
          <w:sz w:val="19"/>
        </w:rPr>
      </w:r>
      <w:r>
        <w:rPr>
          <w:rFonts w:ascii="Arial" w:hAnsi="Arial"/>
          <w:b/>
          <w:color w:val="0F172A"/>
          <w:sz w:val="19"/>
        </w:rPr>
        <w:t>Upstream Predictive Features:</w:t>
      </w:r>
      <w:r>
        <w:rPr>
          <w:rFonts w:ascii="Arial" w:hAnsi="Arial"/>
          <w:color w:val="334155"/>
          <w:sz w:val="19"/>
        </w:rPr>
        <w:t xml:space="preserve"> The 82 total biological features (18 Clinical + 15 Wearable + 49 Gut) entering base expert models.</w:t>
      </w:r>
    </w:p>
    <w:p>
      <w:pPr>
        <w:pStyle w:val="ListBullet"/>
        <w:spacing w:before="20" w:after="20"/>
      </w:pPr>
      <w:r>
        <w:rPr>
          <w:rFonts w:ascii="Arial" w:hAnsi="Arial"/>
          <w:color w:val="334155"/>
          <w:sz w:val="19"/>
        </w:rPr>
      </w:r>
      <w:r>
        <w:rPr>
          <w:rFonts w:ascii="Arial" w:hAnsi="Arial"/>
          <w:b/>
          <w:color w:val="0F172A"/>
          <w:sz w:val="19"/>
        </w:rPr>
        <w:t>Probability Meta-Features:</w:t>
      </w:r>
      <w:r>
        <w:rPr>
          <w:rFonts w:ascii="Arial" w:hAnsi="Arial"/>
          <w:color w:val="334155"/>
          <w:sz w:val="19"/>
        </w:rPr>
        <w:t xml:space="preserve"> The 15 calibrated probabilities output by base models and consumed in 3-element vectors by target-specific meta-learners.</w:t>
      </w:r>
    </w:p>
    <w:p>
      <w:pPr>
        <w:pStyle w:val="ListBullet"/>
        <w:spacing w:before="20" w:after="20"/>
      </w:pPr>
      <w:r>
        <w:rPr>
          <w:rFonts w:ascii="Arial" w:hAnsi="Arial"/>
          <w:color w:val="334155"/>
          <w:sz w:val="19"/>
        </w:rPr>
      </w:r>
      <w:r>
        <w:rPr>
          <w:rFonts w:ascii="Arial" w:hAnsi="Arial"/>
          <w:b/>
          <w:color w:val="0F172A"/>
          <w:sz w:val="19"/>
        </w:rPr>
        <w:t>TreeSHAP:</w:t>
      </w:r>
      <w:r>
        <w:rPr>
          <w:rFonts w:ascii="Arial" w:hAnsi="Arial"/>
          <w:color w:val="334155"/>
          <w:sz w:val="19"/>
        </w:rPr>
        <w:t xml:space="preserve"> Algorithm computing exact Shapley feature attributions for tree ensembles in polynomial time.</w:t>
      </w:r>
    </w:p>
    <w:p>
      <w:pPr>
        <w:pStyle w:val="ListBullet"/>
        <w:spacing w:before="20" w:after="20"/>
      </w:pPr>
      <w:r>
        <w:rPr>
          <w:rFonts w:ascii="Arial" w:hAnsi="Arial"/>
          <w:color w:val="334155"/>
          <w:sz w:val="19"/>
        </w:rPr>
      </w:r>
      <w:r>
        <w:rPr>
          <w:rFonts w:ascii="Arial" w:hAnsi="Arial"/>
          <w:b/>
          <w:color w:val="0F172A"/>
          <w:sz w:val="19"/>
        </w:rPr>
        <w:t>Meta-Stacker:</w:t>
      </w:r>
      <w:r>
        <w:rPr>
          <w:rFonts w:ascii="Arial" w:hAnsi="Arial"/>
          <w:color w:val="334155"/>
          <w:sz w:val="19"/>
        </w:rPr>
        <w:t xml:space="preserve"> Second-level machine learning model trained on cross-validated base model predictions to optimize ensemble accuracy.</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AI framework combining vector similarity search with language generation to eliminate hallucinations.</w:t>
      </w:r>
    </w:p>
    <w:p>
      <w:pPr>
        <w:pStyle w:val="ListBullet"/>
        <w:spacing w:before="20" w:after="20"/>
      </w:pPr>
      <w:r>
        <w:rPr>
          <w:rFonts w:ascii="Arial" w:hAnsi="Arial"/>
          <w:color w:val="334155"/>
          <w:sz w:val="19"/>
        </w:rPr>
      </w:r>
      <w:r>
        <w:rPr>
          <w:rFonts w:ascii="Arial" w:hAnsi="Arial"/>
          <w:b/>
          <w:color w:val="0F172A"/>
          <w:sz w:val="19"/>
        </w:rPr>
        <w:t>IDOR (Insecure Direct Object Reference):</w:t>
      </w:r>
      <w:r>
        <w:rPr>
          <w:rFonts w:ascii="Arial" w:hAnsi="Arial"/>
          <w:color w:val="334155"/>
          <w:sz w:val="19"/>
        </w:rPr>
        <w:t xml:space="preserve"> Access control vulnerability prevented in TeleMed AI via server-side JWT ownership verification.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Statistical metric evaluating the accuracy and calibration of probabilistic predictions.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56: REFERENCES &amp; REPOSITORY EVIDENCE</w:t>
      </w:r>
    </w:p>
    <w:p>
      <w:pPr>
        <w:spacing w:before="40" w:after="80"/>
      </w:pPr>
      <w:r>
        <w:rPr>
          <w:rFonts w:ascii="Arial" w:hAnsi="Arial"/>
          <w:color w:val="334155"/>
          <w:sz w:val="19"/>
        </w:rPr>
        <w:t xml:space="preserve">1. </w:t>
      </w:r>
      <w:r>
        <w:rPr>
          <w:rFonts w:ascii="Arial" w:hAnsi="Arial"/>
          <w:b/>
          <w:color w:val="0F172A"/>
          <w:sz w:val="19"/>
        </w:rPr>
        <w:t>Repository Codebase:</w:t>
      </w:r>
      <w:r>
        <w:rPr>
          <w:rFonts w:ascii="Arial" w:hAnsi="Arial"/>
          <w:color w:val="334155"/>
          <w:sz w:val="19"/>
        </w:rPr>
        <w:t xml:space="preserve"> `SWARANGUNDA/TeleMed` (Git baseline `v4.0-final` / Commit `66d0f97` / `b421769` on `main`).</w:t>
      </w:r>
    </w:p>
    <w:p>
      <w:pPr>
        <w:spacing w:before="40" w:after="80"/>
      </w:pPr>
      <w:r>
        <w:rPr>
          <w:rFonts w:ascii="Arial" w:hAnsi="Arial"/>
          <w:color w:val="334155"/>
          <w:sz w:val="19"/>
        </w:rPr>
        <w:t xml:space="preserve">2.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 (TreeSHAP formulation).</w:t>
      </w:r>
    </w:p>
    <w:p>
      <w:pPr>
        <w:spacing w:before="40" w:after="80"/>
      </w:pPr>
      <w:r>
        <w:rPr>
          <w:rFonts w:ascii="Arial" w:hAnsi="Arial"/>
          <w:color w:val="334155"/>
          <w:sz w:val="19"/>
        </w:rPr>
        <w:t xml:space="preserve">3. </w:t>
      </w:r>
      <w:r>
        <w:rPr>
          <w:rFonts w:ascii="Arial" w:hAnsi="Arial"/>
          <w:b/>
          <w:color w:val="0F172A"/>
          <w:sz w:val="19"/>
        </w:rPr>
        <w:t>Chen, T., &amp; Guestrin, C. (2016):</w:t>
      </w:r>
      <w:r>
        <w:rPr>
          <w:rFonts w:ascii="Arial" w:hAnsi="Arial"/>
          <w:color w:val="334155"/>
          <w:sz w:val="19"/>
        </w:rPr>
        <w:t xml:space="preserve"> "XGBoost: A Scalable Tree Boosting System." *ACM SIGKDD*.</w:t>
      </w:r>
    </w:p>
    <w:p>
      <w:pPr>
        <w:spacing w:before="40" w:after="80"/>
      </w:pPr>
      <w:r>
        <w:rPr>
          <w:rFonts w:ascii="Arial" w:hAnsi="Arial"/>
          <w:color w:val="334155"/>
          <w:sz w:val="19"/>
        </w:rPr>
        <w:t xml:space="preserve">4. </w:t>
      </w:r>
      <w:r>
        <w:rPr>
          <w:rFonts w:ascii="Arial" w:hAnsi="Arial"/>
          <w:b/>
          <w:color w:val="0F172A"/>
          <w:sz w:val="19"/>
        </w:rPr>
        <w:t>American Diabetes Association (2024):</w:t>
      </w:r>
      <w:r>
        <w:rPr>
          <w:rFonts w:ascii="Arial" w:hAnsi="Arial"/>
          <w:color w:val="334155"/>
          <w:sz w:val="19"/>
        </w:rPr>
        <w:t xml:space="preserve"> "Standards of Care in Diabetes—2024." *Diabetes Care*, 47(Suppl. 1), S1–S343.</w:t>
      </w:r>
    </w:p>
    <w:p>
      <w:pPr>
        <w:spacing w:before="40" w:after="80"/>
      </w:pPr>
      <w:r>
        <w:rPr>
          <w:rFonts w:ascii="Arial" w:hAnsi="Arial"/>
          <w:color w:val="334155"/>
          <w:sz w:val="19"/>
        </w:rPr>
        <w:t xml:space="preserve">5. </w:t>
      </w:r>
      <w:r>
        <w:rPr>
          <w:rFonts w:ascii="Arial" w:hAnsi="Arial"/>
          <w:b/>
          <w:color w:val="0F172A"/>
          <w:sz w:val="19"/>
        </w:rPr>
        <w:t>EASD / ADA Consensus Report (2022):</w:t>
      </w:r>
      <w:r>
        <w:rPr>
          <w:rFonts w:ascii="Arial" w:hAnsi="Arial"/>
          <w:color w:val="334155"/>
          <w:sz w:val="19"/>
        </w:rPr>
        <w:t xml:space="preserve"> "Management of Hyperglycemia in Type 2 Diabetes." *Diabetologia*, 65(12), 1925–1966.</w:t>
      </w:r>
    </w:p>
    <w:p>
      <w:pPr>
        <w:spacing w:before="40" w:after="80"/>
      </w:pPr>
      <w:r>
        <w:rPr>
          <w:rFonts w:ascii="Arial" w:hAnsi="Arial"/>
          <w:color w:val="334155"/>
          <w:sz w:val="19"/>
        </w:rPr>
        <w:t xml:space="preserve">6. </w:t>
      </w:r>
      <w:r>
        <w:rPr>
          <w:rFonts w:ascii="Arial" w:hAnsi="Arial"/>
          <w:b/>
          <w:color w:val="0F172A"/>
          <w:sz w:val="19"/>
        </w:rPr>
        <w:t>AASLD Practice Guidance (2023):</w:t>
      </w:r>
      <w:r>
        <w:rPr>
          <w:rFonts w:ascii="Arial" w:hAnsi="Arial"/>
          <w:color w:val="334155"/>
          <w:sz w:val="19"/>
        </w:rPr>
        <w:t xml:space="preserve"> "Clinical Assessment and Management of Nonalcoholic Fatty Liver Disease." *Hepatology*, 77(5), 1797–1835.</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57: APPENDICES</w:t>
      </w:r>
    </w:p>
    <w:p>
      <w:pPr>
        <w:pStyle w:val="Heading3"/>
        <w:spacing w:before="160" w:after="40"/>
      </w:pPr>
      <w:r>
        <w:rPr>
          <w:rFonts w:ascii="Arial" w:hAnsi="Arial"/>
          <w:b/>
          <w:color w:val="0F172A"/>
          <w:sz w:val="21"/>
        </w:rPr>
        <w:t>Appendix A: Model Payload Checksum Manifest</w:t>
      </w:r>
    </w:p>
    <w:p>
      <w:pPr>
        <w:pStyle w:val="ListBullet"/>
        <w:spacing w:before="20" w:after="20"/>
      </w:pPr>
      <w:r>
        <w:rPr>
          <w:rFonts w:ascii="Arial" w:hAnsi="Arial"/>
          <w:color w:val="334155"/>
          <w:sz w:val="19"/>
        </w:rPr>
        <w:t>`clinical_v4_expert_payload.joblib`: `16dbc550b4a7129cb29078493ded87fea6bdf156c2bac97ed0f3dacd7c4ff9bf` (18 Features)</w:t>
      </w:r>
    </w:p>
    <w:p>
      <w:pPr>
        <w:pStyle w:val="ListBullet"/>
        <w:spacing w:before="20" w:after="20"/>
      </w:pPr>
      <w:r>
        <w:rPr>
          <w:rFonts w:ascii="Arial" w:hAnsi="Arial"/>
          <w:color w:val="334155"/>
          <w:sz w:val="19"/>
        </w:rPr>
        <w:t>`wearable_v4_expert_payload.joblib`: `6468ce8d9bb8cbdbcb4f303503dd5205d5f24b564374b5fa4b42fdb698d801ce` (15 Features)</w:t>
      </w:r>
    </w:p>
    <w:p>
      <w:pPr>
        <w:pStyle w:val="ListBullet"/>
        <w:spacing w:before="20" w:after="20"/>
      </w:pPr>
      <w:r>
        <w:rPr>
          <w:rFonts w:ascii="Arial" w:hAnsi="Arial"/>
          <w:color w:val="334155"/>
          <w:sz w:val="19"/>
        </w:rPr>
        <w:t>`gut_v4_expert_payload.joblib`: `39a470e0c279a06e5007fc445575712270968dbbae2d63a990ecb15dfe485712` (49 Features)</w:t>
      </w:r>
    </w:p>
    <w:p>
      <w:pPr>
        <w:pStyle w:val="ListBullet"/>
        <w:spacing w:before="20" w:after="20"/>
      </w:pPr>
      <w:r>
        <w:rPr>
          <w:rFonts w:ascii="Arial" w:hAnsi="Arial"/>
          <w:color w:val="334155"/>
          <w:sz w:val="19"/>
        </w:rPr>
        <w:t>`v4_multimodal_fusion_payload.joblib`: `addd8976e79347f434a273da03d0d8cb731c80ee21179cc3bec635259cfd7792` (3 Inputs/Target)</w:t>
      </w:r>
    </w:p>
    <w:p>
      <w:pPr>
        <w:pStyle w:val="ListBullet"/>
        <w:spacing w:before="20" w:after="20"/>
      </w:pPr>
      <w:r>
        <w:rPr>
          <w:rFonts w:ascii="Arial" w:hAnsi="Arial"/>
          <w:color w:val="334155"/>
          <w:sz w:val="19"/>
        </w:rPr>
        <w:t>`wg_logistic_regression_stacker.joblib`: `0558b0ea4bc4c46adc208f62e31e96f422ca7cc0fef7727b80a6974be1573ca5` (2 Inputs/Target)</w:t>
      </w:r>
    </w:p>
    <w:p>
      <w:pPr>
        <w:pStyle w:val="Heading3"/>
        <w:spacing w:before="160" w:after="40"/>
      </w:pPr>
      <w:r>
        <w:rPr>
          <w:rFonts w:ascii="Arial" w:hAnsi="Arial"/>
          <w:b/>
          <w:color w:val="0F172A"/>
          <w:sz w:val="21"/>
        </w:rPr>
        <w:t>Appendix B: API Route &amp; RBAC Matrix</w:t>
      </w:r>
    </w:p>
    <w:p>
      <w:pPr>
        <w:spacing w:before="40" w:after="80"/>
      </w:pPr>
      <w:r>
        <w:rPr>
          <w:rFonts w:ascii="Arial" w:hAnsi="Arial"/>
          <w:color w:val="334155"/>
          <w:sz w:val="19"/>
        </w:rPr>
        <w:t>*(Detailed in Section 30 &amp; 32)*</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58: FINAL OMISSION &amp; CONSISTENCY AUDIT CHECKLIST</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pPr>
              <w:spacing w:before="40" w:after="40"/>
            </w:pPr>
            <w:r>
              <w:rPr>
                <w:rFonts w:ascii="Arial" w:hAnsi="Arial"/>
                <w:b/>
                <w:color w:val="FFFFFF"/>
                <w:sz w:val="17"/>
              </w:rPr>
              <w:t>Verification Item</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Status</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Verified Evidence in Repository</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 Executive Summary &amp; Problem Statement</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Sections 1 &amp; 2 complete with motivation and stakeholders.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2. Forensic Feature Provenance Table</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 12 details 18 Clinical, 15 Wearable, 49 Gut (82 Total).</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3. Audited 7-Pathway Routing Table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 13 details exact upstream and meta-learner inputs per pathway.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4. Model Artifact Feature Verification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 15 inspects joblib payloads, confirming exact $n\_features\_in\_$.</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5. Feature Count Error Classification</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 15 explains legacy doc artifacts and meta-feature distinctions.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6. Feature-to-Disease Algorithm Table</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 16 lists individual classifiers selected for all 20 estimators.</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7. Exact 5 Target Conditions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Sections 4 &amp; 8 detail T2D, Prediabetes, High Adiposity, MetSyn, NAFLD.</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8. Stacking Mathematics &amp; Coefficients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 18 lists exact weights from v4_multimodal_fusion_payload.joblib.</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9. TreeSHAP &amp; Grounded Medical RAG</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Sections 20, 22, 23 detail polynomial XAI &amp; FAISS guidelines.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10. Multi-Portal Workspaces (Patient/Doctor/Admin)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Sections 24, 28, 29 cover full UI and clinical workflows.</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11. Security, RBAC &amp; IDOR Defense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Sections 30 &amp; 33 detail JWT, rate limiting, and 403 IDOR tests.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12. Cloud Deployment (Vercel/Render/Neon)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Sections 38 &amp; 39 detail live production URLs and telemetry.</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13. Programmatic Feature Consistency Audit</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Section 51 audits all claims across README, docs, and code.</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14. Viva Q&amp;A &amp; Presentation Scripts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Sections 52 &amp; 53 provide complete interview defense scripts.</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15. Multi-Format Delivery (MD, DOCX, PDF)</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 Verified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Recompiled into all 3 deliverables without omissions.</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