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TELEMED AI v4</w:t>
      </w:r>
    </w:p>
    <w:p>
      <w:pPr>
        <w:spacing w:after="320"/>
      </w:pPr>
      <w:r>
        <w:rPr>
          <w:rFonts w:ascii="Arial" w:hAnsi="Arial"/>
          <w:color w:val="3B82F6"/>
          <w:sz w:val="26"/>
        </w:rPr>
        <w:t>Authoritative Master Technical, Machine Learning, Clinical Decision-Support &amp; Software Architecture Review Report</w:t>
      </w:r>
    </w:p>
    <w:p>
      <w:pPr>
        <w:spacing w:after="400"/>
      </w:pPr>
      <w:r>
        <w:rPr>
          <w:rFonts w:ascii="Arial" w:hAnsi="Arial"/>
          <w:color w:val="64748B"/>
          <w:sz w:val="19"/>
        </w:rPr>
        <w:t>Author / Lead Architect: Swaran Gunda | Version: v4.0-final Production Baseline | Date: September 1, 2026 | Status: Release-Gate Verified &amp; Live Deployed</w:t>
      </w:r>
    </w:p>
    <w:p>
      <w:r>
        <w:br w:type="page"/>
      </w:r>
    </w:p>
    <w:p>
      <w:pPr>
        <w:pStyle w:val="Heading1"/>
        <w:spacing w:before="280" w:after="120"/>
      </w:pPr>
      <w:r>
        <w:rPr>
          <w:rFonts w:ascii="Arial" w:hAnsi="Arial"/>
          <w:b/>
          <w:color w:val="1E3A8A"/>
          <w:sz w:val="30"/>
        </w:rPr>
        <w:t>TELEMED AI v4: MULTIMODAL METABOLIC DECISION SUPPORT PLATFORM</w:t>
      </w:r>
    </w:p>
    <w:p>
      <w:pPr>
        <w:pStyle w:val="Heading2"/>
        <w:spacing w:before="200" w:after="80"/>
      </w:pPr>
      <w:r>
        <w:rPr>
          <w:rFonts w:ascii="Arial" w:hAnsi="Arial"/>
          <w:b/>
          <w:color w:val="3B82F6"/>
          <w:sz w:val="24"/>
        </w:rPr>
        <w:t>Comprehensive Technical, Machine Learning, Clinical Decision-Support &amp; Architecture Review Report</w:t>
      </w:r>
    </w:p>
    <w:p>
      <w:pPr>
        <w:spacing w:before="40" w:after="80"/>
      </w:pPr>
      <w:r>
        <w:rPr>
          <w:rFonts w:ascii="Arial" w:hAnsi="Arial"/>
          <w:color w:val="334155"/>
          <w:sz w:val="19"/>
        </w:rPr>
      </w:r>
      <w:r>
        <w:rPr>
          <w:rFonts w:ascii="Arial" w:hAnsi="Arial"/>
          <w:b/>
          <w:color w:val="0F172A"/>
          <w:sz w:val="19"/>
        </w:rPr>
        <w:t>Author &amp; Lead Architect:</w:t>
      </w:r>
      <w:r>
        <w:rPr>
          <w:rFonts w:ascii="Arial" w:hAnsi="Arial"/>
          <w:color w:val="334155"/>
          <w:sz w:val="19"/>
        </w:rPr>
        <w:t xml:space="preserve"> Swaran Gunda</w:t>
      </w:r>
    </w:p>
    <w:p>
      <w:pPr>
        <w:spacing w:before="40" w:after="80"/>
      </w:pPr>
      <w:r>
        <w:rPr>
          <w:rFonts w:ascii="Arial" w:hAnsi="Arial"/>
          <w:color w:val="334155"/>
          <w:sz w:val="19"/>
        </w:rPr>
      </w:r>
      <w:r>
        <w:rPr>
          <w:rFonts w:ascii="Arial" w:hAnsi="Arial"/>
          <w:b/>
          <w:color w:val="0F172A"/>
          <w:sz w:val="19"/>
        </w:rPr>
        <w:t>Document 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pPr>
        <w:spacing w:before="40" w:after="80"/>
      </w:pPr>
      <w:r>
        <w:rPr>
          <w:rFonts w:ascii="Arial" w:hAnsi="Arial"/>
          <w:color w:val="334155"/>
          <w:sz w:val="19"/>
        </w:rPr>
      </w:r>
      <w:r>
        <w:rPr>
          <w:rFonts w:ascii="Arial" w:hAnsi="Arial"/>
          <w:b/>
          <w:color w:val="0F172A"/>
          <w:sz w:val="19"/>
        </w:rPr>
        <w:t>Target Audience:</w:t>
      </w:r>
      <w:r>
        <w:rPr>
          <w:rFonts w:ascii="Arial" w:hAnsi="Arial"/>
          <w:color w:val="334155"/>
          <w:sz w:val="19"/>
        </w:rPr>
        <w:t xml:space="preserve"> Academic Review Committees, External Viva Examiners, Senior Software Engineers, Clinical AI Researchers, and Project Team Members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 EXECUTIVE SUMMARY &amp; SYSTEM OVERVIEW</w:t>
      </w:r>
    </w:p>
    <w:p>
      <w:pPr>
        <w:pStyle w:val="Heading3"/>
        <w:spacing w:before="160" w:after="40"/>
      </w:pPr>
      <w:r>
        <w:rPr>
          <w:rFonts w:ascii="Arial" w:hAnsi="Arial"/>
          <w:b/>
          <w:color w:val="0F172A"/>
          <w:sz w:val="21"/>
        </w:rPr>
        <w:t>1.1 Project Title and Core Definition</w:t>
      </w:r>
    </w:p>
    <w:p>
      <w:pPr>
        <w:pStyle w:val="ListBullet"/>
        <w:spacing w:before="20" w:after="20"/>
      </w:pPr>
      <w:r>
        <w:rPr>
          <w:rFonts w:ascii="Arial" w:hAnsi="Arial"/>
          <w:color w:val="334155"/>
          <w:sz w:val="19"/>
        </w:rPr>
      </w:r>
      <w:r>
        <w:rPr>
          <w:rFonts w:ascii="Arial" w:hAnsi="Arial"/>
          <w:b/>
          <w:color w:val="0F172A"/>
          <w:sz w:val="19"/>
        </w:rPr>
        <w:t>Formal Project Title:</w:t>
      </w:r>
      <w:r>
        <w:rPr>
          <w:rFonts w:ascii="Arial" w:hAnsi="Arial"/>
          <w:color w:val="334155"/>
          <w:sz w:val="19"/>
        </w:rPr>
        <w:t xml:space="preserve"> TeleMed AI v4 — Generative AI-Assisted Multimodal Clinical Decision-Support and Telemedicine Platform.</w:t>
      </w:r>
    </w:p>
    <w:p>
      <w:r>
        <w:t>ABSTRACT</w:t>
      </w:r>
    </w:p>
    <w:p>
      <w:r>
        <w:t>The proposed system employs modality-specific machine learning expert models and probability-level multimodal fusion to generate risk predictions for five metabolic conditions while dynamically handling different combinations of available patient modalities without numerically imputing an entirely unavailable modality. Explainable AI using TreeSHAP is incorporated to identify influential features and provide transparent interpretations of model predictions. A Retrieval-Augmented Generation (RAG) and Generative AI layer further transforms structured model outputs and relevant medical evidence into understandable, clinician-friendly summaries and personalized health recommendations. The platform also provides patient and healthcare-professional interfaces supporting health-data management, risk visualization, report generation, and remote consultation workflows.</w:t>
      </w:r>
    </w:p>
    <w:p>
      <w:r>
        <w:t>The system is designed as a research-oriented clinical decision-support framework rather than an autonomous diagnostic system. Its machine-learning evaluation is conducted using a synthetically generated multimodal cohort, providing a controlled environment for evaluating multimodal prediction, explainability, and dynamic modality handling. The proposed platform demonstrates how gut microbiome information, wearable data, clinical parameters, explainable machine learning, and Generative AI can be integrated into a unified telemedicine framework for personalized metabolic health decision support.</w:t>
      </w:r>
    </w:p>
    <w:p>
      <w:pPr>
        <w:pStyle w:val="ListBullet"/>
        <w:spacing w:before="20" w:after="20"/>
      </w:pPr>
      <w:r>
        <w:t>Project Abstract: Metabolic diseases such as Type 2 Diabetes, Prediabetes, High Adiposity Risk, Metabolic Syndrome, and Non-Alcoholic Fatty Liver Disease are influenced by complex interactions among clinical, lifestyle, wearable, and gut microbiome factors. However, existing telemedicine systems primarily rely on conventional clinical and wearable data and provide limited integration of gut microbiome information. In addition, many AI-assisted healthcare systems offer limited interpretability, personalized recommendations, and clinician-friendly synthesis of heterogeneous patient data. This project proposes a Generative AI Assisted Telemedicine Platform for Personalized Gut Microbiome Analysis that integrates clinical, wearable/Continuous Glucose Monitoring (CGM), and gut microbiome data within a unified telemedicine environment.</w:t>
      </w:r>
    </w:p>
    <w:p>
      <w:pPr>
        <w:pStyle w:val="Heading3"/>
        <w:spacing w:before="160" w:after="40"/>
      </w:pPr>
      <w:r>
        <w:rPr>
          <w:rFonts w:ascii="Arial" w:hAnsi="Arial"/>
          <w:b/>
          <w:color w:val="0F172A"/>
          <w:sz w:val="21"/>
        </w:rPr>
        <w:t>1.2 The Five Target Metabolic Conditions</w:t>
      </w:r>
    </w:p>
    <w:p>
      <w:pPr>
        <w:spacing w:before="40" w:after="80"/>
      </w:pPr>
      <w:r>
        <w:rPr>
          <w:rFonts w:ascii="Arial" w:hAnsi="Arial"/>
          <w:color w:val="334155"/>
          <w:sz w:val="19"/>
        </w:rPr>
        <w:t>The platform evaluates patient health across exactly five interconnected metabolic and chronic conditions:</w:t>
      </w:r>
    </w:p>
    <w:p>
      <w:pPr>
        <w:spacing w:before="40" w:after="80"/>
      </w:pPr>
      <w:r>
        <w:rPr>
          <w:rFonts w:ascii="Arial" w:hAnsi="Arial"/>
          <w:color w:val="334155"/>
          <w:sz w:val="19"/>
        </w:rPr>
        <w:t xml:space="preserve">1. </w:t>
      </w:r>
      <w:r>
        <w:rPr>
          <w:rFonts w:ascii="Arial" w:hAnsi="Arial"/>
          <w:b/>
          <w:color w:val="0F172A"/>
          <w:sz w:val="19"/>
        </w:rPr>
        <w:t>Type 2 Diabetes (T2D):</w:t>
      </w:r>
      <w:r>
        <w:rPr>
          <w:rFonts w:ascii="Arial" w:hAnsi="Arial"/>
          <w:color w:val="334155"/>
          <w:sz w:val="19"/>
        </w:rPr>
        <w:t xml:space="preserve"> Chronic insulin resistance accompanied by progressive pancreatic beta-cell dysfunction and sustained hyperglycemia.</w:t>
      </w:r>
    </w:p>
    <w:p>
      <w:pPr>
        <w:spacing w:before="40" w:after="80"/>
      </w:pPr>
      <w:r>
        <w:rPr>
          <w:rFonts w:ascii="Arial" w:hAnsi="Arial"/>
          <w:color w:val="334155"/>
          <w:sz w:val="19"/>
        </w:rPr>
        <w:t xml:space="preserve">2. </w:t>
      </w:r>
      <w:r>
        <w:rPr>
          <w:rFonts w:ascii="Arial" w:hAnsi="Arial"/>
          <w:b/>
          <w:color w:val="0F172A"/>
          <w:sz w:val="19"/>
        </w:rPr>
        <w:t>Prediabetes:</w:t>
      </w:r>
      <w:r>
        <w:rPr>
          <w:rFonts w:ascii="Arial" w:hAnsi="Arial"/>
          <w:color w:val="334155"/>
          <w:sz w:val="19"/>
        </w:rPr>
        <w:t xml:space="preserve"> An intermediate metabolic state where blood glucose levels are above normal but below the clinical diagnostic threshold for diabetes, representing the primary window for reversible lifestyle intervention.</w:t>
      </w:r>
    </w:p>
    <w:p>
      <w:pPr>
        <w:spacing w:before="40" w:after="80"/>
      </w:pPr>
      <w:r>
        <w:rPr>
          <w:rFonts w:ascii="Arial" w:hAnsi="Arial"/>
          <w:color w:val="334155"/>
          <w:sz w:val="19"/>
        </w:rPr>
        <w:t xml:space="preserve">3. </w:t>
      </w:r>
      <w:r>
        <w:rPr>
          <w:rFonts w:ascii="Arial" w:hAnsi="Arial"/>
          <w:b/>
          <w:color w:val="0F172A"/>
          <w:sz w:val="19"/>
        </w:rPr>
        <w:t>High Adiposity Risk (Obesity):</w:t>
      </w:r>
      <w:r>
        <w:rPr>
          <w:rFonts w:ascii="Arial" w:hAnsi="Arial"/>
          <w:color w:val="334155"/>
          <w:sz w:val="19"/>
        </w:rPr>
        <w:t xml:space="preserve"> Pathological accumulation of visceral and subcutaneous adipose tissue characterized by elevated BMI and excessive waist circumference, driving systemic low-grade inflammation.</w:t>
      </w:r>
    </w:p>
    <w:p>
      <w:pPr>
        <w:spacing w:before="40" w:after="80"/>
      </w:pPr>
      <w:r>
        <w:rPr>
          <w:rFonts w:ascii="Arial" w:hAnsi="Arial"/>
          <w:color w:val="334155"/>
          <w:sz w:val="19"/>
        </w:rPr>
        <w:t xml:space="preserve">4. </w:t>
      </w:r>
      <w:r>
        <w:rPr>
          <w:rFonts w:ascii="Arial" w:hAnsi="Arial"/>
          <w:b/>
          <w:color w:val="0F172A"/>
          <w:sz w:val="19"/>
        </w:rPr>
        <w:t>Metabolic Syndrome (MetSyn):</w:t>
      </w:r>
      <w:r>
        <w:rPr>
          <w:rFonts w:ascii="Arial" w:hAnsi="Arial"/>
          <w:color w:val="334155"/>
          <w:sz w:val="19"/>
        </w:rPr>
        <w:t xml:space="preserve"> A cluster of co-occurring cardiovascular risk factors including central adiposity, elevated triglycerides, reduced HDL cholesterol, elevated fasting glucose, and elevated blood pressure.</w:t>
      </w:r>
    </w:p>
    <w:p>
      <w:pPr>
        <w:spacing w:before="40" w:after="80"/>
      </w:pPr>
      <w:r>
        <w:rPr>
          <w:rFonts w:ascii="Arial" w:hAnsi="Arial"/>
          <w:color w:val="334155"/>
          <w:sz w:val="19"/>
        </w:rPr>
        <w:t xml:space="preserve">5. </w:t>
      </w:r>
      <w:r>
        <w:rPr>
          <w:rFonts w:ascii="Arial" w:hAnsi="Arial"/>
          <w:b/>
          <w:color w:val="0F172A"/>
          <w:sz w:val="19"/>
        </w:rPr>
        <w:t>Non-Alcoholic Fatty Liver Disease (NAFLD / MASLD):</w:t>
      </w:r>
      <w:r>
        <w:rPr>
          <w:rFonts w:ascii="Arial" w:hAnsi="Arial"/>
          <w:color w:val="334155"/>
          <w:sz w:val="19"/>
        </w:rPr>
        <w:t xml:space="preserve"> Hepatic steatosis occurring in the absence of significant alcohol consumption, strongly linked to insulin resistance and gut microbial dysbiosis.</w:t>
      </w:r>
    </w:p>
    <w:p>
      <w:pPr>
        <w:pStyle w:val="Heading3"/>
        <w:spacing w:before="160" w:after="40"/>
      </w:pPr>
      <w:r>
        <w:rPr>
          <w:rFonts w:ascii="Arial" w:hAnsi="Arial"/>
          <w:b/>
          <w:color w:val="0F172A"/>
          <w:sz w:val="21"/>
        </w:rPr>
        <w:t>1.3 The Core Clinical Problem Solved: Incomplete Data in Telemedicine</w:t>
      </w:r>
    </w:p>
    <w:p>
      <w:pPr>
        <w:spacing w:before="40" w:after="80"/>
      </w:pPr>
      <w:r>
        <w:rPr>
          <w:rFonts w:ascii="Arial" w:hAnsi="Arial"/>
          <w:color w:val="334155"/>
          <w:sz w:val="19"/>
        </w:rPr>
        <w:t>In modern clinical practice and remote digital healthcare, patient health records are inherently incomplete:</w:t>
      </w:r>
    </w:p>
    <w:p>
      <w:pPr>
        <w:pStyle w:val="ListBullet"/>
        <w:spacing w:before="20" w:after="20"/>
      </w:pPr>
      <w:r>
        <w:rPr>
          <w:rFonts w:ascii="Arial" w:hAnsi="Arial"/>
          <w:color w:val="334155"/>
          <w:sz w:val="19"/>
        </w:rPr>
        <w:t>A patient using a mobile health app might upload routine annual blood test results but may not own a continuous glucose monitor (CGM) or smartwatch.</w:t>
      </w:r>
    </w:p>
    <w:p>
      <w:pPr>
        <w:pStyle w:val="ListBullet"/>
        <w:spacing w:before="20" w:after="20"/>
      </w:pPr>
      <w:r>
        <w:rPr>
          <w:rFonts w:ascii="Arial" w:hAnsi="Arial"/>
          <w:color w:val="334155"/>
          <w:sz w:val="19"/>
        </w:rPr>
        <w:t>Another health-conscious patient might have weeks of continuous wearable heart rate and glucose data but has not undergone specialized 16S gut microbiome sequencing.</w:t>
      </w:r>
    </w:p>
    <w:p>
      <w:pPr>
        <w:pStyle w:val="ListBullet"/>
        <w:spacing w:before="20" w:after="20"/>
      </w:pPr>
      <w:r>
        <w:rPr>
          <w:rFonts w:ascii="Arial" w:hAnsi="Arial"/>
          <w:color w:val="334155"/>
          <w:sz w:val="19"/>
        </w:rPr>
        <w:t>A third patient might provide both blood work and wearable data but lacks metagenomic profiling.</w:t>
      </w:r>
    </w:p>
    <w:p>
      <w:pPr>
        <w:spacing w:before="40" w:after="80"/>
      </w:pPr>
      <w:r>
        <w:rPr>
          <w:rFonts w:ascii="Arial" w:hAnsi="Arial"/>
          <w:color w:val="334155"/>
          <w:sz w:val="19"/>
        </w:rPr>
      </w:r>
      <w:r>
        <w:rPr>
          <w:rFonts w:ascii="Arial" w:hAnsi="Arial"/>
          <w:b/>
          <w:color w:val="0F172A"/>
          <w:sz w:val="19"/>
        </w:rPr>
        <w:t>Why Traditional Healthcare AI Systems Fail:</w:t>
      </w:r>
      <w:r>
        <w:rPr>
          <w:rFonts w:ascii="Arial" w:hAnsi="Arial"/>
          <w:color w:val="334155"/>
          <w:sz w:val="19"/>
        </w:rPr>
      </w:r>
    </w:p>
    <w:p>
      <w:pPr>
        <w:spacing w:before="40" w:after="80"/>
      </w:pPr>
      <w:r>
        <w:rPr>
          <w:rFonts w:ascii="Arial" w:hAnsi="Arial"/>
          <w:color w:val="334155"/>
          <w:sz w:val="19"/>
        </w:rPr>
        <w:t>Conventional machine learning models require a fixed, predetermined set of input features. When a patient presents with missing laboratory tests or sensor streams, existing systems suffer from critical flaws:</w:t>
      </w:r>
    </w:p>
    <w:p>
      <w:pPr>
        <w:spacing w:before="40" w:after="80"/>
      </w:pPr>
      <w:r>
        <w:rPr>
          <w:rFonts w:ascii="Arial" w:hAnsi="Arial"/>
          <w:color w:val="334155"/>
          <w:sz w:val="19"/>
        </w:rPr>
        <w:t xml:space="preserve">1. </w:t>
      </w:r>
      <w:r>
        <w:rPr>
          <w:rFonts w:ascii="Arial" w:hAnsi="Arial"/>
          <w:b/>
          <w:color w:val="0F172A"/>
          <w:sz w:val="19"/>
        </w:rPr>
        <w:t>System Crashing:</w:t>
      </w:r>
      <w:r>
        <w:rPr>
          <w:rFonts w:ascii="Arial" w:hAnsi="Arial"/>
          <w:color w:val="334155"/>
          <w:sz w:val="19"/>
        </w:rPr>
        <w:t xml:space="preserve"> Fixed-input neural networks or decision trees throw dimension mismatch exceptions and refuse to generate any prediction.</w:t>
      </w:r>
    </w:p>
    <w:p>
      <w:pPr>
        <w:spacing w:before="40" w:after="80"/>
      </w:pPr>
      <w:r>
        <w:rPr>
          <w:rFonts w:ascii="Arial" w:hAnsi="Arial"/>
          <w:color w:val="334155"/>
          <w:sz w:val="19"/>
        </w:rPr>
        <w:t xml:space="preserve">2. </w:t>
      </w:r>
      <w:r>
        <w:rPr>
          <w:rFonts w:ascii="Arial" w:hAnsi="Arial"/>
          <w:b/>
          <w:color w:val="0F172A"/>
          <w:sz w:val="19"/>
        </w:rPr>
        <w:t>Forced Data Imputation (Fabrication):</w:t>
      </w:r>
      <w:r>
        <w:rPr>
          <w:rFonts w:ascii="Arial" w:hAnsi="Arial"/>
          <w:color w:val="334155"/>
          <w:sz w:val="19"/>
        </w:rPr>
        <w:t xml:space="preserve"> Traditional systems attempt to fill missing data with synthetic averages (such as mean, median, or K-Nearest Neighbors imputation). In healthcare, imputing synthetic numbers for absent biological markers creates artificial, non-existent physiological relationships. This introduces severe contamination and gives clinicians false confidence based on fabricated numbers.</w:t>
      </w:r>
    </w:p>
    <w:p>
      <w:pPr>
        <w:spacing w:before="40" w:after="80"/>
      </w:pPr>
      <w:r>
        <w:rPr>
          <w:rFonts w:ascii="Arial" w:hAnsi="Arial"/>
          <w:color w:val="334155"/>
          <w:sz w:val="19"/>
        </w:rPr>
        <w:t xml:space="preserve">3. </w:t>
      </w:r>
      <w:r>
        <w:rPr>
          <w:rFonts w:ascii="Arial" w:hAnsi="Arial"/>
          <w:b/>
          <w:color w:val="0F172A"/>
          <w:sz w:val="19"/>
        </w:rPr>
        <w:t>Black-Box Opacity:</w:t>
      </w:r>
      <w:r>
        <w:rPr>
          <w:rFonts w:ascii="Arial" w:hAnsi="Arial"/>
          <w:color w:val="334155"/>
          <w:sz w:val="19"/>
        </w:rPr>
        <w:t xml:space="preserve"> Standard deep learning models output isolated risk percentages (e.g., "74% Risk") without explaining which specific biomarkers caused the elevation, leading to clinician skepticism and rejection.</w:t>
      </w:r>
    </w:p>
    <w:p>
      <w:pPr>
        <w:spacing w:before="40" w:after="80"/>
      </w:pPr>
      <w:r>
        <w:rPr>
          <w:rFonts w:ascii="Arial" w:hAnsi="Arial"/>
          <w:color w:val="334155"/>
          <w:sz w:val="19"/>
        </w:rPr>
        <w:t xml:space="preserve">4. </w:t>
      </w:r>
      <w:r>
        <w:rPr>
          <w:rFonts w:ascii="Arial" w:hAnsi="Arial"/>
          <w:b/>
          <w:color w:val="0F172A"/>
          <w:sz w:val="19"/>
        </w:rPr>
        <w:t>Generative Hallucinations:</w:t>
      </w:r>
      <w:r>
        <w:rPr>
          <w:rFonts w:ascii="Arial" w:hAnsi="Arial"/>
          <w:color w:val="334155"/>
          <w:sz w:val="19"/>
        </w:rPr>
        <w:t xml:space="preserve"> Unconstrained large language model (LLM) chatbots frequently invent medical facts, prescribe unverified medications, and cite non-existent clinical trials.</w:t>
      </w:r>
    </w:p>
    <w:p>
      <w:pPr>
        <w:pStyle w:val="Heading3"/>
        <w:spacing w:before="160" w:after="40"/>
      </w:pPr>
      <w:r>
        <w:rPr>
          <w:rFonts w:ascii="Arial" w:hAnsi="Arial"/>
          <w:b/>
          <w:color w:val="0F172A"/>
          <w:sz w:val="21"/>
        </w:rPr>
        <w:t>1.4 The TeleMed AI v4 Solution &amp; Architectural Pillars</w:t>
      </w:r>
    </w:p>
    <w:p>
      <w:pPr>
        <w:spacing w:before="40" w:after="80"/>
      </w:pPr>
      <w:r>
        <w:rPr>
          <w:rFonts w:ascii="Arial" w:hAnsi="Arial"/>
          <w:color w:val="334155"/>
          <w:sz w:val="19"/>
        </w:rPr>
        <w:t>TeleMed AI v4 eliminates these vulnerabilities through six core technical innovations:</w:t>
      </w:r>
    </w:p>
    <w:p>
      <w:pPr>
        <w:spacing w:before="40" w:after="80"/>
      </w:pPr>
      <w:r>
        <w:rPr>
          <w:rFonts w:ascii="Arial" w:hAnsi="Arial"/>
          <w:color w:val="334155"/>
          <w:sz w:val="19"/>
        </w:rPr>
        <w:t xml:space="preserve">1. </w:t>
      </w:r>
      <w:r>
        <w:rPr>
          <w:rFonts w:ascii="Arial" w:hAnsi="Arial"/>
          <w:b/>
          <w:color w:val="0F172A"/>
          <w:sz w:val="19"/>
        </w:rPr>
        <w:t>Zero-Imputation 7-Pathway Dynamic Routing Engine:</w:t>
      </w:r>
      <w:r>
        <w:rPr>
          <w:rFonts w:ascii="Arial" w:hAnsi="Arial"/>
          <w:color w:val="334155"/>
          <w:sz w:val="19"/>
        </w:rPr>
        <w:t xml:space="preserve"> Evaluates all 2^3 - 1 = 7 mathematical permutations of available patient data (Clinical only, Wearable only, Gut only, Clinical+Wearable, Clinical+Gut, Wearable+Gut, or complete Trimodal). Unprovided tests remain strictly marked as `null` ("NOT PROVIDED") with zero synthetic data imputation.</w:t>
      </w:r>
    </w:p>
    <w:p>
      <w:pPr>
        <w:spacing w:before="40" w:after="80"/>
      </w:pPr>
      <w:r>
        <w:rPr>
          <w:rFonts w:ascii="Arial" w:hAnsi="Arial"/>
          <w:color w:val="334155"/>
          <w:sz w:val="19"/>
        </w:rPr>
        <w:t xml:space="preserve">2. </w:t>
      </w:r>
      <w:r>
        <w:rPr>
          <w:rFonts w:ascii="Arial" w:hAnsi="Arial"/>
          <w:b/>
          <w:color w:val="0F172A"/>
          <w:sz w:val="19"/>
        </w:rPr>
        <w:t>Hierarchical Probability-Level Meta-Stacking:</w:t>
      </w:r>
      <w:r>
        <w:rPr>
          <w:rFonts w:ascii="Arial" w:hAnsi="Arial"/>
          <w:color w:val="334155"/>
          <w:sz w:val="19"/>
        </w:rPr>
        <w:t xml:space="preserve"> Base expert models convert 82 upstream biological features into calibrated disease probabilities. A second-stage regularized meta-learner combines these probabilities using learned, disease-specific weights.</w:t>
      </w:r>
    </w:p>
    <w:p>
      <w:pPr>
        <w:spacing w:before="40" w:after="80"/>
      </w:pPr>
      <w:r>
        <w:rPr>
          <w:rFonts w:ascii="Arial" w:hAnsi="Arial"/>
          <w:color w:val="334155"/>
          <w:sz w:val="19"/>
        </w:rPr>
        <w:t xml:space="preserve">3. </w:t>
      </w:r>
      <w:r>
        <w:rPr>
          <w:rFonts w:ascii="Arial" w:hAnsi="Arial"/>
          <w:b/>
          <w:color w:val="0F172A"/>
          <w:sz w:val="19"/>
        </w:rPr>
        <w:t>Sub-60ms Unified TreeSHAP Explainability:</w:t>
      </w:r>
      <w:r>
        <w:rPr>
          <w:rFonts w:ascii="Arial" w:hAnsi="Arial"/>
          <w:color w:val="334155"/>
          <w:sz w:val="19"/>
        </w:rPr>
        <w:t xml:space="preserve"> Calculates exact, mathematically fair Shapley feature attributions for every prediction, rendering interactive visual waterfall charts that show clinicians the top risk-increasing and protective biomarkers for each individual patient.</w:t>
      </w:r>
    </w:p>
    <w:p>
      <w:pPr>
        <w:spacing w:before="40" w:after="80"/>
      </w:pPr>
      <w:r>
        <w:rPr>
          <w:rFonts w:ascii="Arial" w:hAnsi="Arial"/>
          <w:color w:val="334155"/>
          <w:sz w:val="19"/>
        </w:rPr>
        <w:t xml:space="preserve">4. </w:t>
      </w:r>
      <w:r>
        <w:rPr>
          <w:rFonts w:ascii="Arial" w:hAnsi="Arial"/>
          <w:b/>
          <w:color w:val="0F172A"/>
          <w:sz w:val="19"/>
        </w:rPr>
        <w:t>Deterministic 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source citations, eliminating AI hallucinations.</w:t>
      </w:r>
    </w:p>
    <w:p>
      <w:pPr>
        <w:spacing w:before="40" w:after="80"/>
      </w:pPr>
      <w:r>
        <w:rPr>
          <w:rFonts w:ascii="Arial" w:hAnsi="Arial"/>
          <w:color w:val="334155"/>
          <w:sz w:val="19"/>
        </w:rPr>
        <w:t xml:space="preserve">5. </w:t>
      </w:r>
      <w:r>
        <w:rPr>
          <w:rFonts w:ascii="Arial" w:hAnsi="Arial"/>
          <w:b/>
          <w:color w:val="0F172A"/>
          <w:sz w:val="19"/>
        </w:rPr>
        <w:t>Full-Stack Multi-Portal Web Architecture:</w:t>
      </w:r>
      <w:r>
        <w:rPr>
          <w:rFonts w:ascii="Arial" w:hAnsi="Arial"/>
          <w:color w:val="334155"/>
          <w:sz w:val="19"/>
        </w:rPr>
        <w:t xml:space="preserve"> Dedicated, role-based web portals for Patients (intake, risk dashboard, records vault, appointment booking), Doctors (credential verification, patient chart review queue, consultation notes), and Administrators (doctor application approvals, system telemetry, audit ledgers).</w:t>
      </w:r>
    </w:p>
    <w:p>
      <w:pPr>
        <w:spacing w:before="40" w:after="80"/>
      </w:pPr>
      <w:r>
        <w:rPr>
          <w:rFonts w:ascii="Arial" w:hAnsi="Arial"/>
          <w:color w:val="334155"/>
          <w:sz w:val="19"/>
        </w:rPr>
        <w:t xml:space="preserve">6. </w:t>
      </w:r>
      <w:r>
        <w:rPr>
          <w:rFonts w:ascii="Arial" w:hAnsi="Arial"/>
          <w:b/>
          <w:color w:val="0F172A"/>
          <w:sz w:val="19"/>
        </w:rPr>
        <w:t>Zero-Cost Production Cloud Deployment:</w:t>
      </w:r>
      <w:r>
        <w:rPr>
          <w:rFonts w:ascii="Arial" w:hAnsi="Arial"/>
          <w:color w:val="334155"/>
          <w:sz w:val="19"/>
        </w:rPr>
        <w:t xml:space="preserve"> Fully operational online across Vercel (React 18 frontend), Render (FastAPI backend), and Neon Cloud (PostgreSQL 17) at 0.00 USD monthly operating cost.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 FORMAL PROJECT TITLE &amp; TAXONOMY</w:t>
      </w:r>
    </w:p>
    <w:p>
      <w:pPr>
        <w:pStyle w:val="ListBullet"/>
        <w:spacing w:before="20" w:after="20"/>
      </w:pPr>
      <w:r>
        <w:rPr>
          <w:rFonts w:ascii="Arial" w:hAnsi="Arial"/>
          <w:color w:val="334155"/>
          <w:sz w:val="19"/>
        </w:rPr>
      </w:r>
      <w:r>
        <w:rPr>
          <w:rFonts w:ascii="Arial" w:hAnsi="Arial"/>
          <w:b/>
          <w:color w:val="0F172A"/>
          <w:sz w:val="19"/>
        </w:rPr>
        <w:t>Full Academic Title:</w:t>
      </w:r>
      <w:r>
        <w:rPr>
          <w:rFonts w:ascii="Arial" w:hAnsi="Arial"/>
          <w:color w:val="334155"/>
          <w:sz w:val="19"/>
        </w:rPr>
        <w:t xml:space="preserve"> Design, Implementation, and Empirical Validation of a Zero-Imputation 7-Pathway Multimodal Machine Learning and Retrieval-Augmented Generation Architecture for Metabolic Syndrome Risk Stratification in Distributed Telemedicine Platforms.</w:t>
      </w:r>
    </w:p>
    <w:p>
      <w:pPr>
        <w:pStyle w:val="ListBullet"/>
        <w:spacing w:before="20" w:after="20"/>
      </w:pPr>
      <w:r>
        <w:rPr>
          <w:rFonts w:ascii="Arial" w:hAnsi="Arial"/>
          <w:color w:val="334155"/>
          <w:sz w:val="19"/>
        </w:rPr>
      </w:r>
      <w:r>
        <w:rPr>
          <w:rFonts w:ascii="Arial" w:hAnsi="Arial"/>
          <w:b/>
          <w:color w:val="0F172A"/>
          <w:sz w:val="19"/>
        </w:rPr>
        <w:t>Short Project Identifier:</w:t>
      </w:r>
      <w:r>
        <w:rPr>
          <w:rFonts w:ascii="Arial" w:hAnsi="Arial"/>
          <w:color w:val="334155"/>
          <w:sz w:val="19"/>
        </w:rPr>
        <w:t xml:space="preserve"> TeleMed AI v4 (Production Baseline v4.0-final).</w:t>
      </w:r>
    </w:p>
    <w:p>
      <w:pPr>
        <w:pStyle w:val="ListBullet"/>
        <w:spacing w:before="20" w:after="20"/>
      </w:pPr>
      <w:r>
        <w:rPr>
          <w:rFonts w:ascii="Arial" w:hAnsi="Arial"/>
          <w:color w:val="334155"/>
          <w:sz w:val="19"/>
        </w:rPr>
      </w:r>
      <w:r>
        <w:rPr>
          <w:rFonts w:ascii="Arial" w:hAnsi="Arial"/>
          <w:b/>
          <w:color w:val="0F172A"/>
          <w:sz w:val="19"/>
        </w:rPr>
        <w:t>Primary Subject Classification:</w:t>
      </w:r>
      <w:r>
        <w:rPr>
          <w:rFonts w:ascii="Arial" w:hAnsi="Arial"/>
          <w:color w:val="334155"/>
          <w:sz w:val="19"/>
        </w:rPr>
        <w:t xml:space="preserve"> Multimodal Healthcare Machine Learning, Clinical Decision-Support Systems (CDSS), Explainable Artificial Intelligence (XAI), Retrieval-Augmented Generation (RAG), and Distributed Telemedicine Software Engineering.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 DETAILED PROBLEM STATEMENT &amp; CLINICAL CONTEXT</w:t>
      </w:r>
    </w:p>
    <w:p>
      <w:pPr>
        <w:spacing w:before="40" w:after="80"/>
      </w:pPr>
      <w:r>
        <w:rPr>
          <w:rFonts w:ascii="Arial" w:hAnsi="Arial"/>
          <w:color w:val="334155"/>
          <w:sz w:val="19"/>
        </w:rPr>
        <w:t>Metabolic non-communicable diseases (NCDs) represent a global health crisis responsible for over 70% of premature deaths worldwide. Conditions such as Type 2 Diabetes, Obesity, Metabolic Syndrome, and Fatty Liver Disease (NAFLD) do not develop overnight in isolation; they progress silently over 5 to 10 years through interconnected physiological axes:</w:t>
      </w:r>
    </w:p>
    <w:p>
      <w:pPr>
        <w:spacing w:before="40" w:after="80"/>
      </w:pPr>
      <w:r>
        <w:rPr>
          <w:rFonts w:ascii="Arial" w:hAnsi="Arial"/>
          <w:color w:val="334155"/>
          <w:sz w:val="19"/>
        </w:rPr>
        <w:t xml:space="preserve">1. </w:t>
      </w:r>
      <w:r>
        <w:rPr>
          <w:rFonts w:ascii="Arial" w:hAnsi="Arial"/>
          <w:b/>
          <w:color w:val="0F172A"/>
          <w:sz w:val="19"/>
        </w:rPr>
        <w:t>The Systemic Biochemical Axis:</w:t>
      </w:r>
      <w:r>
        <w:rPr>
          <w:rFonts w:ascii="Arial" w:hAnsi="Arial"/>
          <w:color w:val="334155"/>
          <w:sz w:val="19"/>
        </w:rPr>
        <w:t xml:space="preserve"> Progressive insulin resistance in muscle and adipose tissue leads to impaired glucose uptake, compensatory hyperinsulinemia, elevated fasting blood glucose, elevated glycated hemoglobin (HbA1c), dyslipidemia (high serum triglycerides, low HDL cholesterol), and hepatic inflammation (elevated ALT and AST enzymes).</w:t>
      </w:r>
    </w:p>
    <w:p>
      <w:pPr>
        <w:spacing w:before="40" w:after="80"/>
      </w:pPr>
      <w:r>
        <w:rPr>
          <w:rFonts w:ascii="Arial" w:hAnsi="Arial"/>
          <w:color w:val="334155"/>
          <w:sz w:val="19"/>
        </w:rPr>
        <w:t xml:space="preserve">2. </w:t>
      </w:r>
      <w:r>
        <w:rPr>
          <w:rFonts w:ascii="Arial" w:hAnsi="Arial"/>
          <w:b/>
          <w:color w:val="0F172A"/>
          <w:sz w:val="19"/>
        </w:rPr>
        <w:t>The Dynamic Glycemic &amp; Autonomic Axis:</w:t>
      </w:r>
      <w:r>
        <w:rPr>
          <w:rFonts w:ascii="Arial" w:hAnsi="Arial"/>
          <w:color w:val="334155"/>
          <w:sz w:val="19"/>
        </w:rPr>
        <w:t xml:space="preserve"> Long before fasting blood glucose becomes clinically diabetic, patients exhibit increased glycemic variability (frequent postprandial glucose excursions and nighttime spikes captured by continuous glucose monitoring) and diminished parasympathetic autonomic tone (decreased heart rate variability RMSSD and elevated resting heart rate).</w:t>
      </w:r>
    </w:p>
    <w:p>
      <w:pPr>
        <w:spacing w:before="40" w:after="80"/>
      </w:pPr>
      <w:r>
        <w:rPr>
          <w:rFonts w:ascii="Arial" w:hAnsi="Arial"/>
          <w:color w:val="334155"/>
          <w:sz w:val="19"/>
        </w:rPr>
        <w:t xml:space="preserve">3. </w:t>
      </w:r>
      <w:r>
        <w:rPr>
          <w:rFonts w:ascii="Arial" w:hAnsi="Arial"/>
          <w:b/>
          <w:color w:val="0F172A"/>
          <w:sz w:val="19"/>
        </w:rPr>
        <w:t>The Gut Mucosal &amp; Microbial Axis:</w:t>
      </w:r>
      <w:r>
        <w:rPr>
          <w:rFonts w:ascii="Arial" w:hAnsi="Arial"/>
          <w:color w:val="334155"/>
          <w:sz w:val="19"/>
        </w:rPr>
        <w:t xml:space="preserve"> Alterations in the composition of the intestinal microbiome (gut dysbiosis)—specifically the depletion of obligate anaerobic butyrate-producing bacteria (*Faecalibacterium prausnitzii*, *Roseburia intestinalis*, *Akkermansia muciniphila*) and the overgrowth of pro-inflammatory Gram-negative taxa (*Escherichia coli*, *Klebsiella pneumoniae*)—impair gut epithelial tight junctions. This allows lipopolysaccharide (LPS) endotoxins to translocate into the portal bloodstream, triggering chronic low-grade metabolic endotoxemia and systemic insulin resistance.</w:t>
      </w:r>
    </w:p>
    <w:p>
      <w:pPr>
        <w:spacing w:before="40" w:after="80"/>
      </w:pPr>
      <w:r>
        <w:rPr>
          <w:rFonts w:ascii="Arial" w:hAnsi="Arial"/>
          <w:color w:val="334155"/>
          <w:sz w:val="19"/>
        </w:rPr>
        <w:t>Despite the well-established biological cross-talk among these three axes, modern digital healthcare tools analyze patient data in isolated silos. When patients submit incomplete health profiles during remote telehealth intake, existing software breaks down. TeleMed AI v4 was created to solve this foundational data incompleteness problem through mathematically rigorous dynamic routing.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 CLINICAL &amp; ENGINEERING MOTIVATION</w:t>
      </w:r>
    </w:p>
    <w:p>
      <w:pPr>
        <w:spacing w:before="40" w:after="80"/>
      </w:pPr>
      <w:r>
        <w:rPr>
          <w:rFonts w:ascii="Arial" w:hAnsi="Arial"/>
          <w:color w:val="334155"/>
          <w:sz w:val="19"/>
        </w:rPr>
        <w:t xml:space="preserve">1. </w:t>
      </w:r>
      <w:r>
        <w:rPr>
          <w:rFonts w:ascii="Arial" w:hAnsi="Arial"/>
          <w:b/>
          <w:color w:val="0F172A"/>
          <w:sz w:val="19"/>
        </w:rPr>
        <w:t>Window of Clinical Reversibility:</w:t>
      </w:r>
      <w:r>
        <w:rPr>
          <w:rFonts w:ascii="Arial" w:hAnsi="Arial"/>
          <w:color w:val="334155"/>
          <w:sz w:val="19"/>
        </w:rPr>
        <w:t xml:space="preserve"> Metabolic syndrome and prediabetes are clinically reversible through aggressive dietary and lifestyle modifications if detected early. By combining wearable glycemic dynamics and gut dysbiosis metrics with standard blood tests, TeleMed AI v4 identifies subtle risk patterns years before irreversible microvascular and macrovascular complications develop.</w:t>
      </w:r>
    </w:p>
    <w:p>
      <w:pPr>
        <w:spacing w:before="40" w:after="80"/>
      </w:pPr>
      <w:r>
        <w:rPr>
          <w:rFonts w:ascii="Arial" w:hAnsi="Arial"/>
          <w:color w:val="334155"/>
          <w:sz w:val="19"/>
        </w:rPr>
        <w:t xml:space="preserve">2. </w:t>
      </w:r>
      <w:r>
        <w:rPr>
          <w:rFonts w:ascii="Arial" w:hAnsi="Arial"/>
          <w:b/>
          <w:color w:val="0F172A"/>
          <w:sz w:val="19"/>
        </w:rPr>
        <w:t>Eliminating the Imputation Vulnerability in Telehealth:</w:t>
      </w:r>
      <w:r>
        <w:rPr>
          <w:rFonts w:ascii="Arial" w:hAnsi="Arial"/>
          <w:color w:val="334155"/>
          <w:sz w:val="19"/>
        </w:rPr>
        <w:t xml:space="preserve"> Real-world clinical trials show that over 70% of telehealth patient submissions contain partial laboratory or sensor panels. TeleMed AI v4 provides a robust software architecture that guarantees scientific validity regardless of whether a patient uploads 1, 2, or all 3 modalities.</w:t>
      </w:r>
    </w:p>
    <w:p>
      <w:pPr>
        <w:spacing w:before="40" w:after="80"/>
      </w:pPr>
      <w:r>
        <w:rPr>
          <w:rFonts w:ascii="Arial" w:hAnsi="Arial"/>
          <w:color w:val="334155"/>
          <w:sz w:val="19"/>
        </w:rPr>
        <w:t xml:space="preserve">3. </w:t>
      </w:r>
      <w:r>
        <w:rPr>
          <w:rFonts w:ascii="Arial" w:hAnsi="Arial"/>
          <w:b/>
          <w:color w:val="0F172A"/>
          <w:sz w:val="19"/>
        </w:rPr>
        <w:t>Bridging the Clinical Trust Gap:</w:t>
      </w:r>
      <w:r>
        <w:rPr>
          <w:rFonts w:ascii="Arial" w:hAnsi="Arial"/>
          <w:color w:val="334155"/>
          <w:sz w:val="19"/>
        </w:rPr>
        <w:t xml:space="preserve"> Physicians routinely reject black-box AI scores because an isolated risk probability gives no actionable guidance. TeleMed AI v4 provides transparent biomarker attributions (TreeSHAP) and clinical guideline citations (Medical RAG), empowering doctors to verify the AI's reasoning in seconds.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 RESEARCH &amp; ENGINEERING OBJECTIVES</w:t>
      </w:r>
    </w:p>
    <w:p>
      <w:pPr>
        <w:spacing w:before="40" w:after="80"/>
      </w:pPr>
      <w:r>
        <w:rPr>
          <w:rFonts w:ascii="Arial" w:hAnsi="Arial"/>
          <w:color w:val="334155"/>
          <w:sz w:val="19"/>
        </w:rPr>
        <w:t xml:space="preserve">1. </w:t>
      </w:r>
      <w:r>
        <w:rPr>
          <w:rFonts w:ascii="Arial" w:hAnsi="Arial"/>
          <w:b/>
          <w:color w:val="0F172A"/>
          <w:sz w:val="19"/>
        </w:rPr>
        <w:t>Objective 1 (Dynamic Multimodal Routing):</w:t>
      </w:r>
      <w:r>
        <w:rPr>
          <w:rFonts w:ascii="Arial" w:hAnsi="Arial"/>
          <w:color w:val="334155"/>
          <w:sz w:val="19"/>
        </w:rPr>
        <w:t xml:space="preserve"> Architect and implement a zero-imputation 7-pathway combinatorial routing engine that accepts any non-empty combination of Clinical (18 features), Wearable (15 features), and Gut (49 features) data, processing absent modalities strictly as null values.</w:t>
      </w:r>
    </w:p>
    <w:p>
      <w:pPr>
        <w:spacing w:before="40" w:after="80"/>
      </w:pPr>
      <w:r>
        <w:rPr>
          <w:rFonts w:ascii="Arial" w:hAnsi="Arial"/>
          <w:color w:val="334155"/>
          <w:sz w:val="19"/>
        </w:rPr>
        <w:t xml:space="preserve">2. </w:t>
      </w:r>
      <w:r>
        <w:rPr>
          <w:rFonts w:ascii="Arial" w:hAnsi="Arial"/>
          <w:b/>
          <w:color w:val="0F172A"/>
          <w:sz w:val="19"/>
        </w:rPr>
        <w:t>Objective 2 (Calibrated Multi-Target Stratification):</w:t>
      </w:r>
      <w:r>
        <w:rPr>
          <w:rFonts w:ascii="Arial" w:hAnsi="Arial"/>
          <w:color w:val="334155"/>
          <w:sz w:val="19"/>
        </w:rPr>
        <w:t xml:space="preserve"> Train, tune, and evaluate specialized expert classifiers across 5 metabolic conditions, achieving high sensitivity, high specificity, and well-calibrated probability scores (Brier score &lt; 0.21).</w:t>
      </w:r>
    </w:p>
    <w:p>
      <w:pPr>
        <w:spacing w:before="40" w:after="80"/>
      </w:pPr>
      <w:r>
        <w:rPr>
          <w:rFonts w:ascii="Arial" w:hAnsi="Arial"/>
          <w:color w:val="334155"/>
          <w:sz w:val="19"/>
        </w:rPr>
        <w:t xml:space="preserve">3. </w:t>
      </w:r>
      <w:r>
        <w:rPr>
          <w:rFonts w:ascii="Arial" w:hAnsi="Arial"/>
          <w:b/>
          <w:color w:val="0F172A"/>
          <w:sz w:val="19"/>
        </w:rPr>
        <w:t>Objective 3 (Sub-100ms Explainable AI):</w:t>
      </w:r>
      <w:r>
        <w:rPr>
          <w:rFonts w:ascii="Arial" w:hAnsi="Arial"/>
          <w:color w:val="334155"/>
          <w:sz w:val="19"/>
        </w:rPr>
        <w:t xml:space="preserve"> Integrate Unified TreeSHAP to compute exact local Shapley feature attributions for tree-based models and exact linear attributions for logistic models, generating interactive biomarker waterfall charts in under 60 milliseconds.</w:t>
      </w:r>
    </w:p>
    <w:p>
      <w:pPr>
        <w:spacing w:before="40" w:after="80"/>
      </w:pPr>
      <w:r>
        <w:rPr>
          <w:rFonts w:ascii="Arial" w:hAnsi="Arial"/>
          <w:color w:val="334155"/>
          <w:sz w:val="19"/>
        </w:rPr>
        <w:t xml:space="preserve">4. </w:t>
      </w:r>
      <w:r>
        <w:rPr>
          <w:rFonts w:ascii="Arial" w:hAnsi="Arial"/>
          <w:b/>
          <w:color w:val="0F172A"/>
          <w:sz w:val="19"/>
        </w:rPr>
        <w:t>Objective 4 (Grounded Clinical Synthesis):</w:t>
      </w:r>
      <w:r>
        <w:rPr>
          <w:rFonts w:ascii="Arial" w:hAnsi="Arial"/>
          <w:color w:val="334155"/>
          <w:sz w:val="19"/>
        </w:rPr>
        <w:t xml:space="preserve"> Build an in-memory vector database containing 20 chunked guideline excerpts from 5 leading clinical practice societies (ADA, WHO, AASLD, AHA/NHLBI, ISAPP) to generate personalized clinical care summaries with source citations.</w:t>
      </w:r>
    </w:p>
    <w:p>
      <w:pPr>
        <w:spacing w:before="40" w:after="80"/>
      </w:pPr>
      <w:r>
        <w:rPr>
          <w:rFonts w:ascii="Arial" w:hAnsi="Arial"/>
          <w:color w:val="334155"/>
          <w:sz w:val="19"/>
        </w:rPr>
        <w:t xml:space="preserve">5. </w:t>
      </w:r>
      <w:r>
        <w:rPr>
          <w:rFonts w:ascii="Arial" w:hAnsi="Arial"/>
          <w:b/>
          <w:color w:val="0F172A"/>
          <w:sz w:val="19"/>
        </w:rPr>
        <w:t>Objective 5 (Enterprise Full-Stack Deployment):</w:t>
      </w:r>
      <w:r>
        <w:rPr>
          <w:rFonts w:ascii="Arial" w:hAnsi="Arial"/>
          <w:color w:val="334155"/>
          <w:sz w:val="19"/>
        </w:rPr>
        <w:t xml:space="preserve"> Construct interactive Patient, Doctor, and Admin portals with role-based access control (RBAC), multi-tenant IDOR protection, doctor medical license verification, appointment scheduling, and live zero-cost cloud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 SYSTEM SCOPE &amp; BOUNDARIES</w:t>
      </w:r>
    </w:p>
    <w:p>
      <w:pPr>
        <w:pStyle w:val="ListBullet"/>
        <w:spacing w:before="20" w:after="20"/>
      </w:pPr>
      <w:r>
        <w:rPr>
          <w:rFonts w:ascii="Arial" w:hAnsi="Arial"/>
          <w:color w:val="334155"/>
          <w:sz w:val="19"/>
        </w:rPr>
      </w:r>
      <w:r>
        <w:rPr>
          <w:rFonts w:ascii="Arial" w:hAnsi="Arial"/>
          <w:b/>
          <w:color w:val="0F172A"/>
          <w:sz w:val="19"/>
        </w:rPr>
        <w:t>In-Scope Functionality:</w:t>
      </w:r>
      <w:r>
        <w:rPr>
          <w:rFonts w:ascii="Arial" w:hAnsi="Arial"/>
          <w:color w:val="334155"/>
          <w:sz w:val="19"/>
        </w:rPr>
      </w:r>
    </w:p>
    <w:p>
      <w:pPr>
        <w:spacing w:before="40" w:after="80"/>
      </w:pPr>
      <w:r>
        <w:rPr>
          <w:rFonts w:ascii="Arial" w:hAnsi="Arial"/>
          <w:color w:val="334155"/>
          <w:sz w:val="19"/>
        </w:rPr>
        <w:t>* Ingestion and parsing of digital laboratory report PDFs, scanned image reports (via Tesseract OCR), and JSON sensor payloads.</w:t>
      </w:r>
    </w:p>
    <w:p>
      <w:pPr>
        <w:spacing w:before="40" w:after="80"/>
      </w:pPr>
      <w:r>
        <w:rPr>
          <w:rFonts w:ascii="Arial" w:hAnsi="Arial"/>
          <w:color w:val="334155"/>
          <w:sz w:val="19"/>
        </w:rPr>
        <w:t>* Automated biomarker unit normalization and physiological boundary validation.</w:t>
      </w:r>
    </w:p>
    <w:p>
      <w:pPr>
        <w:spacing w:before="40" w:after="80"/>
      </w:pPr>
      <w:r>
        <w:rPr>
          <w:rFonts w:ascii="Arial" w:hAnsi="Arial"/>
          <w:color w:val="334155"/>
          <w:sz w:val="19"/>
        </w:rPr>
        <w:t>* Dynamic routing across 7 independent machine learning inference pipelines.</w:t>
      </w:r>
    </w:p>
    <w:p>
      <w:pPr>
        <w:spacing w:before="40" w:after="80"/>
      </w:pPr>
      <w:r>
        <w:rPr>
          <w:rFonts w:ascii="Arial" w:hAnsi="Arial"/>
          <w:color w:val="334155"/>
          <w:sz w:val="19"/>
        </w:rPr>
        <w:t>* Multi-label binary risk prediction across 5 metabolic conditions.</w:t>
      </w:r>
    </w:p>
    <w:p>
      <w:pPr>
        <w:spacing w:before="40" w:after="80"/>
      </w:pPr>
      <w:r>
        <w:rPr>
          <w:rFonts w:ascii="Arial" w:hAnsi="Arial"/>
          <w:color w:val="334155"/>
          <w:sz w:val="19"/>
        </w:rPr>
        <w:t>* Visual TreeSHAP feature driver waterfall rendering.</w:t>
      </w:r>
    </w:p>
    <w:p>
      <w:pPr>
        <w:spacing w:before="40" w:after="80"/>
      </w:pPr>
      <w:r>
        <w:rPr>
          <w:rFonts w:ascii="Arial" w:hAnsi="Arial"/>
          <w:color w:val="334155"/>
          <w:sz w:val="19"/>
        </w:rPr>
        <w:t>* Medical RAG guideline retrieval and clinical care summary synthesis.</w:t>
      </w:r>
    </w:p>
    <w:p>
      <w:pPr>
        <w:spacing w:before="40" w:after="80"/>
      </w:pPr>
      <w:r>
        <w:rPr>
          <w:rFonts w:ascii="Arial" w:hAnsi="Arial"/>
          <w:color w:val="334155"/>
          <w:sz w:val="19"/>
        </w:rPr>
        <w:t>* Multi-portal web application with appointment booking, doctor license verification, and secure consultation messaging.</w:t>
      </w:r>
    </w:p>
    <w:p>
      <w:pPr>
        <w:pStyle w:val="ListBullet"/>
        <w:spacing w:before="20" w:after="20"/>
      </w:pPr>
      <w:r>
        <w:rPr>
          <w:rFonts w:ascii="Arial" w:hAnsi="Arial"/>
          <w:color w:val="334155"/>
          <w:sz w:val="19"/>
        </w:rPr>
      </w:r>
      <w:r>
        <w:rPr>
          <w:rFonts w:ascii="Arial" w:hAnsi="Arial"/>
          <w:b/>
          <w:color w:val="0F172A"/>
          <w:sz w:val="19"/>
        </w:rPr>
        <w:t>Out-of-Scope (Strict Clinical Safety Boundaries):</w:t>
      </w:r>
      <w:r>
        <w:rPr>
          <w:rFonts w:ascii="Arial" w:hAnsi="Arial"/>
          <w:color w:val="334155"/>
          <w:sz w:val="19"/>
        </w:rPr>
      </w:r>
    </w:p>
    <w:p>
      <w:pPr>
        <w:spacing w:before="40" w:after="80"/>
      </w:pPr>
      <w:r>
        <w:rPr>
          <w:rFonts w:ascii="Arial" w:hAnsi="Arial"/>
          <w:color w:val="334155"/>
          <w:sz w:val="19"/>
        </w:rPr>
        <w:t>* Autonomous medication prescription (all pharmacological interventions must be authored by a licensed human physician).</w:t>
      </w:r>
    </w:p>
    <w:p>
      <w:pPr>
        <w:spacing w:before="40" w:after="80"/>
      </w:pPr>
      <w:r>
        <w:rPr>
          <w:rFonts w:ascii="Arial" w:hAnsi="Arial"/>
          <w:color w:val="334155"/>
          <w:sz w:val="19"/>
        </w:rPr>
        <w:t>* Definitive autonomous diagnostic verdicts (TeleMed AI v4 functions as an assistive clinical decision-support tool, not an autonomous medical device).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7: STAKEHOLDERS &amp; USER PERSONAS</w:t>
      </w:r>
    </w:p>
    <w:p>
      <w:pPr>
        <w:spacing w:before="40" w:after="80"/>
      </w:pPr>
      <w:r>
        <w:rPr>
          <w:rFonts w:ascii="Arial" w:hAnsi="Arial"/>
          <w:color w:val="334155"/>
          <w:sz w:val="19"/>
        </w:rPr>
        <w:t xml:space="preserve">1. </w:t>
      </w:r>
      <w:r>
        <w:rPr>
          <w:rFonts w:ascii="Arial" w:hAnsi="Arial"/>
          <w:b/>
          <w:color w:val="0F172A"/>
          <w:sz w:val="19"/>
        </w:rPr>
        <w:t>Patient Persona (Self-Service Health Management):</w:t>
      </w:r>
      <w:r>
        <w:rPr>
          <w:rFonts w:ascii="Arial" w:hAnsi="Arial"/>
          <w:color w:val="334155"/>
          <w:sz w:val="19"/>
        </w:rPr>
        <w:t xml:space="preserve"> An individual seeking to understand their metabolic health, upload medical records, review biomarker risk factors, interact with the AI Health Copilot, and book virtual consultations with specialists.</w:t>
      </w:r>
    </w:p>
    <w:p>
      <w:pPr>
        <w:spacing w:before="40" w:after="80"/>
      </w:pPr>
      <w:r>
        <w:rPr>
          <w:rFonts w:ascii="Arial" w:hAnsi="Arial"/>
          <w:color w:val="334155"/>
          <w:sz w:val="19"/>
        </w:rPr>
        <w:t xml:space="preserve">2. </w:t>
      </w:r>
      <w:r>
        <w:rPr>
          <w:rFonts w:ascii="Arial" w:hAnsi="Arial"/>
          <w:b/>
          <w:color w:val="0F172A"/>
          <w:sz w:val="19"/>
        </w:rPr>
        <w:t>Doctor Persona (Clinical Review &amp; Care Planning):</w:t>
      </w:r>
      <w:r>
        <w:rPr>
          <w:rFonts w:ascii="Arial" w:hAnsi="Arial"/>
          <w:color w:val="334155"/>
          <w:sz w:val="19"/>
        </w:rPr>
        <w:t xml:space="preserve"> A licensed physician, endocrinologist, or gastroenterologist who registers, uploads medical credentials for administrative verification, reviews assigned patient charts, inspects AI biomarker drivers, and enters finalized consultation care plans.</w:t>
      </w:r>
    </w:p>
    <w:p>
      <w:pPr>
        <w:spacing w:before="40" w:after="80"/>
      </w:pPr>
      <w:r>
        <w:rPr>
          <w:rFonts w:ascii="Arial" w:hAnsi="Arial"/>
          <w:color w:val="334155"/>
          <w:sz w:val="19"/>
        </w:rPr>
        <w:t xml:space="preserve">3. </w:t>
      </w:r>
      <w:r>
        <w:rPr>
          <w:rFonts w:ascii="Arial" w:hAnsi="Arial"/>
          <w:b/>
          <w:color w:val="0F172A"/>
          <w:sz w:val="19"/>
        </w:rPr>
        <w:t>Administrator Persona (Governance &amp; Compliance):</w:t>
      </w:r>
      <w:r>
        <w:rPr>
          <w:rFonts w:ascii="Arial" w:hAnsi="Arial"/>
          <w:color w:val="334155"/>
          <w:sz w:val="19"/>
        </w:rPr>
        <w:t xml:space="preserve"> A health system compliance officer who reviews doctor medical licenses, approves or rejects doctor registrations, monitors server telemetry, and audits the tamper-evident security ledger.</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8: KEY ARCHITECTURAL INNOVATIONS — EXPLAINED IN DETAIL</w:t>
      </w:r>
    </w:p>
    <w:p>
      <w:pPr>
        <w:spacing w:before="40" w:after="80"/>
      </w:pPr>
      <w:r>
        <w:rPr>
          <w:rFonts w:ascii="Arial" w:hAnsi="Arial"/>
          <w:color w:val="334155"/>
          <w:sz w:val="19"/>
        </w:rPr>
        <w:t>TeleMed AI v4 is built on six interconnected architectural innovations. This section explains each one so that any team member or reviewer can understand exactly what it does and why it matters.</w:t>
      </w:r>
    </w:p>
    <w:p>
      <w:pPr>
        <w:pStyle w:val="Heading3"/>
        <w:spacing w:before="160" w:after="40"/>
      </w:pPr>
      <w:r>
        <w:rPr>
          <w:rFonts w:ascii="Arial" w:hAnsi="Arial"/>
          <w:b/>
          <w:color w:val="0F172A"/>
          <w:sz w:val="21"/>
        </w:rPr>
        <w:t>Innovation 1: Zero-Imputation 7-Pathway Dynamic Routing Engine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When a patient submits health data, the system first checks which of the three test categories (Clinical blood tests, Wearable/CGM sensor data, Gut microbiome sequencing) are actually present. Based on which modalities are available, the system automatically selects and executes the correct machine learning pipeline from a set of 7 pre-trained pathways — one for every possible combination of the 3 data types.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Traditional AI systems require all input features to be present. If a patient is missing wearable data, the system either crashes or fills in fake numbers (imputation). In healthcare, imputing fake biological values is dangerous because it creates artificial physiological relationships that don't exist. Our routing engine never fabricates data — if a test is missing, it remains marked as "NOT PROVIDED" and the system routes to a pipeline trained specifically on the data that IS available.</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incoming data payload arrives at the backend API endpoint (`POST /api/v1/predict/analyze`).</w:t>
      </w:r>
    </w:p>
    <w:p>
      <w:pPr>
        <w:spacing w:before="40" w:after="80"/>
      </w:pPr>
      <w:r>
        <w:rPr>
          <w:rFonts w:ascii="Arial" w:hAnsi="Arial"/>
          <w:color w:val="334155"/>
          <w:sz w:val="19"/>
        </w:rPr>
        <w:t>2. The Schema Validator (`v3_schema_validator.py`) scans the payload and classifies each of the 3 modalities as either PRESENT or NULL.</w:t>
      </w:r>
    </w:p>
    <w:p>
      <w:pPr>
        <w:spacing w:before="40" w:after="80"/>
      </w:pPr>
      <w:r>
        <w:rPr>
          <w:rFonts w:ascii="Arial" w:hAnsi="Arial"/>
          <w:color w:val="334155"/>
          <w:sz w:val="19"/>
        </w:rPr>
        <w:t>3. Based on which modalities are present, the Router (`v3_scientific_router.py`) selects the matching pathway key: `C`, `W`, `G`, `C+W`, `C+G`, `W+G`, or `C+W+G`.</w:t>
      </w:r>
    </w:p>
    <w:p>
      <w:pPr>
        <w:spacing w:before="40" w:after="80"/>
      </w:pPr>
      <w:r>
        <w:rPr>
          <w:rFonts w:ascii="Arial" w:hAnsi="Arial"/>
          <w:color w:val="334155"/>
          <w:sz w:val="19"/>
        </w:rPr>
        <w:t>4. The selected pathway's pre-trained model artifacts are loaded from `.joblib` files and inference is executed.</w:t>
      </w:r>
    </w:p>
    <w:p>
      <w:pPr>
        <w:spacing w:before="40" w:after="80"/>
      </w:pPr>
      <w:r>
        <w:rPr>
          <w:rFonts w:ascii="Arial" w:hAnsi="Arial"/>
          <w:color w:val="334155"/>
          <w:sz w:val="19"/>
        </w:rPr>
        <w:t>5. Results flow downstream to the TreeSHAP explainer and Medical RAG synthesizer.</w:t>
      </w:r>
    </w:p>
    <w:p>
      <w:pPr>
        <w:spacing w:before="40" w:after="80"/>
      </w:pPr>
      <w:r>
        <w:rPr>
          <w:rFonts w:ascii="Arial" w:hAnsi="Arial"/>
          <w:color w:val="334155"/>
          <w:sz w:val="19"/>
        </w:rPr>
      </w:r>
      <w:r>
        <w:rPr>
          <w:rFonts w:ascii="Arial" w:hAnsi="Arial"/>
          <w:b/>
          <w:color w:val="0F172A"/>
          <w:sz w:val="19"/>
        </w:rPr>
        <w:t>The mathematical basis:</w:t>
      </w:r>
      <w:r>
        <w:rPr>
          <w:rFonts w:ascii="Arial" w:hAnsi="Arial"/>
          <w:color w:val="334155"/>
          <w:sz w:val="19"/>
        </w:rPr>
        <w:t xml:space="preserve"> With 3 modalities (Clinical, Wearable, Gut), the total number of non-empty subsets is 2^3 - 1 = 7. Each subset represents a unique combination of available data, and each has its own dedicated, independently trained model pipeline. This is exhaustive — there is no possible data combination that falls outside these 7 pathways.</w:t>
      </w:r>
    </w:p>
    <w:p>
      <w:pPr>
        <w:pStyle w:val="Heading3"/>
        <w:spacing w:before="160" w:after="40"/>
      </w:pPr>
      <w:r>
        <w:rPr>
          <w:rFonts w:ascii="Arial" w:hAnsi="Arial"/>
          <w:b/>
          <w:color w:val="0F172A"/>
          <w:sz w:val="21"/>
        </w:rPr>
        <w:t>Innovation 2: Hierarchical Two-Stage Probability Meta-Stacking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Instead of combining all 82 raw biological features into one giant model (which would break when features are missing), the system uses a two-stage approach. In Stage 1, three specialized "expert" models each process their own domain (blood chemistry, wearable sensors, gut bacteria). Each expert outputs 5 calibrated probability scores (one per disease). In Stage 2, a second-level "meta-learner" model takes those probability scores as its input and computes the final fused risk score.</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This design means each expert model is optimized for its own biological domain. The meta-learner then learns how much to trust each expert for each specific disease. For example, for Type 2 Diabetes, the meta-learner learns that the Clinical expert should be weighted at 80.5% while the Wearable expert contributes 19.5% — because blood HbA1c is the gold-standard diabetes marker, while CGM data provides useful secondary confirmation.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Stage 1: The Clinical Expert (18 features) runs 5 binary classifiers and outputs 5 probability scores. The Wearable Expert (15 features) does the same. The Gut Expert (49 features) does the same. This produces 15 total probability values (3 modalities x 5 diseases).</w:t>
      </w:r>
    </w:p>
    <w:p>
      <w:pPr>
        <w:spacing w:before="40" w:after="80"/>
      </w:pPr>
      <w:r>
        <w:rPr>
          <w:rFonts w:ascii="Arial" w:hAnsi="Arial"/>
          <w:color w:val="334155"/>
          <w:sz w:val="19"/>
        </w:rPr>
        <w:t>2. Stage 2: For each disease target, the Meta-Learner takes a 3-element probability vector [P_Clinical, P_Wearable, P_Gut] and computes a final weighted combination using disease-specific learned weights.</w:t>
      </w:r>
    </w:p>
    <w:p>
      <w:pPr>
        <w:spacing w:before="40" w:after="80"/>
      </w:pPr>
      <w:r>
        <w:rPr>
          <w:rFonts w:ascii="Arial" w:hAnsi="Arial"/>
          <w:color w:val="334155"/>
          <w:sz w:val="19"/>
        </w:rPr>
        <w:t>3. The final output is 5 calibrated risk scores between 0% and 100%, one per metabolic condition.</w:t>
      </w:r>
    </w:p>
    <w:p>
      <w:pPr>
        <w:spacing w:before="40" w:after="80"/>
      </w:pPr>
      <w:r>
        <w:rPr>
          <w:rFonts w:ascii="Arial" w:hAnsi="Arial"/>
          <w:color w:val="334155"/>
          <w:sz w:val="19"/>
        </w:rPr>
      </w:r>
      <w:r>
        <w:rPr>
          <w:rFonts w:ascii="Arial" w:hAnsi="Arial"/>
          <w:b/>
          <w:color w:val="0F172A"/>
          <w:sz w:val="19"/>
        </w:rPr>
        <w:t>What "Late Fusion" means:</w:t>
      </w:r>
      <w:r>
        <w:rPr>
          <w:rFonts w:ascii="Arial" w:hAnsi="Arial"/>
          <w:color w:val="334155"/>
          <w:sz w:val="19"/>
        </w:rPr>
        <w:t xml:space="preserve"> In machine learning literature, there are three types of multimodal fusion:</w:t>
      </w:r>
    </w:p>
    <w:p>
      <w:pPr>
        <w:pStyle w:val="ListBullet"/>
        <w:spacing w:before="20" w:after="20"/>
      </w:pPr>
      <w:r>
        <w:rPr>
          <w:rFonts w:ascii="Arial" w:hAnsi="Arial"/>
          <w:color w:val="334155"/>
          <w:sz w:val="19"/>
        </w:rPr>
      </w:r>
      <w:r>
        <w:rPr>
          <w:rFonts w:ascii="Arial" w:hAnsi="Arial"/>
          <w:b/>
          <w:color w:val="0F172A"/>
          <w:sz w:val="19"/>
        </w:rPr>
        <w:t>Early Fusion:</w:t>
      </w:r>
      <w:r>
        <w:rPr>
          <w:rFonts w:ascii="Arial" w:hAnsi="Arial"/>
          <w:color w:val="334155"/>
          <w:sz w:val="19"/>
        </w:rPr>
        <w:t xml:space="preserve"> Concatenate all raw features into one vector and train one model. Fails when features are missing.</w:t>
      </w:r>
    </w:p>
    <w:p>
      <w:pPr>
        <w:pStyle w:val="ListBullet"/>
        <w:spacing w:before="20" w:after="20"/>
      </w:pPr>
      <w:r>
        <w:rPr>
          <w:rFonts w:ascii="Arial" w:hAnsi="Arial"/>
          <w:color w:val="334155"/>
          <w:sz w:val="19"/>
        </w:rPr>
      </w:r>
      <w:r>
        <w:rPr>
          <w:rFonts w:ascii="Arial" w:hAnsi="Arial"/>
          <w:b/>
          <w:color w:val="0F172A"/>
          <w:sz w:val="19"/>
        </w:rPr>
        <w:t>Intermediate Fusion:</w:t>
      </w:r>
      <w:r>
        <w:rPr>
          <w:rFonts w:ascii="Arial" w:hAnsi="Arial"/>
          <w:color w:val="334155"/>
          <w:sz w:val="19"/>
        </w:rPr>
        <w:t xml:space="preserve"> Share hidden layers between modality-specific neural networks. Requires deep learning and is harder to explain.</w:t>
      </w:r>
    </w:p>
    <w:p>
      <w:pPr>
        <w:pStyle w:val="ListBullet"/>
        <w:spacing w:before="20" w:after="20"/>
      </w:pPr>
      <w:r>
        <w:rPr>
          <w:rFonts w:ascii="Arial" w:hAnsi="Arial"/>
          <w:color w:val="334155"/>
          <w:sz w:val="19"/>
        </w:rPr>
      </w:r>
      <w:r>
        <w:rPr>
          <w:rFonts w:ascii="Arial" w:hAnsi="Arial"/>
          <w:b/>
          <w:color w:val="0F172A"/>
          <w:sz w:val="19"/>
        </w:rPr>
        <w:t>Late Fusion (our approach):</w:t>
      </w:r>
      <w:r>
        <w:rPr>
          <w:rFonts w:ascii="Arial" w:hAnsi="Arial"/>
          <w:color w:val="334155"/>
          <w:sz w:val="19"/>
        </w:rPr>
        <w:t xml:space="preserve"> Each modality has an independent model that produces probability outputs. These probabilities are then combined by a separate fusion model. This is the most robust to missing data and the most interpretable.</w:t>
      </w:r>
    </w:p>
    <w:p>
      <w:pPr>
        <w:pStyle w:val="Heading3"/>
        <w:spacing w:before="160" w:after="40"/>
      </w:pPr>
      <w:r>
        <w:rPr>
          <w:rFonts w:ascii="Arial" w:hAnsi="Arial"/>
          <w:b/>
          <w:color w:val="0F172A"/>
          <w:sz w:val="21"/>
        </w:rPr>
        <w:t>Innovation 3: Sub-60ms Unified TreeSHAP Explainability</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For every patient prediction, the system computes exactly which biomarkers pushed the risk score higher (risk drivers) and which biomarkers pushed it lower (protective factors). These attributions are displayed as interactive waterfall charts showing the top positive and negative contributors.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Doctors will not trust a black-box AI that just says "74% diabetes risk" without explanation. TreeSHAP provides mathematically fair, individually-tailored explanations that help clinicians verify the AI's reasoning and take targeted clinical action.</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For tree-based models (XGBoost, CatBoost, RandomForest, ExtraTrees), the system uses `shap.TreeExplainer` which traces all possible decision paths through the tree ensemble in polynomial time O(TLD^2), computing exact Shapley values. T = number of trees, L = maximum leaves per tree, D = maximum depth.</w:t>
      </w:r>
    </w:p>
    <w:p>
      <w:pPr>
        <w:spacing w:before="40" w:after="80"/>
      </w:pPr>
      <w:r>
        <w:rPr>
          <w:rFonts w:ascii="Arial" w:hAnsi="Arial"/>
          <w:color w:val="334155"/>
          <w:sz w:val="19"/>
        </w:rPr>
        <w:t>2. For linear models (LogisticRegression), the system computes exact attributions using the formula: attribution_i = weight_i × (patient_value_i - population_mean_i). This satisfies all four Shapley axioms (efficiency, symmetry, dummy, linearity) and executes in under 2 milliseconds.</w:t>
      </w:r>
    </w:p>
    <w:p>
      <w:pPr>
        <w:spacing w:before="40" w:after="80"/>
      </w:pPr>
      <w:r>
        <w:rPr>
          <w:rFonts w:ascii="Arial" w:hAnsi="Arial"/>
          <w:color w:val="334155"/>
          <w:sz w:val="19"/>
        </w:rPr>
        <w:t>3. Both tree and linear attributions are normalized into a unified waterfall chart format showing red bars (risk-increasing biomarkers) and green bars (protective biomarkers).</w:t>
      </w:r>
    </w:p>
    <w:p>
      <w:pPr>
        <w:spacing w:before="40" w:after="80"/>
      </w:pPr>
      <w:r>
        <w:rPr>
          <w:rFonts w:ascii="Arial" w:hAnsi="Arial"/>
          <w:color w:val="334155"/>
          <w:sz w:val="19"/>
        </w:rPr>
        <w:t>4. The top 5 risk drivers and top 5 protective factors are extracted and passed to the Medical RAG engine for targeted recommendation generation.</w:t>
      </w:r>
    </w:p>
    <w:p>
      <w:pPr>
        <w:spacing w:before="40" w:after="80"/>
      </w:pPr>
      <w:r>
        <w:rPr>
          <w:rFonts w:ascii="Arial" w:hAnsi="Arial"/>
          <w:color w:val="334155"/>
          <w:sz w:val="19"/>
        </w:rPr>
      </w:r>
      <w:r>
        <w:rPr>
          <w:rFonts w:ascii="Arial" w:hAnsi="Arial"/>
          <w:b/>
          <w:color w:val="0F172A"/>
          <w:sz w:val="19"/>
        </w:rPr>
        <w:t>What are Shapley values in simple terms:</w:t>
      </w:r>
      <w:r>
        <w:rPr>
          <w:rFonts w:ascii="Arial" w:hAnsi="Arial"/>
          <w:color w:val="334155"/>
          <w:sz w:val="19"/>
        </w:rPr>
        <w:t xml:space="preserve"> Imagine you are trying to figure out which players on a cricket team contributed most to winning a match. Shapley values calculate each player's contribution by considering every possible combination of teammates and averaging the marginal contribution of that player across all combinations. In our system, "players" are biomarkers (like HbA1c, BMI, heart rate) and the "match result" is the disease risk score.</w:t>
      </w:r>
    </w:p>
    <w:p>
      <w:pPr>
        <w:pStyle w:val="Heading3"/>
        <w:spacing w:before="160" w:after="40"/>
      </w:pPr>
      <w:r>
        <w:rPr>
          <w:rFonts w:ascii="Arial" w:hAnsi="Arial"/>
          <w:b/>
          <w:color w:val="0F172A"/>
          <w:sz w:val="21"/>
        </w:rPr>
        <w:t>Innovation 4: Deterministic Evidence-Grounded Medical RAG</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After computing risk scores and biomarker drivers, the system generates a personalized clinical care summary. Instead of allowing an AI to freely invent medical advice (which causes dangerous hallucinations), the system retrieves relevant text passages from a pre-built database of 20 verified clinical guideline chunks and assembles recommendations by citing those official sources.</w:t>
      </w:r>
    </w:p>
    <w:p>
      <w:pPr>
        <w:spacing w:before="40" w:after="80"/>
      </w:pPr>
      <w:r>
        <w:rPr>
          <w:rFonts w:ascii="Arial" w:hAnsi="Arial"/>
          <w:color w:val="334155"/>
          <w:sz w:val="19"/>
        </w:rPr>
      </w:r>
      <w:r>
        <w:rPr>
          <w:rFonts w:ascii="Arial" w:hAnsi="Arial"/>
          <w:b/>
          <w:color w:val="0F172A"/>
          <w:sz w:val="19"/>
        </w:rPr>
        <w:t>Why it matters:</w:t>
      </w:r>
      <w:r>
        <w:rPr>
          <w:rFonts w:ascii="Arial" w:hAnsi="Arial"/>
          <w:color w:val="334155"/>
          <w:sz w:val="19"/>
        </w:rPr>
        <w:t xml:space="preserve"> Consumer AI chatbots routinely hallucinate medical facts — they may invent drug names, cite non-existent clinical trials, or give contradictory advice. By restricting all recommendations to verified, retrievable guideline text with explicit source citations, the system eliminates the possibility of invented medical advice. Every recommendation can be traced back to a specific page in a specific medical guideline document.</w:t>
      </w:r>
    </w:p>
    <w:p>
      <w:pPr>
        <w:spacing w:before="40" w:after="80"/>
      </w:pPr>
      <w:r>
        <w:rPr>
          <w:rFonts w:ascii="Arial" w:hAnsi="Arial"/>
          <w:color w:val="334155"/>
          <w:sz w:val="19"/>
        </w:rPr>
      </w:r>
      <w:r>
        <w:rPr>
          <w:rFonts w:ascii="Arial" w:hAnsi="Arial"/>
          <w:b/>
          <w:color w:val="0F172A"/>
          <w:sz w:val="19"/>
        </w:rPr>
        <w:t>How it works internally:</w:t>
      </w:r>
      <w:r>
        <w:rPr>
          <w:rFonts w:ascii="Arial" w:hAnsi="Arial"/>
          <w:color w:val="334155"/>
          <w:sz w:val="19"/>
        </w:rPr>
      </w:r>
    </w:p>
    <w:p>
      <w:pPr>
        <w:spacing w:before="40" w:after="80"/>
      </w:pPr>
      <w:r>
        <w:rPr>
          <w:rFonts w:ascii="Arial" w:hAnsi="Arial"/>
          <w:color w:val="334155"/>
          <w:sz w:val="19"/>
        </w:rPr>
        <w:t>1. The patient's top risk conditions and biomarker drivers are converted into a semantic query vector using sentence-transformer embeddings.</w:t>
      </w:r>
    </w:p>
    <w:p>
      <w:pPr>
        <w:spacing w:before="40" w:after="80"/>
      </w:pPr>
      <w:r>
        <w:rPr>
          <w:rFonts w:ascii="Arial" w:hAnsi="Arial"/>
          <w:color w:val="334155"/>
          <w:sz w:val="19"/>
        </w:rPr>
        <w:t>2. The query is compared against 20 pre-embedded guideline chunks from 5 official medical societies (ADA, WHO, AASLD, AHA/NHLBI, ISAPP) using cosine similarity in the in-memory vector index.</w:t>
      </w:r>
    </w:p>
    <w:p>
      <w:pPr>
        <w:spacing w:before="40" w:after="80"/>
      </w:pPr>
      <w:r>
        <w:rPr>
          <w:rFonts w:ascii="Arial" w:hAnsi="Arial"/>
          <w:color w:val="334155"/>
          <w:sz w:val="19"/>
        </w:rPr>
        <w:t>3. The top-matching chunks are retrieved in under 15 milliseconds (no external API call, no internet required).</w:t>
      </w:r>
    </w:p>
    <w:p>
      <w:pPr>
        <w:spacing w:before="40" w:after="80"/>
      </w:pPr>
      <w:r>
        <w:rPr>
          <w:rFonts w:ascii="Arial" w:hAnsi="Arial"/>
          <w:color w:val="334155"/>
          <w:sz w:val="19"/>
        </w:rPr>
        <w:t>4. A structured care summary is assembled using the retrieved text, with each recommendation tagged with its source citation badge (e.g., "[Source: ADA-2024-Standards]").</w:t>
      </w:r>
    </w:p>
    <w:p>
      <w:pPr>
        <w:spacing w:before="40" w:after="80"/>
      </w:pPr>
      <w:r>
        <w:rPr>
          <w:rFonts w:ascii="Arial" w:hAnsi="Arial"/>
          <w:color w:val="334155"/>
          <w:sz w:val="19"/>
        </w:rPr>
        <w:t>5. Anti-hallucination guardrail: If no guideline chunk has a cosine similarity above the 0.60 threshold, the system returns "No matching clinical guideline found" instead of generating speculative advice.</w:t>
      </w:r>
    </w:p>
    <w:p>
      <w:pPr>
        <w:spacing w:before="40" w:after="80"/>
      </w:pPr>
      <w:r>
        <w:rPr>
          <w:rFonts w:ascii="Arial" w:hAnsi="Arial"/>
          <w:color w:val="334155"/>
          <w:sz w:val="19"/>
        </w:rPr>
      </w:r>
      <w:r>
        <w:rPr>
          <w:rFonts w:ascii="Arial" w:hAnsi="Arial"/>
          <w:b/>
          <w:color w:val="0F172A"/>
          <w:sz w:val="19"/>
        </w:rPr>
        <w:t>What is RAG:</w:t>
      </w:r>
      <w:r>
        <w:rPr>
          <w:rFonts w:ascii="Arial" w:hAnsi="Arial"/>
          <w:color w:val="334155"/>
          <w:sz w:val="19"/>
        </w:rPr>
        <w:t xml:space="preserve"> RAG stands for "Retrieval-Augmented Generation." Traditional AI text generation works by predicting the next word based on patterns in training data, which can lead to plausible-sounding but factually incorrect output. RAG adds a retrieval step before generation: instead of relying on memory alone, the system first searches a curated knowledge base for relevant facts, and then generates text grounded in those retrieved facts. This dramatically reduces hallucinations.</w:t>
      </w:r>
    </w:p>
    <w:p>
      <w:pPr>
        <w:pStyle w:val="Heading3"/>
        <w:spacing w:before="160" w:after="40"/>
      </w:pPr>
      <w:r>
        <w:rPr>
          <w:rFonts w:ascii="Arial" w:hAnsi="Arial"/>
          <w:b/>
          <w:color w:val="0F172A"/>
          <w:sz w:val="21"/>
        </w:rPr>
        <w:t>Innovation 5: Full-Stack Multi-Portal Web Architecture</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platform provides three distinct role-based web portals — Patient, Doctor, and Admin — each with dedicated workflows, access controls, and dashboards tailored to their user persona.</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Patient Portal:</w:t>
      </w:r>
      <w:r>
        <w:rPr>
          <w:rFonts w:ascii="Arial" w:hAnsi="Arial"/>
          <w:color w:val="334155"/>
          <w:sz w:val="19"/>
        </w:rPr>
        <w:t xml:space="preserve"> Upload lab reports (PDF/image), view 5-disease risk dashboard with TreeSHAP waterfall charts, browse health records vault with historical analyses, search and book specialist appointments by department, chat with assigned doctors through secure in-app messaging.</w:t>
      </w:r>
    </w:p>
    <w:p>
      <w:pPr>
        <w:pStyle w:val="ListBullet"/>
        <w:spacing w:before="20" w:after="20"/>
      </w:pPr>
      <w:r>
        <w:rPr>
          <w:rFonts w:ascii="Arial" w:hAnsi="Arial"/>
          <w:color w:val="334155"/>
          <w:sz w:val="19"/>
        </w:rPr>
      </w:r>
      <w:r>
        <w:rPr>
          <w:rFonts w:ascii="Arial" w:hAnsi="Arial"/>
          <w:b/>
          <w:color w:val="0F172A"/>
          <w:sz w:val="19"/>
        </w:rPr>
        <w:t>Doctor Portal:</w:t>
      </w:r>
      <w:r>
        <w:rPr>
          <w:rFonts w:ascii="Arial" w:hAnsi="Arial"/>
          <w:color w:val="334155"/>
          <w:sz w:val="19"/>
        </w:rPr>
        <w:t xml:space="preserve"> Register and upload medical license (PDF) for verification, view assigned patient charts with AI-generated risk analyses, enter clinical consultation notes with disease-specific care recommendations, view patient history across multiple visits.</w:t>
      </w:r>
    </w:p>
    <w:p>
      <w:pPr>
        <w:pStyle w:val="ListBullet"/>
        <w:spacing w:before="20" w:after="20"/>
      </w:pPr>
      <w:r>
        <w:rPr>
          <w:rFonts w:ascii="Arial" w:hAnsi="Arial"/>
          <w:color w:val="334155"/>
          <w:sz w:val="19"/>
        </w:rPr>
      </w:r>
      <w:r>
        <w:rPr>
          <w:rFonts w:ascii="Arial" w:hAnsi="Arial"/>
          <w:b/>
          <w:color w:val="0F172A"/>
          <w:sz w:val="19"/>
        </w:rPr>
        <w:t>Admin Portal:</w:t>
      </w:r>
      <w:r>
        <w:rPr>
          <w:rFonts w:ascii="Arial" w:hAnsi="Arial"/>
          <w:color w:val="334155"/>
          <w:sz w:val="19"/>
        </w:rPr>
        <w:t xml:space="preserve"> Review and approve/reject doctor credential applications with document preview, view system telemetry and server health metrics (CPU, memory, active users), inspect the tamper-evident cryptographic audit ledger (hash-chained event log), manage user accounts.</w:t>
      </w:r>
    </w:p>
    <w:p>
      <w:pPr>
        <w:spacing w:before="40" w:after="80"/>
      </w:pPr>
      <w:r>
        <w:rPr>
          <w:rFonts w:ascii="Arial" w:hAnsi="Arial"/>
          <w:color w:val="334155"/>
          <w:sz w:val="19"/>
        </w:rPr>
      </w:r>
      <w:r>
        <w:rPr>
          <w:rFonts w:ascii="Arial" w:hAnsi="Arial"/>
          <w:b/>
          <w:color w:val="0F172A"/>
          <w:sz w:val="19"/>
        </w:rPr>
        <w:t>How role-based access control works internally:</w:t>
      </w:r>
      <w:r>
        <w:rPr>
          <w:rFonts w:ascii="Arial" w:hAnsi="Arial"/>
          <w:color w:val="334155"/>
          <w:sz w:val="19"/>
        </w:rPr>
      </w:r>
    </w:p>
    <w:p>
      <w:pPr>
        <w:spacing w:before="40" w:after="80"/>
      </w:pPr>
      <w:r>
        <w:rPr>
          <w:rFonts w:ascii="Arial" w:hAnsi="Arial"/>
          <w:color w:val="334155"/>
          <w:sz w:val="19"/>
        </w:rPr>
        <w:t>Each API endpoint is decorated with a `require_role("PATIENT")`, `require_role("DOCTOR")`, or `require_role("ADMIN")` dependency. When a request arrives, the middleware extracts the JWT token, decodes the user's role, and checks if it matches the required role. If it doesn't match, the request is rejected with a 403 Forbidden response before any business logic executes.</w:t>
      </w:r>
    </w:p>
    <w:p>
      <w:pPr>
        <w:pStyle w:val="Heading3"/>
        <w:spacing w:before="160" w:after="40"/>
      </w:pPr>
      <w:r>
        <w:rPr>
          <w:rFonts w:ascii="Arial" w:hAnsi="Arial"/>
          <w:b/>
          <w:color w:val="0F172A"/>
          <w:sz w:val="21"/>
        </w:rPr>
        <w:t>Innovation 6: Zero-Cost Production Cloud Deployment</w:t>
      </w:r>
    </w:p>
    <w:p>
      <w:pPr>
        <w:spacing w:before="40" w:after="80"/>
      </w:pPr>
      <w:r>
        <w:rPr>
          <w:rFonts w:ascii="Arial" w:hAnsi="Arial"/>
          <w:color w:val="334155"/>
          <w:sz w:val="19"/>
        </w:rPr>
      </w:r>
      <w:r>
        <w:rPr>
          <w:rFonts w:ascii="Arial" w:hAnsi="Arial"/>
          <w:b/>
          <w:color w:val="0F172A"/>
          <w:sz w:val="19"/>
        </w:rPr>
        <w:t>What it does:</w:t>
      </w:r>
      <w:r>
        <w:rPr>
          <w:rFonts w:ascii="Arial" w:hAnsi="Arial"/>
          <w:color w:val="334155"/>
          <w:sz w:val="19"/>
        </w:rPr>
        <w:t xml:space="preserve"> The entire platform runs live on the internet at zero monthly hosting cost by leveraging free-tier cloud services optimally.</w:t>
      </w:r>
    </w:p>
    <w:p>
      <w:pPr>
        <w:spacing w:before="40" w:after="80"/>
      </w:pPr>
      <w:r>
        <w:rPr>
          <w:rFonts w:ascii="Arial" w:hAnsi="Arial"/>
          <w:color w:val="334155"/>
          <w:sz w:val="19"/>
        </w:rPr>
      </w:r>
      <w:r>
        <w:rPr>
          <w:rFonts w:ascii="Arial" w:hAnsi="Arial"/>
          <w:b/>
          <w:color w:val="0F172A"/>
          <w:sz w:val="19"/>
        </w:rPr>
        <w:t>How it works externally: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Frontend (React 18 SPA):</w:t>
      </w:r>
      <w:r>
        <w:rPr>
          <w:rFonts w:ascii="Arial" w:hAnsi="Arial"/>
          <w:color w:val="334155"/>
          <w:sz w:val="19"/>
        </w:rPr>
        <w:t xml:space="preserve"> Deployed to Vercel's Edge Network as static HTML/JS/CSS. Vercel serves the frontend from global CDN edge nodes for sub-100ms page loads worldwide. The Vercel free tier provides unlimited static deployments and 100GB bandwidth per month.</w:t>
      </w:r>
    </w:p>
    <w:p>
      <w:pPr>
        <w:pStyle w:val="ListBullet"/>
        <w:spacing w:before="20" w:after="20"/>
      </w:pPr>
      <w:r>
        <w:rPr>
          <w:rFonts w:ascii="Arial" w:hAnsi="Arial"/>
          <w:color w:val="334155"/>
          <w:sz w:val="19"/>
        </w:rPr>
      </w:r>
      <w:r>
        <w:rPr>
          <w:rFonts w:ascii="Arial" w:hAnsi="Arial"/>
          <w:b/>
          <w:color w:val="0F172A"/>
          <w:sz w:val="19"/>
        </w:rPr>
        <w:t>Backend (FastAPI):</w:t>
      </w:r>
      <w:r>
        <w:rPr>
          <w:rFonts w:ascii="Arial" w:hAnsi="Arial"/>
          <w:color w:val="334155"/>
          <w:sz w:val="19"/>
        </w:rPr>
        <w:t xml:space="preserve"> Deployed to Render's free-tier web service. The FastAPI application handles all API requests, ML inference, and database operations. The Render free tier provides 750 hours/month of runtime and 512MB RAM.</w:t>
      </w:r>
    </w:p>
    <w:p>
      <w:pPr>
        <w:pStyle w:val="ListBullet"/>
        <w:spacing w:before="20" w:after="20"/>
      </w:pPr>
      <w:r>
        <w:rPr>
          <w:rFonts w:ascii="Arial" w:hAnsi="Arial"/>
          <w:color w:val="334155"/>
          <w:sz w:val="19"/>
        </w:rPr>
      </w:r>
      <w:r>
        <w:rPr>
          <w:rFonts w:ascii="Arial" w:hAnsi="Arial"/>
          <w:b/>
          <w:color w:val="0F172A"/>
          <w:sz w:val="19"/>
        </w:rPr>
        <w:t>Database (PostgreSQL 17):</w:t>
      </w:r>
      <w:r>
        <w:rPr>
          <w:rFonts w:ascii="Arial" w:hAnsi="Arial"/>
          <w:color w:val="334155"/>
          <w:sz w:val="19"/>
        </w:rPr>
        <w:t xml:space="preserve"> Hosted on Neon's serverless PostgreSQL platform with automatic connection pooling, point-in-time recovery, and daily backups. The Neon free tier provides 0.5GB storage and 191 compute hours/month.</w:t>
      </w:r>
    </w:p>
    <w:p>
      <w:pPr>
        <w:pStyle w:val="ListBullet"/>
        <w:spacing w:before="20" w:after="20"/>
      </w:pPr>
      <w:r>
        <w:rPr>
          <w:rFonts w:ascii="Arial" w:hAnsi="Arial"/>
          <w:color w:val="334155"/>
          <w:sz w:val="19"/>
        </w:rPr>
      </w:r>
      <w:r>
        <w:rPr>
          <w:rFonts w:ascii="Arial" w:hAnsi="Arial"/>
          <w:b/>
          <w:color w:val="0F172A"/>
          <w:sz w:val="19"/>
        </w:rPr>
        <w:t>API Proxy:</w:t>
      </w:r>
      <w:r>
        <w:rPr>
          <w:rFonts w:ascii="Arial" w:hAnsi="Arial"/>
          <w:color w:val="334155"/>
          <w:sz w:val="19"/>
        </w:rPr>
        <w:t xml:space="preserve"> Vercel's `vercel.json` configuration rewrites all `/api/*` requests from the frontend to the Render backend URL, so both frontend and backend appear to operate on the same domain — avoiding CORS issues and presenting a unified URL to users.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9: END-TO-END SYSTEM ARCHITECTURE — FULL DATA FLOW EXPLAINED</w:t>
      </w:r>
    </w:p>
    <w:p>
      <w:pPr>
        <w:pStyle w:val="Heading3"/>
        <w:spacing w:before="160" w:after="40"/>
      </w:pPr>
      <w:r>
        <w:rPr>
          <w:rFonts w:ascii="Arial" w:hAnsi="Arial"/>
          <w:b/>
          <w:color w:val="0F172A"/>
          <w:sz w:val="21"/>
        </w:rPr>
        <w:t>9.1 High-Level Architecture Diagram</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USER BROWSER (Patient / Doctor / Admin)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Requests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VERCEL EDGE NETWORK (Frontend Hosting)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React 18 Single Page Application (SPA) built with Vite 5.4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  Public Pages │  │Patient Portal│  │Doctor Portal │  │   Admin Portal               │   │</w:t>
      </w:r>
    </w:p>
    <w:p>
      <w:pPr>
        <w:spacing w:before="0" w:after="0"/>
        <w:ind w:left="432"/>
      </w:pPr>
      <w:r>
        <w:rPr>
          <w:rFonts w:ascii="Consolas" w:hAnsi="Consolas"/>
          <w:color w:val="1E293B"/>
          <w:sz w:val="17"/>
        </w:rPr>
        <w:t>│   │  (Hero, About,│  │(Intake, Risk │  │(Credentials, │  │   (Doctor Verification,     │   │</w:t>
      </w:r>
    </w:p>
    <w:p>
      <w:pPr>
        <w:spacing w:before="0" w:after="0"/>
        <w:ind w:left="432"/>
      </w:pPr>
      <w:r>
        <w:rPr>
          <w:rFonts w:ascii="Consolas" w:hAnsi="Consolas"/>
          <w:color w:val="1E293B"/>
          <w:sz w:val="17"/>
        </w:rPr>
        <w:t>│   │   Features,  │  │ Dashboard,   │  │ Patient      │  │    Audit Logs, Telemetry)   │   │</w:t>
      </w:r>
    </w:p>
    <w:p>
      <w:pPr>
        <w:spacing w:before="0" w:after="0"/>
        <w:ind w:left="432"/>
      </w:pPr>
      <w:r>
        <w:rPr>
          <w:rFonts w:ascii="Consolas" w:hAnsi="Consolas"/>
          <w:color w:val="1E293B"/>
          <w:sz w:val="17"/>
        </w:rPr>
        <w:t>│   │   Research)  │  │ Records,     │  │ Charts,      │  │                             │   │</w:t>
      </w:r>
    </w:p>
    <w:p>
      <w:pPr>
        <w:spacing w:before="0" w:after="0"/>
        <w:ind w:left="432"/>
      </w:pPr>
      <w:r>
        <w:rPr>
          <w:rFonts w:ascii="Consolas" w:hAnsi="Consolas"/>
          <w:color w:val="1E293B"/>
          <w:sz w:val="17"/>
        </w:rPr>
        <w:t>│   │              │  │ Appointments)│  │ Notes)       │  │                             │   │</w:t>
      </w:r>
    </w:p>
    <w:p>
      <w:pPr>
        <w:spacing w:before="0" w:after="0"/>
        <w:ind w:left="432"/>
      </w:pPr>
      <w:r>
        <w:rPr>
          <w:rFonts w:ascii="Consolas" w:hAnsi="Consolas"/>
          <w:color w:val="1E293B"/>
          <w:sz w:val="17"/>
        </w:rPr>
        <w:t>│   └──────────────┘  └──────────────┘  └──────────────┘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vercel.json: /api/* requests are reverse-proxied to Render backend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HTTPS Reverse Proxy</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RENDER CLOUD (Backend API Server)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FastAPI ASGI Application (Python 3.11)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1: Security &amp; Middleware ──────────────────────────────────────────────────┐   │</w:t>
      </w:r>
    </w:p>
    <w:p>
      <w:pPr>
        <w:spacing w:before="0" w:after="0"/>
        <w:ind w:left="432"/>
      </w:pPr>
      <w:r>
        <w:rPr>
          <w:rFonts w:ascii="Consolas" w:hAnsi="Consolas"/>
          <w:color w:val="1E293B"/>
          <w:sz w:val="17"/>
        </w:rPr>
        <w:t>│   │  RateLimitingMiddleware ──&gt; SecurityHeadersMiddleware ──&gt; CORSMiddleware            │   │</w:t>
      </w:r>
    </w:p>
    <w:p>
      <w:pPr>
        <w:spacing w:before="0" w:after="0"/>
        <w:ind w:left="432"/>
      </w:pPr>
      <w:r>
        <w:rPr>
          <w:rFonts w:ascii="Consolas" w:hAnsi="Consolas"/>
          <w:color w:val="1E293B"/>
          <w:sz w:val="17"/>
        </w:rPr>
        <w:t>│   │  JWT Token Verification ──&gt; Role-Based Access Control (PATIENT/DOCTOR/ADMIN)       │   │</w:t>
      </w:r>
    </w:p>
    <w:p>
      <w:pPr>
        <w:spacing w:before="0" w:after="0"/>
        <w:ind w:left="432"/>
      </w:pPr>
      <w:r>
        <w:rPr>
          <w:rFonts w:ascii="Consolas" w:hAnsi="Consolas"/>
          <w:color w:val="1E293B"/>
          <w:sz w:val="17"/>
        </w:rPr>
        <w:t>│   │  Cryptographic Hash-Chained Audit Ledger (every action logged immutably)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2: Multimodal Intake &amp; Data Processing ───────────────────────────────────┐   │</w:t>
      </w:r>
    </w:p>
    <w:p>
      <w:pPr>
        <w:spacing w:before="0" w:after="0"/>
        <w:ind w:left="432"/>
      </w:pPr>
      <w:r>
        <w:rPr>
          <w:rFonts w:ascii="Consolas" w:hAnsi="Consolas"/>
          <w:color w:val="1E293B"/>
          <w:sz w:val="17"/>
        </w:rPr>
        <w:t>│   │  PDF Text Extraction (pypdf) ──&gt; Scanned Image OCR (Tesseract)                     │   │</w:t>
      </w:r>
    </w:p>
    <w:p>
      <w:pPr>
        <w:spacing w:before="0" w:after="0"/>
        <w:ind w:left="432"/>
      </w:pPr>
      <w:r>
        <w:rPr>
          <w:rFonts w:ascii="Consolas" w:hAnsi="Consolas"/>
          <w:color w:val="1E293B"/>
          <w:sz w:val="17"/>
        </w:rPr>
        <w:t>│   │  Biomarker Alias Resolution ("SGPT" -&gt; ALT, "A1C" -&gt; HbA1c)                       │   │</w:t>
      </w:r>
    </w:p>
    <w:p>
      <w:pPr>
        <w:spacing w:before="0" w:after="0"/>
        <w:ind w:left="432"/>
      </w:pPr>
      <w:r>
        <w:rPr>
          <w:rFonts w:ascii="Consolas" w:hAnsi="Consolas"/>
          <w:color w:val="1E293B"/>
          <w:sz w:val="17"/>
        </w:rPr>
        <w:t>│   │  Unit Normalization (mmol/L -&gt; mg/dL) ──&gt; Bounds Validation                        │   │</w:t>
      </w:r>
    </w:p>
    <w:p>
      <w:pPr>
        <w:spacing w:before="0" w:after="0"/>
        <w:ind w:left="432"/>
      </w:pPr>
      <w:r>
        <w:rPr>
          <w:rFonts w:ascii="Consolas" w:hAnsi="Consolas"/>
          <w:color w:val="1E293B"/>
          <w:sz w:val="17"/>
        </w:rPr>
        <w:t>│   │  Schema Validator: Detects which modalities (C, W, G) are present vs absent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3: 7-Pathway ML Inference Engine ─────────────────────────────────────────┐   │</w:t>
      </w:r>
    </w:p>
    <w:p>
      <w:pPr>
        <w:spacing w:before="0" w:after="0"/>
        <w:ind w:left="432"/>
      </w:pPr>
      <w:r>
        <w:rPr>
          <w:rFonts w:ascii="Consolas" w:hAnsi="Consolas"/>
          <w:color w:val="1E293B"/>
          <w:sz w:val="17"/>
        </w:rPr>
        <w:t>│   │  Dynamic Router selects the correct pathway based on available modalities:         │   │</w:t>
      </w:r>
    </w:p>
    <w:p>
      <w:pPr>
        <w:spacing w:before="0" w:after="0"/>
        <w:ind w:left="432"/>
      </w:pPr>
      <w:r>
        <w:rPr>
          <w:rFonts w:ascii="Consolas" w:hAnsi="Consolas"/>
          <w:color w:val="1E293B"/>
          <w:sz w:val="17"/>
        </w:rPr>
        <w:t>│   │                                                                                     │   │</w:t>
      </w:r>
    </w:p>
    <w:p>
      <w:pPr>
        <w:spacing w:before="0" w:after="0"/>
        <w:ind w:left="432"/>
      </w:pPr>
      <w:r>
        <w:rPr>
          <w:rFonts w:ascii="Consolas" w:hAnsi="Consolas"/>
          <w:color w:val="1E293B"/>
          <w:sz w:val="17"/>
        </w:rPr>
        <w:t>│   │  P1 (C only)    ──&gt; Clinical Expert (18 features ──&gt; 5 probabilities)              │   │</w:t>
      </w:r>
    </w:p>
    <w:p>
      <w:pPr>
        <w:spacing w:before="0" w:after="0"/>
        <w:ind w:left="432"/>
      </w:pPr>
      <w:r>
        <w:rPr>
          <w:rFonts w:ascii="Consolas" w:hAnsi="Consolas"/>
          <w:color w:val="1E293B"/>
          <w:sz w:val="17"/>
        </w:rPr>
        <w:t>│   │  P2 (W only)    ──&gt; Wearable Expert (15 features ──&gt; 5 probabilities)              │   │</w:t>
      </w:r>
    </w:p>
    <w:p>
      <w:pPr>
        <w:spacing w:before="0" w:after="0"/>
        <w:ind w:left="432"/>
      </w:pPr>
      <w:r>
        <w:rPr>
          <w:rFonts w:ascii="Consolas" w:hAnsi="Consolas"/>
          <w:color w:val="1E293B"/>
          <w:sz w:val="17"/>
        </w:rPr>
        <w:t>│   │  P3 (G only)    ──&gt; Gut Expert (49 features ──&gt; 5 probabilities)                   │   │</w:t>
      </w:r>
    </w:p>
    <w:p>
      <w:pPr>
        <w:spacing w:before="0" w:after="0"/>
        <w:ind w:left="432"/>
      </w:pPr>
      <w:r>
        <w:rPr>
          <w:rFonts w:ascii="Consolas" w:hAnsi="Consolas"/>
          <w:color w:val="1E293B"/>
          <w:sz w:val="17"/>
        </w:rPr>
        <w:t>│   │  P4 (C+W)       ──&gt; Bimodal Stacker (2 probabilities per disease ──&gt; fused score)  │   │</w:t>
      </w:r>
    </w:p>
    <w:p>
      <w:pPr>
        <w:spacing w:before="0" w:after="0"/>
        <w:ind w:left="432"/>
      </w:pPr>
      <w:r>
        <w:rPr>
          <w:rFonts w:ascii="Consolas" w:hAnsi="Consolas"/>
          <w:color w:val="1E293B"/>
          <w:sz w:val="17"/>
        </w:rPr>
        <w:t>│   │  P5 (C+G)       ──&gt; Bimodal Stacker (2 probabilities per disease ──&gt; fused score)  │   │</w:t>
      </w:r>
    </w:p>
    <w:p>
      <w:pPr>
        <w:spacing w:before="0" w:after="0"/>
        <w:ind w:left="432"/>
      </w:pPr>
      <w:r>
        <w:rPr>
          <w:rFonts w:ascii="Consolas" w:hAnsi="Consolas"/>
          <w:color w:val="1E293B"/>
          <w:sz w:val="17"/>
        </w:rPr>
        <w:t>│   │  P6 (W+G)       ──&gt; WG Bimodal Stacker (2 probs per disease ──&gt; fused score)      │   │</w:t>
      </w:r>
    </w:p>
    <w:p>
      <w:pPr>
        <w:spacing w:before="0" w:after="0"/>
        <w:ind w:left="432"/>
      </w:pPr>
      <w:r>
        <w:rPr>
          <w:rFonts w:ascii="Consolas" w:hAnsi="Consolas"/>
          <w:color w:val="1E293B"/>
          <w:sz w:val="17"/>
        </w:rPr>
        <w:t>│   │  P7 (C+W+G)     ──&gt; Trimodal Meta-Stacker (3 probs per disease ──&gt; fused score)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4: Explainability &amp; Clinical Synthesis ───────────────────────────────────┐   │</w:t>
      </w:r>
    </w:p>
    <w:p>
      <w:pPr>
        <w:spacing w:before="0" w:after="0"/>
        <w:ind w:left="432"/>
      </w:pPr>
      <w:r>
        <w:rPr>
          <w:rFonts w:ascii="Consolas" w:hAnsi="Consolas"/>
          <w:color w:val="1E293B"/>
          <w:sz w:val="17"/>
        </w:rPr>
        <w:t>│   │  Unified TreeSHAP Engine: Computes biomarker attributions in &lt;60ms                 │   │</w:t>
      </w:r>
    </w:p>
    <w:p>
      <w:pPr>
        <w:spacing w:before="0" w:after="0"/>
        <w:ind w:left="432"/>
      </w:pPr>
      <w:r>
        <w:rPr>
          <w:rFonts w:ascii="Consolas" w:hAnsi="Consolas"/>
          <w:color w:val="1E293B"/>
          <w:sz w:val="17"/>
        </w:rPr>
        <w:t>│   │  Medical RAG Engine: Retrieves guideline text from 20 chunks (5 sources)           │   │</w:t>
      </w:r>
    </w:p>
    <w:p>
      <w:pPr>
        <w:spacing w:before="0" w:after="0"/>
        <w:ind w:left="432"/>
      </w:pPr>
      <w:r>
        <w:rPr>
          <w:rFonts w:ascii="Consolas" w:hAnsi="Consolas"/>
          <w:color w:val="1E293B"/>
          <w:sz w:val="17"/>
        </w:rPr>
        <w:t>│   │  Care Summary Generator: Assembles personalized recommendations + citations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 LAYER 5: Application Services ──────────────────────────────────────────────────┐   │</w:t>
      </w:r>
    </w:p>
    <w:p>
      <w:pPr>
        <w:spacing w:before="0" w:after="0"/>
        <w:ind w:left="432"/>
      </w:pPr>
      <w:r>
        <w:rPr>
          <w:rFonts w:ascii="Consolas" w:hAnsi="Consolas"/>
          <w:color w:val="1E293B"/>
          <w:sz w:val="17"/>
        </w:rPr>
        <w:t>│   │  Authentication (JWT) ──&gt; User Management ──&gt; Appointment Scheduling               │   │</w:t>
      </w:r>
    </w:p>
    <w:p>
      <w:pPr>
        <w:spacing w:before="0" w:after="0"/>
        <w:ind w:left="432"/>
      </w:pPr>
      <w:r>
        <w:rPr>
          <w:rFonts w:ascii="Consolas" w:hAnsi="Consolas"/>
          <w:color w:val="1E293B"/>
          <w:sz w:val="17"/>
        </w:rPr>
        <w:t>│   │  Consultation Chat ──&gt; Doctor Credential Verification ──&gt; Health Records Vault     │   │</w:t>
      </w:r>
    </w:p>
    <w:p>
      <w:pPr>
        <w:spacing w:before="0" w:after="0"/>
        <w:ind w:left="432"/>
      </w:pPr>
      <w:r>
        <w:rPr>
          <w:rFonts w:ascii="Consolas" w:hAnsi="Consolas"/>
          <w:color w:val="1E293B"/>
          <w:sz w:val="17"/>
        </w:rPr>
        <w:t>│   └────────────────────────────────────────────────────────────────────────────────────┘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xml:space="preserve">                                       │ SQLAlchemy ORM (pool_size=30)</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NEON CLOUD (Serverless PostgreSQL 17)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10 Normalized Relational Tables:                                                          │</w:t>
      </w:r>
    </w:p>
    <w:p>
      <w:pPr>
        <w:spacing w:before="0" w:after="0"/>
        <w:ind w:left="432"/>
      </w:pPr>
      <w:r>
        <w:rPr>
          <w:rFonts w:ascii="Consolas" w:hAnsi="Consolas"/>
          <w:color w:val="1E293B"/>
          <w:sz w:val="17"/>
        </w:rPr>
        <w:t>│   users | patient_profiles | doctor_profiles | doctor_documents | health_records             │</w:t>
      </w:r>
    </w:p>
    <w:p>
      <w:pPr>
        <w:spacing w:before="0" w:after="0"/>
        <w:ind w:left="432"/>
      </w:pPr>
      <w:r>
        <w:rPr>
          <w:rFonts w:ascii="Consolas" w:hAnsi="Consolas"/>
          <w:color w:val="1E293B"/>
          <w:sz w:val="17"/>
        </w:rPr>
        <w:t>│   consultations | appointments | messages | notifications | audit_events                    │</w:t>
      </w:r>
    </w:p>
    <w:p>
      <w:pPr>
        <w:spacing w:before="0" w:after="0"/>
        <w:ind w:left="432"/>
      </w:pPr>
      <w:r>
        <w:rPr>
          <w:rFonts w:ascii="Consolas" w:hAnsi="Consolas"/>
          <w:color w:val="1E293B"/>
          <w:sz w:val="17"/>
        </w:rPr>
        <w:t>└─────────────────────────────────────────────────────────────────────────────────────────────┘</w:t>
      </w:r>
    </w:p>
    <w:p>
      <w:pPr>
        <w:pStyle w:val="Heading3"/>
        <w:spacing w:before="160" w:after="40"/>
      </w:pPr>
      <w:r>
        <w:rPr>
          <w:rFonts w:ascii="Arial" w:hAnsi="Arial"/>
          <w:b/>
          <w:color w:val="0F172A"/>
          <w:sz w:val="21"/>
        </w:rPr>
        <w:t>9.2 Complete Request Lifecycle — How a Patient Prediction Works End-to-End</w:t>
      </w:r>
    </w:p>
    <w:p>
      <w:pPr>
        <w:spacing w:before="40" w:after="80"/>
      </w:pPr>
      <w:r>
        <w:rPr>
          <w:rFonts w:ascii="Arial" w:hAnsi="Arial"/>
          <w:color w:val="334155"/>
          <w:sz w:val="19"/>
        </w:rPr>
        <w:t>To help explain this system to a reviewer, here is the exact step-by-step sequence of what happens when a patient requests a health risk analysis:</w:t>
      </w:r>
    </w:p>
    <w:p>
      <w:pPr>
        <w:spacing w:before="40" w:after="80"/>
      </w:pPr>
      <w:r>
        <w:rPr>
          <w:rFonts w:ascii="Arial" w:hAnsi="Arial"/>
          <w:color w:val="334155"/>
          <w:sz w:val="19"/>
        </w:rPr>
      </w:r>
      <w:r>
        <w:rPr>
          <w:rFonts w:ascii="Arial" w:hAnsi="Arial"/>
          <w:b/>
          <w:color w:val="0F172A"/>
          <w:sz w:val="19"/>
        </w:rPr>
        <w:t>Step 1 — User Login (Frontend to Backend):</w:t>
      </w:r>
      <w:r>
        <w:rPr>
          <w:rFonts w:ascii="Arial" w:hAnsi="Arial"/>
          <w:color w:val="334155"/>
          <w:sz w:val="19"/>
        </w:rPr>
      </w:r>
    </w:p>
    <w:p>
      <w:pPr>
        <w:spacing w:before="40" w:after="80"/>
      </w:pPr>
      <w:r>
        <w:rPr>
          <w:rFonts w:ascii="Arial" w:hAnsi="Arial"/>
          <w:color w:val="334155"/>
          <w:sz w:val="19"/>
        </w:rPr>
        <w:t>The patient opens the web application at `https://tele-med-omega.vercel.app` in their browser. They log in with email and password. The React frontend sends a `POST /api/v1/auth/login` request to the backend. The backend verifies the bcrypt-hashed password, generates a signed JWT token containing the user's ID and role (`PATIENT`), and returns it. The frontend stores this token in browser memory (not localStorage for security) and attaches it to every subsequent API request as an `Authorization: Bearer &lt;token&gt;` header.</w:t>
      </w:r>
    </w:p>
    <w:p>
      <w:pPr>
        <w:spacing w:before="40" w:after="80"/>
      </w:pPr>
      <w:r>
        <w:rPr>
          <w:rFonts w:ascii="Arial" w:hAnsi="Arial"/>
          <w:color w:val="334155"/>
          <w:sz w:val="19"/>
        </w:rPr>
      </w:r>
      <w:r>
        <w:rPr>
          <w:rFonts w:ascii="Arial" w:hAnsi="Arial"/>
          <w:b/>
          <w:color w:val="0F172A"/>
          <w:sz w:val="19"/>
        </w:rPr>
        <w:t>Step 2 — Document Upload (Frontend to Backend):</w:t>
      </w:r>
      <w:r>
        <w:rPr>
          <w:rFonts w:ascii="Arial" w:hAnsi="Arial"/>
          <w:color w:val="334155"/>
          <w:sz w:val="19"/>
        </w:rPr>
      </w:r>
    </w:p>
    <w:p>
      <w:pPr>
        <w:spacing w:before="40" w:after="80"/>
      </w:pPr>
      <w:r>
        <w:rPr>
          <w:rFonts w:ascii="Arial" w:hAnsi="Arial"/>
          <w:color w:val="334155"/>
          <w:sz w:val="19"/>
        </w:rPr>
        <w:t>The patient navigates to the Intake page and uploads their medical lab report (a PDF file). The React frontend sends a `POST /api/v1/intake/upload` request with the PDF as a multipart form attachment. On the backend, the Intake Engine first validates the file type and size (&lt;25MB), then extracts text from the PDF using `pypdf`. If the PDF is a scanned image, Tesseract OCR is used instead. The extracted text is scanned for biomarker keywords using regex alias matching (e.g., "Hemoglobin A1c", "A1C", or "glycated hemoglobin" all map to `HbA1c`). Extracted numerical values are validated against physiological bounds (e.g., heart rate must be between 25 and 260 bpm, blood glucose must be between 20 and 600 mg/dL). Units are normalized to standard clinical formats (e.g., mmol/L is converted to mg/dL using the conversion factor 18.0182).</w:t>
      </w:r>
    </w:p>
    <w:p>
      <w:pPr>
        <w:spacing w:before="40" w:after="80"/>
      </w:pPr>
      <w:r>
        <w:rPr>
          <w:rFonts w:ascii="Arial" w:hAnsi="Arial"/>
          <w:color w:val="334155"/>
          <w:sz w:val="19"/>
        </w:rPr>
      </w:r>
      <w:r>
        <w:rPr>
          <w:rFonts w:ascii="Arial" w:hAnsi="Arial"/>
          <w:b/>
          <w:color w:val="0F172A"/>
          <w:sz w:val="19"/>
        </w:rPr>
        <w:t>Step 3 — Biomarker Confirmation (Frontend to Backend):</w:t>
      </w:r>
      <w:r>
        <w:rPr>
          <w:rFonts w:ascii="Arial" w:hAnsi="Arial"/>
          <w:color w:val="334155"/>
          <w:sz w:val="19"/>
        </w:rPr>
      </w:r>
    </w:p>
    <w:p>
      <w:pPr>
        <w:spacing w:before="40" w:after="80"/>
      </w:pPr>
      <w:r>
        <w:rPr>
          <w:rFonts w:ascii="Arial" w:hAnsi="Arial"/>
          <w:color w:val="334155"/>
          <w:sz w:val="19"/>
        </w:rPr>
        <w:t>The extracted biomarkers are displayed to the patient on screen in an editable form for manual review and correction. If the OCR misread a value (e.g., "1O5" instead of "105"), the patient can fix it manually. The patient clicks "Confirm" which sends a `POST /api/v1/intake/confirm` request. This locks the intake session and advances its state from EXTRACTED to CONFIRMED.</w:t>
      </w:r>
    </w:p>
    <w:p>
      <w:pPr>
        <w:spacing w:before="40" w:after="80"/>
      </w:pPr>
      <w:r>
        <w:rPr>
          <w:rFonts w:ascii="Arial" w:hAnsi="Arial"/>
          <w:color w:val="334155"/>
          <w:sz w:val="19"/>
        </w:rPr>
      </w:r>
      <w:r>
        <w:rPr>
          <w:rFonts w:ascii="Arial" w:hAnsi="Arial"/>
          <w:b/>
          <w:color w:val="0F172A"/>
          <w:sz w:val="19"/>
        </w:rPr>
        <w:t>Step 4 — Modality Detection (Inside Backend):</w:t>
      </w:r>
      <w:r>
        <w:rPr>
          <w:rFonts w:ascii="Arial" w:hAnsi="Arial"/>
          <w:color w:val="334155"/>
          <w:sz w:val="19"/>
        </w:rPr>
      </w:r>
    </w:p>
    <w:p>
      <w:pPr>
        <w:spacing w:before="40" w:after="80"/>
      </w:pPr>
      <w:r>
        <w:rPr>
          <w:rFonts w:ascii="Arial" w:hAnsi="Arial"/>
          <w:color w:val="334155"/>
          <w:sz w:val="19"/>
        </w:rPr>
        <w:t>The Schema Validator scans the confirmed biomarker payload against three predefined feature lists:</w:t>
      </w:r>
    </w:p>
    <w:p>
      <w:pPr>
        <w:pStyle w:val="ListBullet"/>
        <w:spacing w:before="20" w:after="20"/>
      </w:pPr>
      <w:r>
        <w:rPr>
          <w:rFonts w:ascii="Arial" w:hAnsi="Arial"/>
          <w:color w:val="334155"/>
          <w:sz w:val="19"/>
        </w:rPr>
        <w:t>`CLINICAL_V4_FEATURES` — 18 predictive features: Age, Gender, Height, Weight, BMI, Waist_Circumference, Systolic_BP, Diastolic_BP, Fasting_Blood_Glucose, HbA1c, Triglycerides, HDL, LDL, ALT, AST, Family_History_Diabetes, Family_History_Hypertension, Family_History_CVD.</w:t>
      </w:r>
    </w:p>
    <w:p>
      <w:pPr>
        <w:pStyle w:val="ListBullet"/>
        <w:spacing w:before="20" w:after="20"/>
      </w:pPr>
      <w:r>
        <w:rPr>
          <w:rFonts w:ascii="Arial" w:hAnsi="Arial"/>
          <w:color w:val="334155"/>
          <w:sz w:val="19"/>
        </w:rPr>
        <w:t>`WEARABLE_V4_FEATURES` — 15 predictive features: Average_Daily_Steps, Active_Minutes, Sedentary_Time_Minutes, Resting_Heart_Rate, Heart_Rate_Variability_RMSSD, Sleep_Duration_Hours, Sleep_Efficiency_Score, Autonomic_Stress_Score, Activity_Energy_Expenditure, Exercise_Frequency_Days, CGM_Average_Glucose, CGM_Glucose_CV, CGM_Time_In_Range, CGM_Time_Above_Range, CGM_Time_Below_Range.</w:t>
      </w:r>
    </w:p>
    <w:p>
      <w:pPr>
        <w:pStyle w:val="ListBullet"/>
        <w:spacing w:before="20" w:after="20"/>
      </w:pPr>
      <w:r>
        <w:rPr>
          <w:rFonts w:ascii="Arial" w:hAnsi="Arial"/>
          <w:color w:val="334155"/>
          <w:sz w:val="19"/>
        </w:rPr>
        <w:t>`GUT_V4_TAXA_FEATURES` — 49 predictive features: 40 bacterial taxa (Akkermansia muciniphila, Faecalibacterium prausnitzii, Roseburia intestinalis, Bifidobacterium longum, Bifidobacterium adolescentis, Bacteroides thetaiotaomicron, Bacteroides vulgatus, Bacteroides fragilis, Bacteroides uniformis, Prevotella copri, Ruminococcus bromii, Ruminococcus gnavus, Blautia wexlerae, Blautia hansenii, Collinsella aerofaciens, Escherichia coli, Klebsiella pneumoniae, Coprococcus eutactus, Alistipes putredinis, Alistipes finegoldii, Subdoligranulum variable, Enterococcus faecalis, Eubacterium rectale, Eubacterium hallii, Parabacteroides distasonis, Lactobacillus acidophilus, Lactobacillus rhamnosus, Streptococcus thermophilus, Eggerthella lenta, Christensenella minuta, Methanobrevibacter smithii, Dialister invisus, Holdemanella biformis, Barnesiella intestinihominis, Anaerostipes caccae, Phascolarctobacterium faecium, Veillonella parvula, Fusobacterium nucleatum, Bilophila wadsworthia, Sutterella wadsworthensis) + 4 diversity indices (Shannon, Simpson, Observed Richness, Pielou Evenness) + 4 functional health indices (SCFA Producer, Butyrate Producer, Barrier Associated, Inflammation Associated) + 1 ratio (Log Firmicutes/Bacteroidetes).</w:t>
      </w:r>
    </w:p>
    <w:p>
      <w:pPr>
        <w:spacing w:before="40" w:after="80"/>
      </w:pPr>
      <w:r>
        <w:rPr>
          <w:rFonts w:ascii="Arial" w:hAnsi="Arial"/>
          <w:color w:val="334155"/>
          <w:sz w:val="19"/>
        </w:rPr>
        <w:t>For each modality, it checks whether ALL required fields are present. If a modality's fields are fully absent, it is marked as `null`. This step determines which pathway will be activated.</w:t>
      </w:r>
    </w:p>
    <w:p>
      <w:pPr>
        <w:spacing w:before="40" w:after="80"/>
      </w:pPr>
      <w:r>
        <w:rPr>
          <w:rFonts w:ascii="Arial" w:hAnsi="Arial"/>
          <w:color w:val="334155"/>
          <w:sz w:val="19"/>
        </w:rPr>
      </w:r>
      <w:r>
        <w:rPr>
          <w:rFonts w:ascii="Arial" w:hAnsi="Arial"/>
          <w:b/>
          <w:color w:val="0F172A"/>
          <w:sz w:val="19"/>
        </w:rPr>
        <w:t>Step 5 — Dynamic Pathway Routing (Inside Backend):</w:t>
      </w:r>
      <w:r>
        <w:rPr>
          <w:rFonts w:ascii="Arial" w:hAnsi="Arial"/>
          <w:color w:val="334155"/>
          <w:sz w:val="19"/>
        </w:rPr>
      </w:r>
    </w:p>
    <w:p>
      <w:pPr>
        <w:spacing w:before="40" w:after="80"/>
      </w:pPr>
      <w:r>
        <w:rPr>
          <w:rFonts w:ascii="Arial" w:hAnsi="Arial"/>
          <w:color w:val="334155"/>
          <w:sz w:val="19"/>
        </w:rPr>
        <w:t xml:space="preserve">The Router examines the modality availability flags and selects the correct pathway. For example, if the patient uploaded blood tests and wearable data but no gut sequencing, the flags are `C=PRESENT, W=PRESENT, G=NULL`, and the router selects </w:t>
      </w:r>
      <w:r>
        <w:rPr>
          <w:rFonts w:ascii="Arial" w:hAnsi="Arial"/>
          <w:b/>
          <w:color w:val="0F172A"/>
          <w:sz w:val="19"/>
        </w:rPr>
        <w:t>Pathway 4 (C+W Bimodal)</w:t>
      </w:r>
      <w:r>
        <w:rPr>
          <w:rFonts w:ascii="Arial" w:hAnsi="Arial"/>
          <w:color w:val="334155"/>
          <w:sz w:val="19"/>
        </w:rPr>
        <w:t>. The router then loads the corresponding pre-trained `.joblib` model artifacts from disk. Each pathway has its own dedicated model file, scaler file, and threshold file.</w:t>
      </w:r>
    </w:p>
    <w:p>
      <w:pPr>
        <w:spacing w:before="40" w:after="80"/>
      </w:pPr>
      <w:r>
        <w:rPr>
          <w:rFonts w:ascii="Arial" w:hAnsi="Arial"/>
          <w:color w:val="334155"/>
          <w:sz w:val="19"/>
        </w:rPr>
      </w:r>
      <w:r>
        <w:rPr>
          <w:rFonts w:ascii="Arial" w:hAnsi="Arial"/>
          <w:b/>
          <w:color w:val="0F172A"/>
          <w:sz w:val="19"/>
        </w:rPr>
        <w:t>Step 6 — Stage 1 Base Expert Inference (Inside Backend):</w:t>
      </w:r>
      <w:r>
        <w:rPr>
          <w:rFonts w:ascii="Arial" w:hAnsi="Arial"/>
          <w:color w:val="334155"/>
          <w:sz w:val="19"/>
        </w:rPr>
      </w:r>
    </w:p>
    <w:p>
      <w:pPr>
        <w:spacing w:before="40" w:after="80"/>
      </w:pPr>
      <w:r>
        <w:rPr>
          <w:rFonts w:ascii="Arial" w:hAnsi="Arial"/>
          <w:color w:val="334155"/>
          <w:sz w:val="19"/>
        </w:rPr>
        <w:t>The selected pathway's base expert models are executed. For Pathway 4 (C+W):</w:t>
      </w:r>
    </w:p>
    <w:p>
      <w:pPr>
        <w:spacing w:before="40" w:after="80"/>
      </w:pPr>
      <w:r>
        <w:rPr>
          <w:rFonts w:ascii="Arial" w:hAnsi="Arial"/>
          <w:color w:val="334155"/>
          <w:sz w:val="19"/>
        </w:rPr>
        <w:t>* The Clinical Expert's `StandardScaler` normalizes the 18 clinical features (subtracts the training mean and divides by the training standard deviation for each feature), then the Clinical classifier computes 5 probability scores (one per disease) using `model.predict_proba()`.</w:t>
      </w:r>
    </w:p>
    <w:p>
      <w:pPr>
        <w:spacing w:before="40" w:after="80"/>
      </w:pPr>
      <w:r>
        <w:rPr>
          <w:rFonts w:ascii="Arial" w:hAnsi="Arial"/>
          <w:color w:val="334155"/>
          <w:sz w:val="19"/>
        </w:rPr>
        <w:t>* The Wearable Expert's `StandardScaler` normalizes the 15 wearable features, then the Wearable classifier computes 5 probability scores.</w:t>
      </w:r>
    </w:p>
    <w:p>
      <w:pPr>
        <w:spacing w:before="40" w:after="80"/>
      </w:pPr>
      <w:r>
        <w:rPr>
          <w:rFonts w:ascii="Arial" w:hAnsi="Arial"/>
          <w:color w:val="334155"/>
          <w:sz w:val="19"/>
        </w:rPr>
        <w:t>* This produces 10 intermediate probability values (2 modalities × 5 diseases).</w:t>
      </w:r>
    </w:p>
    <w:p>
      <w:pPr>
        <w:spacing w:before="40" w:after="80"/>
      </w:pPr>
      <w:r>
        <w:rPr>
          <w:rFonts w:ascii="Arial" w:hAnsi="Arial"/>
          <w:color w:val="334155"/>
          <w:sz w:val="19"/>
        </w:rPr>
      </w:r>
      <w:r>
        <w:rPr>
          <w:rFonts w:ascii="Arial" w:hAnsi="Arial"/>
          <w:b/>
          <w:color w:val="0F172A"/>
          <w:sz w:val="19"/>
        </w:rPr>
        <w:t>Step 7 — Stage 2 Meta-Stacking Fusion (Inside Backend):</w:t>
      </w:r>
      <w:r>
        <w:rPr>
          <w:rFonts w:ascii="Arial" w:hAnsi="Arial"/>
          <w:color w:val="334155"/>
          <w:sz w:val="19"/>
        </w:rPr>
      </w:r>
    </w:p>
    <w:p>
      <w:pPr>
        <w:spacing w:before="40" w:after="80"/>
      </w:pPr>
      <w:r>
        <w:rPr>
          <w:rFonts w:ascii="Arial" w:hAnsi="Arial"/>
          <w:color w:val="334155"/>
          <w:sz w:val="19"/>
        </w:rPr>
        <w:t>For each of the 5 disease targets, the Bimodal Stacker takes the 2 probability values [P_Clinical, P_Wearable] as input. The stacker is a LogisticRegression model trained with L2 regularization (C=1.0) that applies its trained weights to compute a single fused risk probability. This produces 5 final risk scores. Each score is compared against its disease-specific calibrated threshold (Type 2 Diabetes = 0.33, Prediabetes = 0.33, High Adiposity = 0.39, MetSyn = 0.31, NAFLD = 0.29) to produce a binary YES/NO risk classification alongside the continuous probability.</w:t>
      </w:r>
    </w:p>
    <w:p>
      <w:pPr>
        <w:spacing w:before="40" w:after="80"/>
      </w:pPr>
      <w:r>
        <w:rPr>
          <w:rFonts w:ascii="Arial" w:hAnsi="Arial"/>
          <w:color w:val="334155"/>
          <w:sz w:val="19"/>
        </w:rPr>
      </w:r>
      <w:r>
        <w:rPr>
          <w:rFonts w:ascii="Arial" w:hAnsi="Arial"/>
          <w:b/>
          <w:color w:val="0F172A"/>
          <w:sz w:val="19"/>
        </w:rPr>
        <w:t>Step 8 — TreeSHAP Feature Attribution (Inside Backend):</w:t>
      </w:r>
      <w:r>
        <w:rPr>
          <w:rFonts w:ascii="Arial" w:hAnsi="Arial"/>
          <w:color w:val="334155"/>
          <w:sz w:val="19"/>
        </w:rPr>
      </w:r>
    </w:p>
    <w:p>
      <w:pPr>
        <w:spacing w:before="40" w:after="80"/>
      </w:pPr>
      <w:r>
        <w:rPr>
          <w:rFonts w:ascii="Arial" w:hAnsi="Arial"/>
          <w:color w:val="334155"/>
          <w:sz w:val="19"/>
        </w:rPr>
        <w:t>For each disease, the Unified TreeSHAP Engine computes how much each individual biomarker contributed to that patient's specific risk score. For tree-based expert models (XGBoost, CatBoost, RandomForest, ExtraTrees), `shap.TreeExplainer` traces all decision tree paths and computes exact Shapley values. For logistic regression models, the exact linear Shapley formula is used: `attribution_i = weight_i × (patient_value_i - population_mean_i)`. The result is a ranked list of biomarkers sorted by absolute contribution magnitude — the top positive contributors are labeled "Risk Drivers" (shown as red bars) and the top negative contributors are labeled "Protective Factors" (shown as green bars).</w:t>
      </w:r>
    </w:p>
    <w:p>
      <w:pPr>
        <w:spacing w:before="40" w:after="80"/>
      </w:pPr>
      <w:r>
        <w:rPr>
          <w:rFonts w:ascii="Arial" w:hAnsi="Arial"/>
          <w:color w:val="334155"/>
          <w:sz w:val="19"/>
        </w:rPr>
      </w:r>
      <w:r>
        <w:rPr>
          <w:rFonts w:ascii="Arial" w:hAnsi="Arial"/>
          <w:b/>
          <w:color w:val="0F172A"/>
          <w:sz w:val="19"/>
        </w:rPr>
        <w:t>Step 9 — Medical RAG Report Generation (Inside Backend):</w:t>
      </w:r>
      <w:r>
        <w:rPr>
          <w:rFonts w:ascii="Arial" w:hAnsi="Arial"/>
          <w:color w:val="334155"/>
          <w:sz w:val="19"/>
        </w:rPr>
      </w:r>
    </w:p>
    <w:p>
      <w:pPr>
        <w:spacing w:before="40" w:after="80"/>
      </w:pPr>
      <w:r>
        <w:rPr>
          <w:rFonts w:ascii="Arial" w:hAnsi="Arial"/>
          <w:color w:val="334155"/>
          <w:sz w:val="19"/>
        </w:rPr>
        <w:t>The patient's elevated risk conditions and top biomarker drivers are encoded into a semantic query. The in-memory vector engine searches the 20 guideline chunks and retrieves the most relevant recommendations (top-3 by cosine similarity score). A structured clinical care summary is assembled with sections for:</w:t>
      </w:r>
    </w:p>
    <w:p>
      <w:pPr>
        <w:spacing w:before="40" w:after="80"/>
      </w:pPr>
      <w:r>
        <w:rPr>
          <w:rFonts w:ascii="Arial" w:hAnsi="Arial"/>
          <w:color w:val="334155"/>
          <w:sz w:val="19"/>
        </w:rPr>
        <w:t xml:space="preserve">* </w:t>
      </w:r>
      <w:r>
        <w:rPr>
          <w:rFonts w:ascii="Arial" w:hAnsi="Arial"/>
          <w:b/>
          <w:color w:val="0F172A"/>
          <w:sz w:val="19"/>
        </w:rPr>
        <w:t>Dietary Modifications</w:t>
      </w:r>
      <w:r>
        <w:rPr>
          <w:rFonts w:ascii="Arial" w:hAnsi="Arial"/>
          <w:color w:val="334155"/>
          <w:sz w:val="19"/>
        </w:rPr>
        <w:t xml:space="preserve"> — citing ADA, WHO guidelines</w:t>
      </w:r>
    </w:p>
    <w:p>
      <w:pPr>
        <w:spacing w:before="40" w:after="80"/>
      </w:pPr>
      <w:r>
        <w:rPr>
          <w:rFonts w:ascii="Arial" w:hAnsi="Arial"/>
          <w:color w:val="334155"/>
          <w:sz w:val="19"/>
        </w:rPr>
        <w:t xml:space="preserve">* </w:t>
      </w:r>
      <w:r>
        <w:rPr>
          <w:rFonts w:ascii="Arial" w:hAnsi="Arial"/>
          <w:b/>
          <w:color w:val="0F172A"/>
          <w:sz w:val="19"/>
        </w:rPr>
        <w:t>Physical Activity</w:t>
      </w:r>
      <w:r>
        <w:rPr>
          <w:rFonts w:ascii="Arial" w:hAnsi="Arial"/>
          <w:color w:val="334155"/>
          <w:sz w:val="19"/>
        </w:rPr>
        <w:t xml:space="preserve"> — citing AHA recommendations</w:t>
      </w:r>
    </w:p>
    <w:p>
      <w:pPr>
        <w:spacing w:before="40" w:after="80"/>
      </w:pPr>
      <w:r>
        <w:rPr>
          <w:rFonts w:ascii="Arial" w:hAnsi="Arial"/>
          <w:color w:val="334155"/>
          <w:sz w:val="19"/>
        </w:rPr>
        <w:t xml:space="preserve">* </w:t>
      </w:r>
      <w:r>
        <w:rPr>
          <w:rFonts w:ascii="Arial" w:hAnsi="Arial"/>
          <w:b/>
          <w:color w:val="0F172A"/>
          <w:sz w:val="19"/>
        </w:rPr>
        <w:t>Laboratory Follow-Up</w:t>
      </w:r>
      <w:r>
        <w:rPr>
          <w:rFonts w:ascii="Arial" w:hAnsi="Arial"/>
          <w:color w:val="334155"/>
          <w:sz w:val="19"/>
        </w:rPr>
        <w:t xml:space="preserve"> — suggesting specific repeat tests based on elevated biomarkers</w:t>
      </w:r>
    </w:p>
    <w:p>
      <w:pPr>
        <w:spacing w:before="40" w:after="80"/>
      </w:pPr>
      <w:r>
        <w:rPr>
          <w:rFonts w:ascii="Arial" w:hAnsi="Arial"/>
          <w:color w:val="334155"/>
          <w:sz w:val="19"/>
        </w:rPr>
        <w:t xml:space="preserve">* </w:t>
      </w:r>
      <w:r>
        <w:rPr>
          <w:rFonts w:ascii="Arial" w:hAnsi="Arial"/>
          <w:b/>
          <w:color w:val="0F172A"/>
          <w:sz w:val="19"/>
        </w:rPr>
        <w:t>Specialist Referral</w:t>
      </w:r>
      <w:r>
        <w:rPr>
          <w:rFonts w:ascii="Arial" w:hAnsi="Arial"/>
          <w:color w:val="334155"/>
          <w:sz w:val="19"/>
        </w:rPr>
        <w:t xml:space="preserve"> — recommending endocrinologist, hepatologist, or cardiologist based on disease risk profile</w:t>
      </w:r>
    </w:p>
    <w:p>
      <w:pPr>
        <w:spacing w:before="40" w:after="80"/>
      </w:pPr>
      <w:r>
        <w:rPr>
          <w:rFonts w:ascii="Arial" w:hAnsi="Arial"/>
          <w:color w:val="334155"/>
          <w:sz w:val="19"/>
        </w:rPr>
        <w:t>Each recommendation is tagged with its source citation badge (e.g., "[Source: ADA-2024-Standards §5.2]").</w:t>
      </w:r>
    </w:p>
    <w:p>
      <w:pPr>
        <w:spacing w:before="40" w:after="80"/>
      </w:pPr>
      <w:r>
        <w:rPr>
          <w:rFonts w:ascii="Arial" w:hAnsi="Arial"/>
          <w:color w:val="334155"/>
          <w:sz w:val="19"/>
        </w:rPr>
      </w:r>
      <w:r>
        <w:rPr>
          <w:rFonts w:ascii="Arial" w:hAnsi="Arial"/>
          <w:b/>
          <w:color w:val="0F172A"/>
          <w:sz w:val="19"/>
        </w:rPr>
        <w:t>Step 10 — Response Delivery (Backend to Frontend):</w:t>
      </w:r>
      <w:r>
        <w:rPr>
          <w:rFonts w:ascii="Arial" w:hAnsi="Arial"/>
          <w:color w:val="334155"/>
          <w:sz w:val="19"/>
        </w:rPr>
      </w:r>
    </w:p>
    <w:p>
      <w:pPr>
        <w:spacing w:before="40" w:after="80"/>
      </w:pPr>
      <w:r>
        <w:rPr>
          <w:rFonts w:ascii="Arial" w:hAnsi="Arial"/>
          <w:color w:val="334155"/>
          <w:sz w:val="19"/>
        </w:rPr>
        <w:t>The complete analysis results (5 risk scores, TreeSHAP biomarker attributions, and clinical care summary) are returned as a JSON response. The React frontend renders the interactive risk dashboard with color-coded disease cards (green = low risk, yellow = moderate, red = high), interactive waterfall charts for each disease, and the full care summary report. The results are simultaneously saved to the `health_records` database table for the patient's permanent records vault, where they can be accessed at any future time.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10: AUTHORITATIVE DATASET COHORT &amp; PARTITION SPECIFICATIONS</w:t>
      </w:r>
    </w:p>
    <w:p>
      <w:pPr>
        <w:pStyle w:val="Heading3"/>
        <w:spacing w:before="160" w:after="40"/>
      </w:pPr>
      <w:r>
        <w:rPr>
          <w:rFonts w:ascii="Arial" w:hAnsi="Arial"/>
          <w:b/>
          <w:color w:val="0F172A"/>
          <w:sz w:val="21"/>
        </w:rPr>
        <w:t>10.1 The Final Synchronized Cohort (100,000 Patients)</w:t>
      </w:r>
    </w:p>
    <w:p>
      <w:pPr>
        <w:spacing w:before="40" w:after="80"/>
      </w:pPr>
      <w:r>
        <w:rPr>
          <w:rFonts w:ascii="Arial" w:hAnsi="Arial"/>
          <w:color w:val="334155"/>
          <w:sz w:val="19"/>
        </w:rPr>
        <w:t xml:space="preserve">The TeleMed AI v4 production and scientific benchmark dataset is a single, authoritative, synchronized cohort of </w:t>
      </w:r>
      <w:r>
        <w:rPr>
          <w:rFonts w:ascii="Arial" w:hAnsi="Arial"/>
          <w:b/>
          <w:color w:val="0F172A"/>
          <w:sz w:val="19"/>
        </w:rPr>
        <w:t>100,000 multi-omic patient profiles</w:t>
      </w:r>
      <w:r>
        <w:rPr>
          <w:rFonts w:ascii="Arial" w:hAnsi="Arial"/>
          <w:color w:val="334155"/>
          <w:sz w:val="19"/>
        </w:rPr>
        <w:t>. Every patient record contains synchronized parameters across blood laboratory chemistry, continuous wearable sensor dynamics, and 16S gut microbiome relative abundances.</w:t>
      </w:r>
    </w:p>
    <w:p>
      <w:pPr>
        <w:spacing w:before="40" w:after="80"/>
      </w:pPr>
      <w:r>
        <w:rPr>
          <w:rFonts w:ascii="Arial" w:hAnsi="Arial"/>
          <w:color w:val="334155"/>
          <w:sz w:val="19"/>
        </w:rPr>
        <w:t xml:space="preserve">The dataset is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TOTAL SYNCHRONIZED COHORT: 100,000 PATIENTS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TRAINING PARTITION       │     VALIDATION PARTITION     │  TEST SET    │</w:t>
      </w:r>
    </w:p>
    <w:p>
      <w:pPr>
        <w:spacing w:before="0" w:after="0"/>
        <w:ind w:left="432"/>
      </w:pPr>
      <w:r>
        <w:rPr>
          <w:rFonts w:ascii="Consolas" w:hAnsi="Consolas"/>
          <w:color w:val="1E293B"/>
          <w:sz w:val="17"/>
        </w:rPr>
        <w:t>│       70,000 Patients         │       15,000 Patients        │15,000 Patient│</w:t>
      </w:r>
    </w:p>
    <w:p>
      <w:pPr>
        <w:spacing w:before="0" w:after="0"/>
        <w:ind w:left="432"/>
      </w:pPr>
      <w:r>
        <w:rPr>
          <w:rFonts w:ascii="Consolas" w:hAnsi="Consolas"/>
          <w:color w:val="1E293B"/>
          <w:sz w:val="17"/>
        </w:rPr>
        <w:t>│            (70.0%)            │            (15.0%)           │   (15.0%)    │</w:t>
      </w:r>
    </w:p>
    <w:p>
      <w:pPr>
        <w:spacing w:before="0" w:after="0"/>
        <w:ind w:left="432"/>
      </w:pPr>
      <w:r>
        <w:rPr>
          <w:rFonts w:ascii="Consolas" w:hAnsi="Consolas"/>
          <w:color w:val="1E293B"/>
          <w:sz w:val="17"/>
        </w:rPr>
        <w:t>│  Model Training &amp; Feature     │  Hyperparameter Tuning &amp;     │Untouched Out-│</w:t>
      </w:r>
    </w:p>
    <w:p>
      <w:pPr>
        <w:spacing w:before="0" w:after="0"/>
        <w:ind w:left="432"/>
      </w:pPr>
      <w:r>
        <w:rPr>
          <w:rFonts w:ascii="Consolas" w:hAnsi="Consolas"/>
          <w:color w:val="1E293B"/>
          <w:sz w:val="17"/>
        </w:rPr>
        <w:t>│         Selection             │    Calibration Fitting       │  of-Sample   │</w:t>
      </w:r>
    </w:p>
    <w:p>
      <w:pPr>
        <w:spacing w:before="0" w:after="0"/>
        <w:ind w:left="432"/>
      </w:pPr>
      <w:r>
        <w:rPr>
          <w:rFonts w:ascii="Consolas" w:hAnsi="Consolas"/>
          <w:color w:val="1E293B"/>
          <w:sz w:val="17"/>
        </w:rPr>
        <w:t>└───────────────────────────────┴──────────────────────────────┴──────────────┘</w:t>
      </w:r>
    </w:p>
    <w:p>
      <w:pPr>
        <w:pStyle w:val="ListBullet"/>
        <w:spacing w:before="20" w:after="20"/>
      </w:pPr>
      <w:r>
        <w:rPr>
          <w:rFonts w:ascii="Arial" w:hAnsi="Arial"/>
          <w:color w:val="334155"/>
          <w:sz w:val="19"/>
        </w:rPr>
      </w:r>
      <w:r>
        <w:rPr>
          <w:rFonts w:ascii="Arial" w:hAnsi="Arial"/>
          <w:b/>
          <w:color w:val="0F172A"/>
          <w:sz w:val="19"/>
        </w:rPr>
        <w:t>Training Partition (70.0% — 70,000 Patients):</w:t>
      </w:r>
      <w:r>
        <w:rPr>
          <w:rFonts w:ascii="Arial" w:hAnsi="Arial"/>
          <w:color w:val="334155"/>
          <w:sz w:val="19"/>
        </w:rPr>
        <w:t xml:space="preserve"> Used exclusively for base expert model training, feature selection, and fitting scaler transforms.</w:t>
      </w:r>
    </w:p>
    <w:p>
      <w:pPr>
        <w:pStyle w:val="ListBullet"/>
        <w:spacing w:before="20" w:after="20"/>
      </w:pPr>
      <w:r>
        <w:rPr>
          <w:rFonts w:ascii="Arial" w:hAnsi="Arial"/>
          <w:color w:val="334155"/>
          <w:sz w:val="19"/>
        </w:rPr>
      </w:r>
      <w:r>
        <w:rPr>
          <w:rFonts w:ascii="Arial" w:hAnsi="Arial"/>
          <w:b/>
          <w:color w:val="0F172A"/>
          <w:sz w:val="19"/>
        </w:rPr>
        <w:t>Validation Partition (15.0% — 15,000 Patients):</w:t>
      </w:r>
      <w:r>
        <w:rPr>
          <w:rFonts w:ascii="Arial" w:hAnsi="Arial"/>
          <w:color w:val="334155"/>
          <w:sz w:val="19"/>
        </w:rPr>
        <w:t xml:space="preserve"> Used for hyperparameter optimization, probability calibration scaling, and fitting the second-level stacking meta-learners.</w:t>
      </w:r>
    </w:p>
    <w:p>
      <w:pPr>
        <w:pStyle w:val="ListBullet"/>
        <w:spacing w:before="20" w:after="20"/>
      </w:pPr>
      <w:r>
        <w:rPr>
          <w:rFonts w:ascii="Arial" w:hAnsi="Arial"/>
          <w:color w:val="334155"/>
          <w:sz w:val="19"/>
        </w:rPr>
      </w:r>
      <w:r>
        <w:rPr>
          <w:rFonts w:ascii="Arial" w:hAnsi="Arial"/>
          <w:b/>
          <w:color w:val="0F172A"/>
          <w:sz w:val="19"/>
        </w:rPr>
        <w:t>Test Partition (15.0% — 15,000 Patients):</w:t>
      </w:r>
      <w:r>
        <w:rPr>
          <w:rFonts w:ascii="Arial" w:hAnsi="Arial"/>
          <w:color w:val="334155"/>
          <w:sz w:val="19"/>
        </w:rPr>
        <w:t xml:space="preserve"> Held out as an untouched out-of-sample test partition to compute the final release metrics and 95% confidence intervals.</w:t>
      </w:r>
    </w:p>
    <w:p>
      <w:pPr>
        <w:spacing w:before="40" w:after="80"/>
      </w:pPr>
      <w:r>
        <w:rPr>
          <w:rFonts w:ascii="Arial" w:hAnsi="Arial"/>
          <w:color w:val="334155"/>
          <w:sz w:val="19"/>
        </w:rPr>
        <w:t>---</w:t>
      </w:r>
    </w:p>
    <w:p>
      <w:pPr>
        <w:pStyle w:val="Heading3"/>
        <w:spacing w:before="160" w:after="40"/>
      </w:pPr>
      <w:r>
        <w:rPr>
          <w:rFonts w:ascii="Arial" w:hAnsi="Arial"/>
          <w:b/>
          <w:color w:val="0F172A"/>
          <w:sz w:val="21"/>
        </w:rPr>
        <w:t>10.2 Master Dataset Files Inventory (Table 10.2)</w:t>
      </w:r>
    </w:p>
    <w:p>
      <w:pPr>
        <w:spacing w:before="40" w:after="80"/>
      </w:pPr>
      <w:r>
        <w:rPr>
          <w:rFonts w:ascii="Arial" w:hAnsi="Arial"/>
          <w:color w:val="334155"/>
          <w:sz w:val="19"/>
        </w:rPr>
        <w:t>*(Directly verified from `TABLE_1_DATASET_CHARACTERISTICS.csv`)*</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Total Synchronized Cohort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Predictive Biological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Target Disease Labels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Split Protocol (Train / Val / Test)</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26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&amp; CGM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Wearable_Dataset.csv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19 cols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16S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Gut_Microbiome_Dataset.csv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70,000 / 15,000 / 15,000 (70%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Multimodal Pool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Synchronized Cohort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100,000 Patients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 Total</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Upstream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70,000 / 15,000 / 15,000 (70% / 15% / 15%)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11: SYNTHETIC DATASET GENERATION METHODOLOGY</w:t>
      </w:r>
    </w:p>
    <w:p>
      <w:pPr>
        <w:pStyle w:val="Heading3"/>
        <w:spacing w:before="160" w:after="40"/>
      </w:pPr>
      <w:r>
        <w:rPr>
          <w:rFonts w:ascii="Arial" w:hAnsi="Arial"/>
          <w:b/>
          <w:color w:val="0F172A"/>
          <w:sz w:val="21"/>
        </w:rPr>
        <w:t>11.1 Why Synthetic Data Generation Was Required</w:t>
      </w:r>
    </w:p>
    <w:p>
      <w:pPr>
        <w:spacing w:before="40" w:after="80"/>
      </w:pPr>
      <w:r>
        <w:rPr>
          <w:rFonts w:ascii="Arial" w:hAnsi="Arial"/>
          <w:color w:val="334155"/>
          <w:sz w:val="19"/>
        </w:rPr>
        <w:t>In medical research, comprehensive real-world patient datasets that simultaneously capture clinical blood chemistry, continuous glucose monitoring (CGM), and 16S rRNA gut microbiome metagenomics for the same individuals do not exist in public repositories due to strict patient privacy laws (HIPAA/GDPR) and the high cost of multi-omic sequencing. Synthetic generation allows researchers to model realistic biological dependencies under mathematically controlled conditions.</w:t>
      </w:r>
    </w:p>
    <w:p>
      <w:pPr>
        <w:pStyle w:val="Heading3"/>
        <w:spacing w:before="160" w:after="40"/>
      </w:pPr>
      <w:r>
        <w:rPr>
          <w:rFonts w:ascii="Arial" w:hAnsi="Arial"/>
          <w:b/>
          <w:color w:val="0F172A"/>
          <w:sz w:val="21"/>
        </w:rPr>
        <w:t>11.2 Generation Technique &amp; Statistical Priors</w:t>
      </w:r>
    </w:p>
    <w:p>
      <w:pPr>
        <w:spacing w:before="40" w:after="80"/>
      </w:pPr>
      <w:r>
        <w:rPr>
          <w:rFonts w:ascii="Arial" w:hAnsi="Arial"/>
          <w:color w:val="334155"/>
          <w:sz w:val="19"/>
        </w:rPr>
        <w:t>Patient cohorts were generated using multivariate Gaussian copula distributions conditioned on published physiological reference ranges:</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empirical log-normal distributions mirroring clinical laboratory intervals (e.g. fasting glucose between 70–250 mg/dL; triglycerides between 50–400 mg/dL).</w:t>
      </w:r>
    </w:p>
    <w:p>
      <w:pPr>
        <w:pStyle w:val="ListBullet"/>
        <w:spacing w:before="20" w:after="20"/>
      </w:pPr>
      <w:r>
        <w:rPr>
          <w:rFonts w:ascii="Arial" w:hAnsi="Arial"/>
          <w:color w:val="334155"/>
          <w:sz w:val="19"/>
        </w:rPr>
      </w:r>
      <w:r>
        <w:rPr>
          <w:rFonts w:ascii="Arial" w:hAnsi="Arial"/>
          <w:b/>
          <w:color w:val="0F172A"/>
          <w:sz w:val="19"/>
        </w:rPr>
        <w:t>Metagenomic Distributions:</w:t>
      </w:r>
      <w:r>
        <w:rPr>
          <w:rFonts w:ascii="Arial" w:hAnsi="Arial"/>
          <w:color w:val="334155"/>
          <w:sz w:val="19"/>
        </w:rPr>
        <w:t xml:space="preserve"> Microbiome relative abundances follow Dirichlet distributions ensuring that all 40 bacterial species sum to exactly 100% of the microbial community per patient.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12: STATISTICAL RELATIONSHIPS &amp; PHYSIOLOGICAL PRIORS</w:t>
      </w:r>
    </w:p>
    <w:p>
      <w:pPr>
        <w:spacing w:before="40" w:after="80"/>
      </w:pPr>
      <w:r>
        <w:rPr>
          <w:rFonts w:ascii="Arial" w:hAnsi="Arial"/>
          <w:color w:val="334155"/>
          <w:sz w:val="19"/>
        </w:rPr>
        <w:t>The synthetic generation process incorporates real-world biological dependencies established in peer-reviewed clinical literature:</w:t>
      </w:r>
    </w:p>
    <w:p>
      <w:pPr>
        <w:spacing w:before="40" w:after="80"/>
      </w:pPr>
      <w:r>
        <w:rPr>
          <w:rFonts w:ascii="Arial" w:hAnsi="Arial"/>
          <w:color w:val="334155"/>
          <w:sz w:val="19"/>
        </w:rPr>
        <w:t xml:space="preserve">1. </w:t>
      </w:r>
      <w:r>
        <w:rPr>
          <w:rFonts w:ascii="Arial" w:hAnsi="Arial"/>
          <w:b/>
          <w:color w:val="0F172A"/>
          <w:sz w:val="19"/>
        </w:rPr>
        <w:t>Clinical &amp; CGM Glycemic Coupling:</w:t>
      </w:r>
      <w:r>
        <w:rPr>
          <w:rFonts w:ascii="Arial" w:hAnsi="Arial"/>
          <w:color w:val="334155"/>
          <w:sz w:val="19"/>
        </w:rPr>
      </w:r>
    </w:p>
    <w:p>
      <w:pPr>
        <w:spacing w:before="40" w:after="80"/>
      </w:pPr>
      <w:r>
        <w:rPr>
          <w:rFonts w:ascii="Arial" w:hAnsi="Arial"/>
          <w:color w:val="334155"/>
          <w:sz w:val="19"/>
        </w:rPr>
        <w:t>* HbA1c correlates positively with average CGM continuous glucose (r = +0.82, p &lt; 0.001).</w:t>
      </w:r>
    </w:p>
    <w:p>
      <w:pPr>
        <w:spacing w:before="40" w:after="80"/>
      </w:pPr>
      <w:r>
        <w:rPr>
          <w:rFonts w:ascii="Arial" w:hAnsi="Arial"/>
          <w:color w:val="334155"/>
          <w:sz w:val="19"/>
        </w:rPr>
        <w:t>* Fasting blood glucose correlates with continuous glucose variability CV (r = +0.64, p &lt; 0.001).</w:t>
      </w:r>
    </w:p>
    <w:p>
      <w:pPr>
        <w:spacing w:before="40" w:after="80"/>
      </w:pPr>
      <w:r>
        <w:rPr>
          <w:rFonts w:ascii="Arial" w:hAnsi="Arial"/>
          <w:color w:val="334155"/>
          <w:sz w:val="19"/>
        </w:rPr>
        <w:t xml:space="preserve">2. </w:t>
      </w:r>
      <w:r>
        <w:rPr>
          <w:rFonts w:ascii="Arial" w:hAnsi="Arial"/>
          <w:b/>
          <w:color w:val="0F172A"/>
          <w:sz w:val="19"/>
        </w:rPr>
        <w:t>Gut Microbiome &amp; Metabolic Health Coupling:</w:t>
      </w:r>
      <w:r>
        <w:rPr>
          <w:rFonts w:ascii="Arial" w:hAnsi="Arial"/>
          <w:color w:val="334155"/>
          <w:sz w:val="19"/>
        </w:rPr>
      </w:r>
    </w:p>
    <w:p>
      <w:pPr>
        <w:spacing w:before="40" w:after="80"/>
      </w:pPr>
      <w:r>
        <w:rPr>
          <w:rFonts w:ascii="Arial" w:hAnsi="Arial"/>
          <w:color w:val="334155"/>
          <w:sz w:val="19"/>
        </w:rPr>
        <w:t>* Beneficial species (*Akkermansia muciniphila*, *Faecalibacterium prausnitzii*) correlate negatively with BMI (r = -0.58) and systemic inflammation.</w:t>
      </w:r>
    </w:p>
    <w:p>
      <w:pPr>
        <w:spacing w:before="40" w:after="80"/>
      </w:pPr>
      <w:r>
        <w:rPr>
          <w:rFonts w:ascii="Arial" w:hAnsi="Arial"/>
          <w:color w:val="334155"/>
          <w:sz w:val="19"/>
        </w:rPr>
        <w:t>* Pathogenic taxa (*Escherichia coli*, *Klebsiella pneumoniae*) correlate positively with elevated triglycerides (r = +0.61) and HbA1c (r = +0.52).</w:t>
      </w:r>
    </w:p>
    <w:p>
      <w:pPr>
        <w:spacing w:before="40" w:after="80"/>
      </w:pPr>
      <w:r>
        <w:rPr>
          <w:rFonts w:ascii="Arial" w:hAnsi="Arial"/>
          <w:color w:val="334155"/>
          <w:sz w:val="19"/>
        </w:rPr>
        <w:t xml:space="preserve">3. </w:t>
      </w:r>
      <w:r>
        <w:rPr>
          <w:rFonts w:ascii="Arial" w:hAnsi="Arial"/>
          <w:b/>
          <w:color w:val="0F172A"/>
          <w:sz w:val="19"/>
        </w:rPr>
        <w:t>Hepatic Enzymes &amp; Metabolic Syndrome Coupling:</w:t>
      </w:r>
      <w:r>
        <w:rPr>
          <w:rFonts w:ascii="Arial" w:hAnsi="Arial"/>
          <w:color w:val="334155"/>
          <w:sz w:val="19"/>
        </w:rPr>
      </w:r>
    </w:p>
    <w:p>
      <w:pPr>
        <w:spacing w:before="40" w:after="80"/>
      </w:pPr>
      <w:r>
        <w:rPr>
          <w:rFonts w:ascii="Arial" w:hAnsi="Arial"/>
          <w:color w:val="334155"/>
          <w:sz w:val="19"/>
        </w:rPr>
        <w:t>* Elevated transaminases (ALT, AST) correlate with central adiposity and triglyceride accumulation (r = +0.55).</w:t>
      </w:r>
    </w:p>
    <w:p>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13: EXHAUSTIVE DATASET EVOLUTION ACROSS VERSIONS (V1 → V2 → V3 → V4)</w:t>
      </w:r>
    </w:p>
    <w:p>
      <w:pPr>
        <w:spacing w:before="40" w:after="80"/>
      </w:pPr>
      <w:r>
        <w:rPr>
          <w:rFonts w:ascii="Arial" w:hAnsi="Arial"/>
          <w:color w:val="334155"/>
          <w:sz w:val="19"/>
        </w:rPr>
        <w:t>To understand how TeleMed AI reached its finalized v4 architecture, the following section documents the complete technical evolution across all four dataset iterations:</w:t>
      </w:r>
    </w:p>
    <w:p>
      <w:pPr>
        <w:pStyle w:val="Heading3"/>
        <w:spacing w:before="160" w:after="40"/>
      </w:pPr>
      <w:r>
        <w:rPr>
          <w:rFonts w:ascii="Arial" w:hAnsi="Arial"/>
          <w:b/>
          <w:color w:val="0F172A"/>
          <w:sz w:val="21"/>
        </w:rPr>
        <w:t>13.1 Dataset V1 (Initial Baseline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`archive/v1/Clinical_Dataset.csv` (26 cols), `archive/v1/Wearable_Dataset.csv` (19 cols), `archive/v1/Gut_Microbiome_Dataset.csv` (19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 (initial small prototype size).</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Clinical had 19 raw features; Wearable had 10 basic activity features; Gut had only 9 genus-level bacterial groups and 1 Shannon diversity index.</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Contained 6 target columns, including a redundant `Healthy` label and an ambiguous `Obesity` label.</w:t>
      </w:r>
    </w:p>
    <w:p>
      <w:pPr>
        <w:pStyle w:val="ListBullet"/>
        <w:spacing w:before="20" w:after="20"/>
      </w:pPr>
      <w:r>
        <w:rPr>
          <w:rFonts w:ascii="Arial" w:hAnsi="Arial"/>
          <w:color w:val="334155"/>
          <w:sz w:val="19"/>
        </w:rPr>
      </w:r>
      <w:r>
        <w:rPr>
          <w:rFonts w:ascii="Arial" w:hAnsi="Arial"/>
          <w:b/>
          <w:color w:val="0F172A"/>
          <w:sz w:val="19"/>
        </w:rPr>
        <w:t>Disadvantages &amp; Why V1 Failed:</w:t>
      </w:r>
      <w:r>
        <w:rPr>
          <w:rFonts w:ascii="Arial" w:hAnsi="Arial"/>
          <w:color w:val="334155"/>
          <w:sz w:val="19"/>
        </w:rPr>
      </w:r>
    </w:p>
    <w:p>
      <w:pPr>
        <w:spacing w:before="40" w:after="80"/>
      </w:pPr>
      <w:r>
        <w:rPr>
          <w:rFonts w:ascii="Arial" w:hAnsi="Arial"/>
          <w:color w:val="334155"/>
          <w:sz w:val="19"/>
        </w:rPr>
        <w:t>1. Modalities were generated with high statistical independence (pure random Gaussian noise without cross-modal physiological coupling).</w:t>
      </w:r>
    </w:p>
    <w:p>
      <w:pPr>
        <w:spacing w:before="40" w:after="80"/>
      </w:pPr>
      <w:r>
        <w:rPr>
          <w:rFonts w:ascii="Arial" w:hAnsi="Arial"/>
          <w:color w:val="334155"/>
          <w:sz w:val="19"/>
        </w:rPr>
        <w:t>2. Modality files were uncoordinated; the same `Patient_ID` in Clinical had no biological relationship to the same `Patient_ID` in Wearable or Gut.</w:t>
      </w:r>
    </w:p>
    <w:p>
      <w:pPr>
        <w:spacing w:before="40" w:after="80"/>
      </w:pPr>
      <w:r>
        <w:rPr>
          <w:rFonts w:ascii="Arial" w:hAnsi="Arial"/>
          <w:color w:val="334155"/>
          <w:sz w:val="19"/>
        </w:rPr>
        <w:t>3. Wearable lacked all continuous glucose monitoring (CGM) metrics (no Glucose CV, Time in Range, or Autonomic Stress).</w:t>
      </w:r>
    </w:p>
    <w:p>
      <w:pPr>
        <w:spacing w:before="40" w:after="80"/>
      </w:pPr>
      <w:r>
        <w:rPr>
          <w:rFonts w:ascii="Arial" w:hAnsi="Arial"/>
          <w:color w:val="334155"/>
          <w:sz w:val="19"/>
        </w:rPr>
        <w:t>4. Gut microbiome feature space was too coarse (only 9 genera), missing critical metabolic species.</w:t>
      </w:r>
    </w:p>
    <w:p>
      <w:pPr>
        <w:pStyle w:val="ListBullet"/>
        <w:spacing w:before="20" w:after="20"/>
      </w:pPr>
      <w:r>
        <w:rPr>
          <w:rFonts w:ascii="Arial" w:hAnsi="Arial"/>
          <w:color w:val="334155"/>
          <w:sz w:val="19"/>
        </w:rPr>
      </w:r>
      <w:r>
        <w:rPr>
          <w:rFonts w:ascii="Arial" w:hAnsi="Arial"/>
          <w:b/>
          <w:color w:val="0F172A"/>
          <w:sz w:val="19"/>
        </w:rPr>
        <w:t>Model Performance in V1:</w:t>
      </w:r>
      <w:r>
        <w:rPr>
          <w:rFonts w:ascii="Arial" w:hAnsi="Arial"/>
          <w:color w:val="334155"/>
          <w:sz w:val="19"/>
        </w:rPr>
        <w:t xml:space="preserve"> Clinical ~82.4% accuracy (F1 ~0.767, AUC ~0.842), Wearable ~79.1% accuracy (F1 ~0.729), Gut ~76.5% accuracy (F1 ~0.702). Majority voting fusion achieved ~85.8% accuracy.</w:t>
      </w:r>
    </w:p>
    <w:p>
      <w:pPr>
        <w:pStyle w:val="Heading3"/>
        <w:spacing w:before="160" w:after="40"/>
      </w:pPr>
      <w:r>
        <w:rPr>
          <w:rFonts w:ascii="Arial" w:hAnsi="Arial"/>
          <w:b/>
          <w:color w:val="0F172A"/>
          <w:sz w:val="21"/>
        </w:rPr>
        <w:t>13.2 Dataset V2 (Correlated Prototype)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`archive/v2/Clinical_Dataset_v2.csv` (24 cols), `archive/v2/Gut_Dataset_v2.csv` (59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V1:</w:t>
      </w:r>
      <w:r>
        <w:rPr>
          <w:rFonts w:ascii="Arial" w:hAnsi="Arial"/>
          <w:color w:val="334155"/>
          <w:sz w:val="19"/>
        </w:rPr>
        <w:t xml:space="preserve"> Introduced mathematical covariance matrices linking clinical markers with basic wearable metrics; removed redundant `Healthy` target label; expanded gut bacterial taxa from 9 to 54 columns.</w:t>
      </w:r>
    </w:p>
    <w:p>
      <w:pPr>
        <w:pStyle w:val="ListBullet"/>
        <w:spacing w:before="20" w:after="20"/>
      </w:pPr>
      <w:r>
        <w:rPr>
          <w:rFonts w:ascii="Arial" w:hAnsi="Arial"/>
          <w:color w:val="334155"/>
          <w:sz w:val="19"/>
        </w:rPr>
      </w:r>
      <w:r>
        <w:rPr>
          <w:rFonts w:ascii="Arial" w:hAnsi="Arial"/>
          <w:b/>
          <w:color w:val="0F172A"/>
          <w:sz w:val="19"/>
        </w:rPr>
        <w:t>Disadvantages &amp; Why V2 Failed:</w:t>
      </w:r>
      <w:r>
        <w:rPr>
          <w:rFonts w:ascii="Arial" w:hAnsi="Arial"/>
          <w:color w:val="334155"/>
          <w:sz w:val="19"/>
        </w:rPr>
      </w:r>
    </w:p>
    <w:p>
      <w:pPr>
        <w:spacing w:before="40" w:after="80"/>
      </w:pPr>
      <w:r>
        <w:rPr>
          <w:rFonts w:ascii="Arial" w:hAnsi="Arial"/>
          <w:color w:val="334155"/>
          <w:sz w:val="19"/>
        </w:rPr>
        <w:t>1. Target naming remained ambiguous (retained `Obesity` instead of the standardized clinical term `High_Adiposity_Risk`).</w:t>
      </w:r>
    </w:p>
    <w:p>
      <w:pPr>
        <w:spacing w:before="40" w:after="80"/>
      </w:pPr>
      <w:r>
        <w:rPr>
          <w:rFonts w:ascii="Arial" w:hAnsi="Arial"/>
          <w:color w:val="334155"/>
          <w:sz w:val="19"/>
        </w:rPr>
        <w:t>2. Lacked full continuous glucose monitor (CGM) time-in-range metrics.</w:t>
      </w:r>
    </w:p>
    <w:p>
      <w:pPr>
        <w:spacing w:before="40" w:after="80"/>
      </w:pPr>
      <w:r>
        <w:rPr>
          <w:rFonts w:ascii="Arial" w:hAnsi="Arial"/>
          <w:color w:val="334155"/>
          <w:sz w:val="19"/>
        </w:rPr>
        <w:t>3. Train/validation/test partitions were not cryptographically frozen, leading to potential split variation across training runs.</w:t>
      </w:r>
    </w:p>
    <w:p>
      <w:pPr>
        <w:spacing w:before="40" w:after="80"/>
      </w:pPr>
      <w:r>
        <w:rPr>
          <w:rFonts w:ascii="Arial" w:hAnsi="Arial"/>
          <w:color w:val="334155"/>
          <w:sz w:val="19"/>
        </w:rPr>
        <w:t>4. Models output raw uncalibrated scores without isotonic reliability scaling.</w:t>
      </w:r>
    </w:p>
    <w:p>
      <w:pPr>
        <w:pStyle w:val="ListBullet"/>
        <w:spacing w:before="20" w:after="20"/>
      </w:pPr>
      <w:r>
        <w:rPr>
          <w:rFonts w:ascii="Arial" w:hAnsi="Arial"/>
          <w:color w:val="334155"/>
          <w:sz w:val="19"/>
        </w:rPr>
      </w:r>
      <w:r>
        <w:rPr>
          <w:rFonts w:ascii="Arial" w:hAnsi="Arial"/>
          <w:b/>
          <w:color w:val="0F172A"/>
          <w:sz w:val="19"/>
        </w:rPr>
        <w:t>Model Performance in V2:</w:t>
      </w:r>
      <w:r>
        <w:rPr>
          <w:rFonts w:ascii="Arial" w:hAnsi="Arial"/>
          <w:color w:val="334155"/>
          <w:sz w:val="19"/>
        </w:rPr>
        <w:t xml:space="preserve"> Clinical ~86.8% accuracy (F1 ~0.826, AUC ~0.895), Wearable ~83.2% accuracy (F1 ~0.789), Gut ~81.0% accuracy (F1 ~0.810). Simple soft averaging fusion achieved ~90.1% accuracy.</w:t>
      </w:r>
    </w:p>
    <w:p>
      <w:pPr>
        <w:pStyle w:val="Heading3"/>
        <w:spacing w:before="160" w:after="40"/>
      </w:pPr>
      <w:r>
        <w:rPr>
          <w:rFonts w:ascii="Arial" w:hAnsi="Arial"/>
          <w:b/>
          <w:color w:val="0F172A"/>
          <w:sz w:val="21"/>
        </w:rPr>
        <w:t>13.3 Dataset V3 (Multi-Disease Architecture)</w:t>
      </w:r>
    </w:p>
    <w:p>
      <w:pPr>
        <w:pStyle w:val="ListBullet"/>
        <w:spacing w:before="20" w:after="20"/>
      </w:pPr>
      <w:r>
        <w:rPr>
          <w:rFonts w:ascii="Arial" w:hAnsi="Arial"/>
          <w:color w:val="334155"/>
          <w:sz w:val="19"/>
        </w:rPr>
      </w:r>
      <w:r>
        <w:rPr>
          <w:rFonts w:ascii="Arial" w:hAnsi="Arial"/>
          <w:b/>
          <w:color w:val="0F172A"/>
          <w:sz w:val="19"/>
        </w:rPr>
        <w:t>Dataset Files:</w:t>
      </w:r>
      <w:r>
        <w:rPr>
          <w:rFonts w:ascii="Arial" w:hAnsi="Arial"/>
          <w:color w:val="334155"/>
          <w:sz w:val="19"/>
        </w:rPr>
        <w:t xml:space="preserve"> `archive/v3/multimodal_v3_data/` (`clinical_v3.csv`, `wearable_standard_v3.csv`, `wearable_cgm_v3.csv`, `gut_v3.csv`, `labels_v3.csv`, `split_manifest_v3.csv`).</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V2:</w:t>
      </w:r>
      <w:r>
        <w:rPr>
          <w:rFonts w:ascii="Arial" w:hAnsi="Arial"/>
          <w:color w:val="334155"/>
          <w:sz w:val="19"/>
        </w:rPr>
        <w:t xml:space="preserve"> Standardized the 5 frozen metabolic target labels (introducing `High_Adiposity_Risk`); decoupled targets into an independent `labels_v3.csv` file; partitioned wearable data into standard physical activity and CGM streams.</w:t>
      </w:r>
    </w:p>
    <w:p>
      <w:pPr>
        <w:pStyle w:val="ListBullet"/>
        <w:spacing w:before="20" w:after="20"/>
      </w:pPr>
      <w:r>
        <w:rPr>
          <w:rFonts w:ascii="Arial" w:hAnsi="Arial"/>
          <w:color w:val="334155"/>
          <w:sz w:val="19"/>
        </w:rPr>
      </w:r>
      <w:r>
        <w:rPr>
          <w:rFonts w:ascii="Arial" w:hAnsi="Arial"/>
          <w:b/>
          <w:color w:val="0F172A"/>
          <w:sz w:val="19"/>
        </w:rPr>
        <w:t>Disadvantages &amp; Why V3 Failed:</w:t>
      </w:r>
      <w:r>
        <w:rPr>
          <w:rFonts w:ascii="Arial" w:hAnsi="Arial"/>
          <w:color w:val="334155"/>
          <w:sz w:val="19"/>
        </w:rPr>
      </w:r>
    </w:p>
    <w:p>
      <w:pPr>
        <w:spacing w:before="40" w:after="80"/>
      </w:pPr>
      <w:r>
        <w:rPr>
          <w:rFonts w:ascii="Arial" w:hAnsi="Arial"/>
          <w:color w:val="334155"/>
          <w:sz w:val="19"/>
        </w:rPr>
        <w:t>1. Synthetic cross-modal correlations were set overly tight, resulting in synthetic overfitting artifacts (unrealistically high ROC-AUC &gt; 0.99 on initial training runs).</w:t>
      </w:r>
    </w:p>
    <w:p>
      <w:pPr>
        <w:spacing w:before="40" w:after="80"/>
      </w:pPr>
      <w:r>
        <w:rPr>
          <w:rFonts w:ascii="Arial" w:hAnsi="Arial"/>
          <w:color w:val="334155"/>
          <w:sz w:val="19"/>
        </w:rPr>
        <w:t>2. Gut feature space was temporarily compressed to 22 columns, dropping key ecological diversity indices.</w:t>
      </w:r>
    </w:p>
    <w:p>
      <w:pPr>
        <w:spacing w:before="40" w:after="80"/>
      </w:pPr>
      <w:r>
        <w:rPr>
          <w:rFonts w:ascii="Arial" w:hAnsi="Arial"/>
          <w:color w:val="334155"/>
          <w:sz w:val="19"/>
        </w:rPr>
        <w:t>3. Missing modality routing was partially hardcoded rather than dynamically routed through a unified 7-pathway engine.</w:t>
      </w:r>
    </w:p>
    <w:p>
      <w:pPr>
        <w:pStyle w:val="ListBullet"/>
        <w:spacing w:before="20" w:after="20"/>
      </w:pPr>
      <w:r>
        <w:rPr>
          <w:rFonts w:ascii="Arial" w:hAnsi="Arial"/>
          <w:color w:val="334155"/>
          <w:sz w:val="19"/>
        </w:rPr>
      </w:r>
      <w:r>
        <w:rPr>
          <w:rFonts w:ascii="Arial" w:hAnsi="Arial"/>
          <w:b/>
          <w:color w:val="0F172A"/>
          <w:sz w:val="19"/>
        </w:rPr>
        <w:t>Model Performance in V3:</w:t>
      </w:r>
      <w:r>
        <w:rPr>
          <w:rFonts w:ascii="Arial" w:hAnsi="Arial"/>
          <w:color w:val="334155"/>
          <w:sz w:val="19"/>
        </w:rPr>
        <w:t xml:space="preserve"> Clinical ~88.5% accuracy (F1 ~0.852, AUC ~0.918), Wearable ~85.1% accuracy (F1 ~0.815), Gut ~83.7% accuracy (F1 ~0.798). Trimodal fusion reached ~92.4% accuracy.</w:t>
      </w:r>
    </w:p>
    <w:p>
      <w:pPr>
        <w:pStyle w:val="Heading3"/>
        <w:spacing w:before="160" w:after="40"/>
      </w:pPr>
      <w:r>
        <w:rPr>
          <w:rFonts w:ascii="Arial" w:hAnsi="Arial"/>
          <w:b/>
          <w:color w:val="0F172A"/>
          <w:sz w:val="21"/>
        </w:rPr>
        <w:t>13.4 Dataset V4 (Authoritative Final Production Baseline)</w:t>
      </w:r>
    </w:p>
    <w:p>
      <w:pPr>
        <w:pStyle w:val="ListBullet"/>
        <w:spacing w:before="20" w:after="20"/>
      </w:pPr>
      <w:r>
        <w:rPr>
          <w:rFonts w:ascii="Arial" w:hAnsi="Arial"/>
          <w:color w:val="334155"/>
          <w:sz w:val="19"/>
        </w:rPr>
      </w:r>
      <w:r>
        <w:rPr>
          <w:rFonts w:ascii="Arial" w:hAnsi="Arial"/>
          <w:b/>
          <w:color w:val="0F172A"/>
          <w:sz w:val="19"/>
        </w:rPr>
        <w:t>Dataset Scale:</w:t>
      </w:r>
      <w:r>
        <w:rPr>
          <w:rFonts w:ascii="Arial" w:hAnsi="Arial"/>
          <w:color w:val="334155"/>
          <w:sz w:val="19"/>
        </w:rPr>
        <w:t xml:space="preserve"> Scaled by 5x to </w:t>
      </w:r>
      <w:r>
        <w:rPr>
          <w:rFonts w:ascii="Arial" w:hAnsi="Arial"/>
          <w:b/>
          <w:color w:val="0F172A"/>
          <w:sz w:val="19"/>
        </w:rPr>
        <w:t>100,000 Synchronized Patients</w:t>
      </w:r>
      <w:r>
        <w:rPr>
          <w:rFonts w:ascii="Arial" w:hAnsi="Arial"/>
          <w:color w:val="334155"/>
          <w:sz w:val="19"/>
        </w:rPr>
        <w:t xml:space="preserve"> (70,000 Train / 15,000 Validation / 15,000 Test).</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Exactly </w:t>
      </w:r>
      <w:r>
        <w:rPr>
          <w:rFonts w:ascii="Arial" w:hAnsi="Arial"/>
          <w:b/>
          <w:color w:val="0F172A"/>
          <w:sz w:val="19"/>
        </w:rPr>
        <w:t>82 Upstream Predictive Biomarkers</w:t>
      </w:r>
      <w:r>
        <w:rPr>
          <w:rFonts w:ascii="Arial" w:hAnsi="Arial"/>
          <w:color w:val="334155"/>
          <w:sz w:val="19"/>
        </w:rPr>
        <w:t xml:space="preserve"> (18 Clinical + 15 Wearable/CGM + 49 Gut 16S Taxa/Indices).</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Exactly 5 frozen clinical targets (`Type2_Diabetes`, `Prediabetes`, `High_Adiposity_Risk`, `Metabolic_Syndrome`, `NAFLD`).</w:t>
      </w:r>
    </w:p>
    <w:p>
      <w:pPr>
        <w:pStyle w:val="ListBullet"/>
        <w:spacing w:before="20" w:after="20"/>
      </w:pPr>
      <w:r>
        <w:rPr>
          <w:rFonts w:ascii="Arial" w:hAnsi="Arial"/>
          <w:color w:val="334155"/>
          <w:sz w:val="19"/>
        </w:rPr>
      </w:r>
      <w:r>
        <w:rPr>
          <w:rFonts w:ascii="Arial" w:hAnsi="Arial"/>
          <w:b/>
          <w:color w:val="0F172A"/>
          <w:sz w:val="19"/>
        </w:rPr>
        <w:t>Concrete Improvements in V4:</w:t>
      </w:r>
      <w:r>
        <w:rPr>
          <w:rFonts w:ascii="Arial" w:hAnsi="Arial"/>
          <w:color w:val="334155"/>
          <w:sz w:val="19"/>
        </w:rPr>
      </w:r>
    </w:p>
    <w:p>
      <w:pPr>
        <w:spacing w:before="40" w:after="80"/>
      </w:pPr>
      <w:r>
        <w:rPr>
          <w:rFonts w:ascii="Arial" w:hAnsi="Arial"/>
          <w:color w:val="334155"/>
          <w:sz w:val="19"/>
        </w:rPr>
        <w:t>1. Fully integrated 5 continuous glucose monitor (CGM) metrics (Mean Glucose, Glucose CV, Time in Range, Time Above Range, Time Below Range).</w:t>
      </w:r>
    </w:p>
    <w:p>
      <w:pPr>
        <w:spacing w:before="40" w:after="80"/>
      </w:pPr>
      <w:r>
        <w:rPr>
          <w:rFonts w:ascii="Arial" w:hAnsi="Arial"/>
          <w:color w:val="334155"/>
          <w:sz w:val="19"/>
        </w:rPr>
        <w:t>2. Comprehensive 16S metagenomic profiling with 40 species, 4 diversity indices, 4 functional health indices, and 1 ratio.</w:t>
      </w:r>
    </w:p>
    <w:p>
      <w:pPr>
        <w:spacing w:before="40" w:after="80"/>
      </w:pPr>
      <w:r>
        <w:rPr>
          <w:rFonts w:ascii="Arial" w:hAnsi="Arial"/>
          <w:color w:val="334155"/>
          <w:sz w:val="19"/>
        </w:rPr>
        <w:t>3. Master patient partition indexing guaranteeing strict zero data leakage across all training, validation, and testing workflows.</w:t>
      </w:r>
    </w:p>
    <w:p>
      <w:pPr>
        <w:spacing w:before="40" w:after="80"/>
      </w:pPr>
      <w:r>
        <w:rPr>
          <w:rFonts w:ascii="Arial" w:hAnsi="Arial"/>
          <w:color w:val="334155"/>
          <w:sz w:val="19"/>
        </w:rPr>
        <w:t>4. Cryptographically sealed SHA256 file checksums ensuring 100% academic reproducibility.</w:t>
      </w:r>
    </w:p>
    <w:p>
      <w:pPr>
        <w:spacing w:before="40" w:after="80"/>
      </w:pPr>
      <w:r>
        <w:rPr>
          <w:rFonts w:ascii="Arial" w:hAnsi="Arial"/>
          <w:color w:val="334155"/>
          <w:sz w:val="19"/>
        </w:rPr>
        <w:t>5. Calibrated probability outputs with Brier scores between 0.054 and 0.202.</w:t>
      </w:r>
    </w:p>
    <w:p>
      <w:pPr>
        <w:spacing w:before="40" w:after="80"/>
      </w:pPr>
      <w:r>
        <w:rPr>
          <w:rFonts w:ascii="Arial" w:hAnsi="Arial"/>
          <w:color w:val="334155"/>
          <w:sz w:val="19"/>
        </w:rPr>
        <w:t>---</w:t>
      </w:r>
    </w:p>
    <w:p>
      <w:pPr>
        <w:pStyle w:val="Heading3"/>
        <w:spacing w:before="160" w:after="40"/>
      </w:pPr>
      <w:r>
        <w:rPr>
          <w:rFonts w:ascii="Arial" w:hAnsi="Arial"/>
          <w:b/>
          <w:color w:val="0F172A"/>
          <w:sz w:val="21"/>
        </w:rPr>
        <w:t>13.5 Comprehensive Dataset Evolution Comparison Table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Technical Dimension</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1 (V1 Baseline)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2 (V2 Correlated)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3 (V3 Multi-Target)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4 (V4 Final Release)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Total Cohort Size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 (Prototype)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100,000 Synchronized Patients (Final)</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Split Protocol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 / 15 / 15 (14k / 3k / 3k)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70,000 Train / 15,000 Val / 15,000 Test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Statistical Modeling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Pure independent Gaussian noise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Basic covariance matrix</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Physiological cross-talk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Multivariate Gaussian Copulas + Dirichlet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Target Labels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6 targets (with Healthy,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(with Obesity)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 targets (High_Adiposity_Risk)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Exact 5 Frozen Clinical Targets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Clinical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Predictive Features (Standardized)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Wearable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(split files)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Features (10 Activity + 5 CGM)</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Gut Microbiome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 coarse genera + 1 diversity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54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22 taxa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49 Features (40 Taxa + 9 Ecological Indices)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Upstream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38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83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55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Upstream Predictive Biomarkers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Missing Data Handling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Partial hardcoded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7-Pathway Dynamic Routing</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Data Leakage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None (Random splits)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Shared IDs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Split manifest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Cryptographically Frozen Master Split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Accuracy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~85.8% (Majority Vote)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~90.1% (Soft Average)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~92.4% (Basic Stacking)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94.2% (L2 Regularized Meta-Stacker)</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Ensemble Macro F1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0.804</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0.868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0.923 (Multi-Target Release Benchmark)</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ROC-AUC</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0.882</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0.934</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0.955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0.971 (Multi-Target Release Benchmark)</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14: WHY V4 WAS FINALIZED AS THE IMMUTABLE SOURCE OF TRUTH</w:t>
      </w:r>
    </w:p>
    <w:p>
      <w:pPr>
        <w:spacing w:before="40" w:after="80"/>
      </w:pPr>
      <w:r>
        <w:rPr>
          <w:rFonts w:ascii="Arial" w:hAnsi="Arial"/>
          <w:color w:val="334155"/>
          <w:sz w:val="19"/>
        </w:rPr>
        <w:t xml:space="preserve">1. </w:t>
      </w:r>
      <w:r>
        <w:rPr>
          <w:rFonts w:ascii="Arial" w:hAnsi="Arial"/>
          <w:b/>
          <w:color w:val="0F172A"/>
          <w:sz w:val="19"/>
        </w:rPr>
        <w:t>Resolution of Target Discrepancies:</w:t>
      </w:r>
      <w:r>
        <w:rPr>
          <w:rFonts w:ascii="Arial" w:hAnsi="Arial"/>
          <w:color w:val="334155"/>
          <w:sz w:val="19"/>
        </w:rPr>
        <w:t xml:space="preserve"> V4 permanently standardized `High_Adiposity_Risk` as the primary clinical label, maintaining 1:1 backward compatibility for legacy queries while aligning with WHO clinical terminology.</w:t>
      </w:r>
    </w:p>
    <w:p>
      <w:pPr>
        <w:spacing w:before="40" w:after="80"/>
      </w:pPr>
      <w:r>
        <w:rPr>
          <w:rFonts w:ascii="Arial" w:hAnsi="Arial"/>
          <w:color w:val="334155"/>
          <w:sz w:val="19"/>
        </w:rPr>
        <w:t xml:space="preserve">2. </w:t>
      </w:r>
      <w:r>
        <w:rPr>
          <w:rFonts w:ascii="Arial" w:hAnsi="Arial"/>
          <w:b/>
          <w:color w:val="0F172A"/>
          <w:sz w:val="19"/>
        </w:rPr>
        <w:t>Clinical CGM Integration:</w:t>
      </w:r>
      <w:r>
        <w:rPr>
          <w:rFonts w:ascii="Arial" w:hAnsi="Arial"/>
          <w:color w:val="334155"/>
          <w:sz w:val="19"/>
        </w:rPr>
        <w:t xml:space="preserve"> V4 incorporated continuous interstitial glucose metrics, enabling wearable models to detect subclinical glycemic fluctuations that fasting blood glucose tests miss.</w:t>
      </w:r>
    </w:p>
    <w:p>
      <w:pPr>
        <w:spacing w:before="40" w:after="80"/>
      </w:pPr>
      <w:r>
        <w:rPr>
          <w:rFonts w:ascii="Arial" w:hAnsi="Arial"/>
          <w:color w:val="334155"/>
          <w:sz w:val="19"/>
        </w:rPr>
        <w:t xml:space="preserve">3. </w:t>
      </w:r>
      <w:r>
        <w:rPr>
          <w:rFonts w:ascii="Arial" w:hAnsi="Arial"/>
          <w:b/>
          <w:color w:val="0F172A"/>
          <w:sz w:val="19"/>
        </w:rPr>
        <w:t>Metagenomic Granularity:</w:t>
      </w:r>
      <w:r>
        <w:rPr>
          <w:rFonts w:ascii="Arial" w:hAnsi="Arial"/>
          <w:color w:val="334155"/>
          <w:sz w:val="19"/>
        </w:rPr>
        <w:t xml:space="preserve"> V4 expanded gut profiling to 40 species and 9 functional indices, providing the biological resolution needed to detect mucosal barrier degradation and short-chain fatty acid depletion.</w:t>
      </w:r>
    </w:p>
    <w:p>
      <w:pPr>
        <w:spacing w:before="40" w:after="80"/>
      </w:pPr>
      <w:r>
        <w:rPr>
          <w:rFonts w:ascii="Arial" w:hAnsi="Arial"/>
          <w:color w:val="334155"/>
          <w:sz w:val="19"/>
        </w:rPr>
        <w:t xml:space="preserve">4. </w:t>
      </w:r>
      <w:r>
        <w:rPr>
          <w:rFonts w:ascii="Arial" w:hAnsi="Arial"/>
          <w:b/>
          <w:color w:val="0F172A"/>
          <w:sz w:val="19"/>
        </w:rPr>
        <w:t>Zero-Imputation Mathematical Guarantee:</w:t>
      </w:r>
      <w:r>
        <w:rPr>
          <w:rFonts w:ascii="Arial" w:hAnsi="Arial"/>
          <w:color w:val="334155"/>
          <w:sz w:val="19"/>
        </w:rPr>
        <w:t xml:space="preserve"> V4 established the 7-pathway dynamic routing engine, eliminating the dangerous practice of synthetic data imputation.</w:t>
      </w:r>
    </w:p>
    <w:p>
      <w:pPr>
        <w:spacing w:before="40" w:after="80"/>
      </w:pPr>
      <w:r>
        <w:rPr>
          <w:rFonts w:ascii="Arial" w:hAnsi="Arial"/>
          <w:color w:val="334155"/>
          <w:sz w:val="19"/>
        </w:rPr>
        <w:t xml:space="preserve">5. </w:t>
      </w:r>
      <w:r>
        <w:rPr>
          <w:rFonts w:ascii="Arial" w:hAnsi="Arial"/>
          <w:b/>
          <w:color w:val="0F172A"/>
          <w:sz w:val="19"/>
        </w:rPr>
        <w:t>Cryptographic Checksum Invariance:</w:t>
      </w:r>
      <w:r>
        <w:rPr>
          <w:rFonts w:ascii="Arial" w:hAnsi="Arial"/>
          <w:color w:val="334155"/>
          <w:sz w:val="19"/>
        </w:rPr>
        <w:t xml:space="preserve"> All dataset and model payload files in V4 are sealed with SHA256 hashes, ensuring that every published metric can be verified independently.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15: AUTHORITATIVE FEATURE-PROVENANCE AUDIT</w:t>
      </w:r>
    </w:p>
    <w:p>
      <w:pPr>
        <w:pStyle w:val="Heading3"/>
        <w:spacing w:before="160" w:after="40"/>
      </w:pPr>
      <w:r>
        <w:rPr>
          <w:rFonts w:ascii="Arial" w:hAnsi="Arial"/>
          <w:b/>
          <w:color w:val="0F172A"/>
          <w:sz w:val="21"/>
        </w:rPr>
        <w:t>15.1 Defining the Four Distinct Feature Dimensions</w:t>
      </w:r>
    </w:p>
    <w:p>
      <w:pPr>
        <w:spacing w:before="40" w:after="80"/>
      </w:pPr>
      <w:r>
        <w:rPr>
          <w:rFonts w:ascii="Arial" w:hAnsi="Arial"/>
          <w:color w:val="334155"/>
          <w:sz w:val="19"/>
        </w:rPr>
        <w:t>To eliminate confusion during academic defenses and technical reviews, feature counts must be understood across four distinct dimensions:</w:t>
      </w:r>
    </w:p>
    <w:p>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IDs, targets, and metadata).</w:t>
      </w:r>
    </w:p>
    <w:p>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biological markers supplied to base expert models after removing IDs and targets.</w:t>
      </w:r>
    </w:p>
    <w:p>
      <w:pPr>
        <w:spacing w:before="40" w:after="80"/>
      </w:pPr>
      <w:r>
        <w:rPr>
          <w:rFonts w:ascii="Arial" w:hAnsi="Arial"/>
          <w:color w:val="334155"/>
          <w:sz w:val="19"/>
        </w:rPr>
        <w:t xml:space="preserve">3. </w:t>
      </w:r>
      <w:r>
        <w:rPr>
          <w:rFonts w:ascii="Arial" w:hAnsi="Arial"/>
          <w:b/>
          <w:color w:val="0F172A"/>
          <w:sz w:val="19"/>
        </w:rPr>
        <w:t>Engineered / Transformed Features:</w:t>
      </w:r>
      <w:r>
        <w:rPr>
          <w:rFonts w:ascii="Arial" w:hAnsi="Arial"/>
          <w:color w:val="334155"/>
          <w:sz w:val="19"/>
        </w:rPr>
        <w:t xml:space="preserve"> Derived metrics computed during preprocessing (e.g. BMI, CGM Glucose CV, Shannon Diversity).</w:t>
      </w:r>
    </w:p>
    <w:p>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Calibrated probability outputs generated by base expert models and consumed by the downstream fusion stacking meta-learner.</w:t>
      </w:r>
    </w:p>
    <w:p>
      <w:pPr>
        <w:pStyle w:val="Heading3"/>
        <w:spacing w:before="160" w:after="40"/>
      </w:pPr>
      <w:r>
        <w:rPr>
          <w:rFonts w:ascii="Arial" w:hAnsi="Arial"/>
          <w:b/>
          <w:color w:val="0F172A"/>
          <w:sz w:val="21"/>
        </w:rPr>
        <w:t>15.2 Complete Feature-Provenance Master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Master Dataset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Non-Predictive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Actual Predictive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Model Input Dimension</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Verification Source</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wearable_v4_sample.csv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ID + 1 Unassigned (Other_Taxa)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Upstream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All 3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 Non-Predictive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Total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Sum: 18 + 15 + 49 = 82</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Trimodal Meta-Learner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None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Probabilities per Disease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Inputs per Target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n_features_in_ = 3 in Fusion Payload</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Bimodal Meta-Learner (W+G)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wg_logistic_regression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None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Probabilities per Disease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Inputs per Target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n_features_in_ = 2 in Stacker Payload</w:t>
            </w:r>
          </w:p>
        </w:tc>
      </w:tr>
    </w:tbl>
    <w:p>
      <w:pPr>
        <w:spacing w:after="120"/>
      </w:pPr>
    </w:p>
    <w:p>
      <w:pPr>
        <w:pStyle w:val="Heading1"/>
        <w:spacing w:before="280" w:after="120"/>
      </w:pPr>
      <w:r>
        <w:rPr>
          <w:rFonts w:ascii="Arial" w:hAnsi="Arial"/>
          <w:b/>
          <w:color w:val="1E3A8A"/>
          <w:sz w:val="30"/>
        </w:rPr>
        <w:t>SECTION 16: COMPREHENSIVE MODALITY SPECIFICATIONS &amp; BIOMARKER CATALOG</w:t>
      </w:r>
    </w:p>
    <w:p>
      <w:pPr>
        <w:spacing w:before="40" w:after="80"/>
      </w:pPr>
      <w:r>
        <w:rPr>
          <w:rFonts w:ascii="Arial" w:hAnsi="Arial"/>
          <w:color w:val="334155"/>
          <w:sz w:val="19"/>
        </w:rPr>
        <w:t>TeleMed AI v4 evaluates 82 upstream biological features across three distinct physiological modalities:</w:t>
      </w:r>
    </w:p>
    <w:p>
      <w:pPr>
        <w:pStyle w:val="Heading3"/>
        <w:spacing w:before="160" w:after="40"/>
      </w:pPr>
      <w:r>
        <w:rPr>
          <w:rFonts w:ascii="Arial" w:hAnsi="Arial"/>
          <w:b/>
          <w:color w:val="0F172A"/>
          <w:sz w:val="21"/>
        </w:rPr>
        <w:t>16.1 Modality 1: Clinical Laboratory &amp; Vital Signs (C — 18 Predictive Features)</w:t>
      </w:r>
    </w:p>
    <w:p>
      <w:pPr>
        <w:spacing w:before="40" w:after="80"/>
      </w:pPr>
      <w:r>
        <w:rPr>
          <w:rFonts w:ascii="Arial" w:hAnsi="Arial"/>
          <w:color w:val="334155"/>
          <w:sz w:val="19"/>
        </w:rPr>
        <w:t>This modality captures systemic biochemistry, lipid metabolism, hepatic function, and hemodynamic blood pressure:</w:t>
      </w:r>
    </w:p>
    <w:p>
      <w:pPr>
        <w:spacing w:before="40" w:after="80"/>
      </w:pPr>
      <w:r>
        <w:rPr>
          <w:rFonts w:ascii="Arial" w:hAnsi="Arial"/>
          <w:color w:val="334155"/>
          <w:sz w:val="19"/>
        </w:rPr>
        <w:t xml:space="preserve">1. </w:t>
      </w:r>
      <w:r>
        <w:rPr>
          <w:rFonts w:ascii="Arial" w:hAnsi="Arial"/>
          <w:b/>
          <w:color w:val="0F172A"/>
          <w:sz w:val="19"/>
        </w:rPr>
        <w:t>Age (Years):</w:t>
      </w:r>
      <w:r>
        <w:rPr>
          <w:rFonts w:ascii="Arial" w:hAnsi="Arial"/>
          <w:color w:val="334155"/>
          <w:sz w:val="19"/>
        </w:rPr>
        <w:t xml:space="preserve"> Biological age, a primary non-modifiable risk factor for metabolic decline.</w:t>
      </w:r>
    </w:p>
    <w:p>
      <w:pPr>
        <w:spacing w:before="40" w:after="80"/>
      </w:pPr>
      <w:r>
        <w:rPr>
          <w:rFonts w:ascii="Arial" w:hAnsi="Arial"/>
          <w:color w:val="334155"/>
          <w:sz w:val="19"/>
        </w:rPr>
        <w:t xml:space="preserve">2. </w:t>
      </w:r>
      <w:r>
        <w:rPr>
          <w:rFonts w:ascii="Arial" w:hAnsi="Arial"/>
          <w:b/>
          <w:color w:val="0F172A"/>
          <w:sz w:val="19"/>
        </w:rPr>
        <w:t>Gender (Binary):</w:t>
      </w:r>
      <w:r>
        <w:rPr>
          <w:rFonts w:ascii="Arial" w:hAnsi="Arial"/>
          <w:color w:val="334155"/>
          <w:sz w:val="19"/>
        </w:rPr>
        <w:t xml:space="preserve"> Biological sex (0 = Female, 1 = Male) accounting for sex-specific fat distribution and hormonal profiles.</w:t>
      </w:r>
    </w:p>
    <w:p>
      <w:pPr>
        <w:spacing w:before="40" w:after="80"/>
      </w:pPr>
      <w:r>
        <w:rPr>
          <w:rFonts w:ascii="Arial" w:hAnsi="Arial"/>
          <w:color w:val="334155"/>
          <w:sz w:val="19"/>
        </w:rPr>
        <w:t xml:space="preserve">3. </w:t>
      </w:r>
      <w:r>
        <w:rPr>
          <w:rFonts w:ascii="Arial" w:hAnsi="Arial"/>
          <w:b/>
          <w:color w:val="0F172A"/>
          <w:sz w:val="19"/>
        </w:rPr>
        <w:t>Height (cm):</w:t>
      </w:r>
      <w:r>
        <w:rPr>
          <w:rFonts w:ascii="Arial" w:hAnsi="Arial"/>
          <w:color w:val="334155"/>
          <w:sz w:val="19"/>
        </w:rPr>
        <w:t xml:space="preserve"> Physical stature used in anthropometric scaling.</w:t>
      </w:r>
    </w:p>
    <w:p>
      <w:pPr>
        <w:spacing w:before="40" w:after="80"/>
      </w:pPr>
      <w:r>
        <w:rPr>
          <w:rFonts w:ascii="Arial" w:hAnsi="Arial"/>
          <w:color w:val="334155"/>
          <w:sz w:val="19"/>
        </w:rPr>
        <w:t xml:space="preserve">4. </w:t>
      </w:r>
      <w:r>
        <w:rPr>
          <w:rFonts w:ascii="Arial" w:hAnsi="Arial"/>
          <w:b/>
          <w:color w:val="0F172A"/>
          <w:sz w:val="19"/>
        </w:rPr>
        <w:t>Weight (kg):</w:t>
      </w:r>
      <w:r>
        <w:rPr>
          <w:rFonts w:ascii="Arial" w:hAnsi="Arial"/>
          <w:color w:val="334155"/>
          <w:sz w:val="19"/>
        </w:rPr>
        <w:t xml:space="preserve"> Total body mass.</w:t>
      </w:r>
    </w:p>
    <w:p>
      <w:pPr>
        <w:spacing w:before="40" w:after="80"/>
      </w:pPr>
      <w:r>
        <w:rPr>
          <w:rFonts w:ascii="Arial" w:hAnsi="Arial"/>
          <w:color w:val="334155"/>
          <w:sz w:val="19"/>
        </w:rPr>
        <w:t xml:space="preserve">5. </w:t>
      </w:r>
      <w:r>
        <w:rPr>
          <w:rFonts w:ascii="Arial" w:hAnsi="Arial"/>
          <w:b/>
          <w:color w:val="0F172A"/>
          <w:sz w:val="19"/>
        </w:rPr>
        <w:t>Body Mass Index (BMI, kg/m²):</w:t>
      </w:r>
      <w:r>
        <w:rPr>
          <w:rFonts w:ascii="Arial" w:hAnsi="Arial"/>
          <w:color w:val="334155"/>
          <w:sz w:val="19"/>
        </w:rPr>
        <w:t xml:space="preserve"> Anthropometric obesity index (</w:t>
        <w:tab/>
        <w:t>extWeight / (</w:t>
        <w:tab/>
        <w:t>extHeight/100)^2). Normal range: 18.5–24.9; Overweight: 25.0–29.9; Obese:  ≥  30.0.</w:t>
      </w:r>
    </w:p>
    <w:p>
      <w:pPr>
        <w:spacing w:before="40" w:after="80"/>
      </w:pPr>
      <w:r>
        <w:rPr>
          <w:rFonts w:ascii="Arial" w:hAnsi="Arial"/>
          <w:color w:val="334155"/>
          <w:sz w:val="19"/>
        </w:rPr>
        <w:t xml:space="preserve">6. </w:t>
      </w:r>
      <w:r>
        <w:rPr>
          <w:rFonts w:ascii="Arial" w:hAnsi="Arial"/>
          <w:b/>
          <w:color w:val="0F172A"/>
          <w:sz w:val="19"/>
        </w:rPr>
        <w:t>Waist Circumference (cm):</w:t>
      </w:r>
      <w:r>
        <w:rPr>
          <w:rFonts w:ascii="Arial" w:hAnsi="Arial"/>
          <w:color w:val="334155"/>
          <w:sz w:val="19"/>
        </w:rPr>
        <w:t xml:space="preserve"> Direct clinical proxy for visceral adipose tissue accumulation around abdominal organs.</w:t>
      </w:r>
    </w:p>
    <w:p>
      <w:pPr>
        <w:spacing w:before="40" w:after="80"/>
      </w:pPr>
      <w:r>
        <w:rPr>
          <w:rFonts w:ascii="Arial" w:hAnsi="Arial"/>
          <w:color w:val="334155"/>
          <w:sz w:val="19"/>
        </w:rPr>
        <w:t xml:space="preserve">7. </w:t>
      </w:r>
      <w:r>
        <w:rPr>
          <w:rFonts w:ascii="Arial" w:hAnsi="Arial"/>
          <w:b/>
          <w:color w:val="0F172A"/>
          <w:sz w:val="19"/>
        </w:rPr>
        <w:t>Systolic Blood Pressure (mmHg):</w:t>
      </w:r>
      <w:r>
        <w:rPr>
          <w:rFonts w:ascii="Arial" w:hAnsi="Arial"/>
          <w:color w:val="334155"/>
          <w:sz w:val="19"/>
        </w:rPr>
        <w:t xml:space="preserve"> Peak arterial pressure during ventricular contraction. Normal: &lt;120 mmHg; Stage 1 Hypertension: 130–139 mmHg.</w:t>
      </w:r>
    </w:p>
    <w:p>
      <w:pPr>
        <w:spacing w:before="40" w:after="80"/>
      </w:pPr>
      <w:r>
        <w:rPr>
          <w:rFonts w:ascii="Arial" w:hAnsi="Arial"/>
          <w:color w:val="334155"/>
          <w:sz w:val="19"/>
        </w:rPr>
        <w:t xml:space="preserve">8. </w:t>
      </w:r>
      <w:r>
        <w:rPr>
          <w:rFonts w:ascii="Arial" w:hAnsi="Arial"/>
          <w:b/>
          <w:color w:val="0F172A"/>
          <w:sz w:val="19"/>
        </w:rPr>
        <w:t>Diastolic Blood Pressure (mmHg):</w:t>
      </w:r>
      <w:r>
        <w:rPr>
          <w:rFonts w:ascii="Arial" w:hAnsi="Arial"/>
          <w:color w:val="334155"/>
          <w:sz w:val="19"/>
        </w:rPr>
        <w:t xml:space="preserve"> Minimum arterial pressure during ventricular relaxation. Normal: &lt;80 mmHg; Hypertension:  ≥  80 mmHg.</w:t>
      </w:r>
    </w:p>
    <w:p>
      <w:pPr>
        <w:spacing w:before="40" w:after="80"/>
      </w:pPr>
      <w:r>
        <w:rPr>
          <w:rFonts w:ascii="Arial" w:hAnsi="Arial"/>
          <w:color w:val="334155"/>
          <w:sz w:val="19"/>
        </w:rPr>
        <w:t xml:space="preserve">9. </w:t>
      </w:r>
      <w:r>
        <w:rPr>
          <w:rFonts w:ascii="Arial" w:hAnsi="Arial"/>
          <w:b/>
          <w:color w:val="0F172A"/>
          <w:sz w:val="19"/>
        </w:rPr>
        <w:t>Fasting Blood Glucose (mg/dL):</w:t>
      </w:r>
      <w:r>
        <w:rPr>
          <w:rFonts w:ascii="Arial" w:hAnsi="Arial"/>
          <w:color w:val="334155"/>
          <w:sz w:val="19"/>
        </w:rPr>
        <w:t xml:space="preserve"> Serum glucose concentration after an 8–12 hour fast. Normal: 70–99 mg/dL; Prediabetes: 100–125 mg/dL; Diabetes:  ≥  126 mg/dL.</w:t>
      </w:r>
    </w:p>
    <w:p>
      <w:pPr>
        <w:spacing w:before="40" w:after="80"/>
      </w:pPr>
      <w:r>
        <w:rPr>
          <w:rFonts w:ascii="Arial" w:hAnsi="Arial"/>
          <w:color w:val="334155"/>
          <w:sz w:val="19"/>
        </w:rPr>
        <w:t xml:space="preserve">10. </w:t>
      </w:r>
      <w:r>
        <w:rPr>
          <w:rFonts w:ascii="Arial" w:hAnsi="Arial"/>
          <w:b/>
          <w:color w:val="0F172A"/>
          <w:sz w:val="19"/>
        </w:rPr>
        <w:t>Glycated Hemoglobin (HbA1c, %):</w:t>
      </w:r>
      <w:r>
        <w:rPr>
          <w:rFonts w:ascii="Arial" w:hAnsi="Arial"/>
          <w:color w:val="334155"/>
          <w:sz w:val="19"/>
        </w:rPr>
        <w:t xml:space="preserve"> Percentage of hemoglobin bound to glucose, reflecting average glycemic control over the past 90 days. Normal: &lt;5.7%; Prediabetes: 5.7–6.4%; Diabetes:  ≥  6.5\%.</w:t>
      </w:r>
    </w:p>
    <w:p>
      <w:pPr>
        <w:spacing w:before="40" w:after="80"/>
      </w:pPr>
      <w:r>
        <w:rPr>
          <w:rFonts w:ascii="Arial" w:hAnsi="Arial"/>
          <w:color w:val="334155"/>
          <w:sz w:val="19"/>
        </w:rPr>
        <w:t xml:space="preserve">11. </w:t>
      </w:r>
      <w:r>
        <w:rPr>
          <w:rFonts w:ascii="Arial" w:hAnsi="Arial"/>
          <w:b/>
          <w:color w:val="0F172A"/>
          <w:sz w:val="19"/>
        </w:rPr>
        <w:t>Serum Triglycerides (mg/dL):</w:t>
      </w:r>
      <w:r>
        <w:rPr>
          <w:rFonts w:ascii="Arial" w:hAnsi="Arial"/>
          <w:color w:val="334155"/>
          <w:sz w:val="19"/>
        </w:rPr>
        <w:t xml:space="preserve"> Primary circulating lipid form. Normal: &lt;150 mg/dL; Borderline: 150–199 mg/dL; High:  ≥  200 mg/dL.</w:t>
      </w:r>
    </w:p>
    <w:p>
      <w:pPr>
        <w:spacing w:before="40" w:after="80"/>
      </w:pPr>
      <w:r>
        <w:rPr>
          <w:rFonts w:ascii="Arial" w:hAnsi="Arial"/>
          <w:color w:val="334155"/>
          <w:sz w:val="19"/>
        </w:rPr>
        <w:t xml:space="preserve">12. </w:t>
      </w:r>
      <w:r>
        <w:rPr>
          <w:rFonts w:ascii="Arial" w:hAnsi="Arial"/>
          <w:b/>
          <w:color w:val="0F172A"/>
          <w:sz w:val="19"/>
        </w:rPr>
        <w:t>High-Density Lipoprotein (HDL Cholesterol, mg/dL):</w:t>
      </w:r>
      <w:r>
        <w:rPr>
          <w:rFonts w:ascii="Arial" w:hAnsi="Arial"/>
          <w:color w:val="334155"/>
          <w:sz w:val="19"/>
        </w:rPr>
        <w:t xml:space="preserve"> "Good" protective cholesterol. Normal/Protective:  ≥  40 mg/dL (men),  ≥  50 mg/dL (women).</w:t>
      </w:r>
    </w:p>
    <w:p>
      <w:pPr>
        <w:spacing w:before="40" w:after="80"/>
      </w:pPr>
      <w:r>
        <w:rPr>
          <w:rFonts w:ascii="Arial" w:hAnsi="Arial"/>
          <w:color w:val="334155"/>
          <w:sz w:val="19"/>
        </w:rPr>
        <w:t xml:space="preserve">13. </w:t>
      </w:r>
      <w:r>
        <w:rPr>
          <w:rFonts w:ascii="Arial" w:hAnsi="Arial"/>
          <w:b/>
          <w:color w:val="0F172A"/>
          <w:sz w:val="19"/>
        </w:rPr>
        <w:t>Low-Density Lipoprotein (LDL Cholesterol, mg/dL):</w:t>
      </w:r>
      <w:r>
        <w:rPr>
          <w:rFonts w:ascii="Arial" w:hAnsi="Arial"/>
          <w:color w:val="334155"/>
          <w:sz w:val="19"/>
        </w:rPr>
        <w:t xml:space="preserve"> Atherogenic "bad" cholesterol. Optimal: &lt;100 mg/dL; Elevated:  ≥  130 mg/dL.</w:t>
      </w:r>
    </w:p>
    <w:p>
      <w:pPr>
        <w:spacing w:before="40" w:after="80"/>
      </w:pPr>
      <w:r>
        <w:rPr>
          <w:rFonts w:ascii="Arial" w:hAnsi="Arial"/>
          <w:color w:val="334155"/>
          <w:sz w:val="19"/>
        </w:rPr>
        <w:t xml:space="preserve">14. </w:t>
      </w:r>
      <w:r>
        <w:rPr>
          <w:rFonts w:ascii="Arial" w:hAnsi="Arial"/>
          <w:b/>
          <w:color w:val="0F172A"/>
          <w:sz w:val="19"/>
        </w:rPr>
        <w:t>Alanine Aminotransferase (ALT, U/L):</w:t>
      </w:r>
      <w:r>
        <w:rPr>
          <w:rFonts w:ascii="Arial" w:hAnsi="Arial"/>
          <w:color w:val="334155"/>
          <w:sz w:val="19"/>
        </w:rPr>
        <w:t xml:space="preserve"> Hepatocellular enzyme; elevation indicates hepatic injury and non-alcoholic fatty liver inflammation. Normal: 7–56 U/L.</w:t>
      </w:r>
    </w:p>
    <w:p>
      <w:pPr>
        <w:spacing w:before="40" w:after="80"/>
      </w:pPr>
      <w:r>
        <w:rPr>
          <w:rFonts w:ascii="Arial" w:hAnsi="Arial"/>
          <w:color w:val="334155"/>
          <w:sz w:val="19"/>
        </w:rPr>
        <w:t xml:space="preserve">15. </w:t>
      </w:r>
      <w:r>
        <w:rPr>
          <w:rFonts w:ascii="Arial" w:hAnsi="Arial"/>
          <w:b/>
          <w:color w:val="0F172A"/>
          <w:sz w:val="19"/>
        </w:rPr>
        <w:t>Aspartate Aminotransferase (AST, U/L):</w:t>
      </w:r>
      <w:r>
        <w:rPr>
          <w:rFonts w:ascii="Arial" w:hAnsi="Arial"/>
          <w:color w:val="334155"/>
          <w:sz w:val="19"/>
        </w:rPr>
        <w:t xml:space="preserve"> Transaminase enzyme; used in conjunction with ALT to evaluate liver parenchyma integrity. Normal: 10–40 U/L.</w:t>
      </w:r>
    </w:p>
    <w:p>
      <w:pPr>
        <w:spacing w:before="40" w:after="80"/>
      </w:pPr>
      <w:r>
        <w:rPr>
          <w:rFonts w:ascii="Arial" w:hAnsi="Arial"/>
          <w:color w:val="334155"/>
          <w:sz w:val="19"/>
        </w:rPr>
        <w:t xml:space="preserve">16. </w:t>
      </w:r>
      <w:r>
        <w:rPr>
          <w:rFonts w:ascii="Arial" w:hAnsi="Arial"/>
          <w:b/>
          <w:color w:val="0F172A"/>
          <w:sz w:val="19"/>
        </w:rPr>
        <w:t>Family History of Diabetes (Binary):</w:t>
      </w:r>
      <w:r>
        <w:rPr>
          <w:rFonts w:ascii="Arial" w:hAnsi="Arial"/>
          <w:color w:val="334155"/>
          <w:sz w:val="19"/>
        </w:rPr>
        <w:t xml:space="preserve"> Genetic predisposition (0 = No, 1 = Yes).</w:t>
      </w:r>
    </w:p>
    <w:p>
      <w:pPr>
        <w:spacing w:before="40" w:after="80"/>
      </w:pPr>
      <w:r>
        <w:rPr>
          <w:rFonts w:ascii="Arial" w:hAnsi="Arial"/>
          <w:color w:val="334155"/>
          <w:sz w:val="19"/>
        </w:rPr>
        <w:t xml:space="preserve">17. </w:t>
      </w:r>
      <w:r>
        <w:rPr>
          <w:rFonts w:ascii="Arial" w:hAnsi="Arial"/>
          <w:b/>
          <w:color w:val="0F172A"/>
          <w:sz w:val="19"/>
        </w:rPr>
        <w:t>Family History of Hypertension (Binary):</w:t>
      </w:r>
      <w:r>
        <w:rPr>
          <w:rFonts w:ascii="Arial" w:hAnsi="Arial"/>
          <w:color w:val="334155"/>
          <w:sz w:val="19"/>
        </w:rPr>
        <w:t xml:space="preserve"> Genetic predisposition to essential hypertension (0 = No, 1 = Yes).</w:t>
      </w:r>
    </w:p>
    <w:p>
      <w:pPr>
        <w:spacing w:before="40" w:after="80"/>
      </w:pPr>
      <w:r>
        <w:rPr>
          <w:rFonts w:ascii="Arial" w:hAnsi="Arial"/>
          <w:color w:val="334155"/>
          <w:sz w:val="19"/>
        </w:rPr>
        <w:t xml:space="preserve">18. </w:t>
      </w:r>
      <w:r>
        <w:rPr>
          <w:rFonts w:ascii="Arial" w:hAnsi="Arial"/>
          <w:b/>
          <w:color w:val="0F172A"/>
          <w:sz w:val="19"/>
        </w:rPr>
        <w:t>Family History of Cardiovascular Disease (Binary):</w:t>
      </w:r>
      <w:r>
        <w:rPr>
          <w:rFonts w:ascii="Arial" w:hAnsi="Arial"/>
          <w:color w:val="334155"/>
          <w:sz w:val="19"/>
        </w:rPr>
        <w:t xml:space="preserve"> Genetic predisposition to coronary artery disease or stroke (0 = No, 1 = Yes).</w:t>
      </w:r>
    </w:p>
    <w:p>
      <w:pPr>
        <w:spacing w:before="40" w:after="80"/>
      </w:pPr>
      <w:r>
        <w:rPr>
          <w:rFonts w:ascii="Arial" w:hAnsi="Arial"/>
          <w:color w:val="334155"/>
          <w:sz w:val="19"/>
        </w:rPr>
        <w:t>---</w:t>
      </w:r>
    </w:p>
    <w:p>
      <w:pPr>
        <w:pStyle w:val="Heading3"/>
        <w:spacing w:before="160" w:after="40"/>
      </w:pPr>
      <w:r>
        <w:rPr>
          <w:rFonts w:ascii="Arial" w:hAnsi="Arial"/>
          <w:b/>
          <w:color w:val="0F172A"/>
          <w:sz w:val="21"/>
        </w:rPr>
        <w:t>16.2 Modality 2: Wearable Continuous Glucose Monitoring &amp; Autonomic Vitals (W — 15 Predictive Features)</w:t>
      </w:r>
    </w:p>
    <w:p>
      <w:pPr>
        <w:spacing w:before="40" w:after="80"/>
      </w:pPr>
      <w:r>
        <w:rPr>
          <w:rFonts w:ascii="Arial" w:hAnsi="Arial"/>
          <w:color w:val="334155"/>
          <w:sz w:val="19"/>
        </w:rPr>
        <w:t>This modality captures real-time glycemic dynamics, autonomic recovery tone, and circadian activity patterns:</w:t>
      </w:r>
    </w:p>
    <w:p>
      <w:pPr>
        <w:spacing w:before="40" w:after="80"/>
      </w:pPr>
      <w:r>
        <w:rPr>
          <w:rFonts w:ascii="Arial" w:hAnsi="Arial"/>
          <w:color w:val="334155"/>
          <w:sz w:val="19"/>
        </w:rPr>
        <w:t xml:space="preserve">1. </w:t>
      </w:r>
      <w:r>
        <w:rPr>
          <w:rFonts w:ascii="Arial" w:hAnsi="Arial"/>
          <w:b/>
          <w:color w:val="0F172A"/>
          <w:sz w:val="19"/>
        </w:rPr>
        <w:t>Average Daily Steps:</w:t>
      </w:r>
      <w:r>
        <w:rPr>
          <w:rFonts w:ascii="Arial" w:hAnsi="Arial"/>
          <w:color w:val="334155"/>
          <w:sz w:val="19"/>
        </w:rPr>
        <w:t xml:space="preserve"> Mean 24-hour ambulatory physical activity volume. Target:  ≥  8,000 steps/day.</w:t>
      </w:r>
    </w:p>
    <w:p>
      <w:pPr>
        <w:spacing w:before="40" w:after="80"/>
      </w:pPr>
      <w:r>
        <w:rPr>
          <w:rFonts w:ascii="Arial" w:hAnsi="Arial"/>
          <w:color w:val="334155"/>
          <w:sz w:val="19"/>
        </w:rPr>
        <w:t xml:space="preserve">2. </w:t>
      </w:r>
      <w:r>
        <w:rPr>
          <w:rFonts w:ascii="Arial" w:hAnsi="Arial"/>
          <w:b/>
          <w:color w:val="0F172A"/>
          <w:sz w:val="19"/>
        </w:rPr>
        <w:t>Active Minutes:</w:t>
      </w:r>
      <w:r>
        <w:rPr>
          <w:rFonts w:ascii="Arial" w:hAnsi="Arial"/>
          <w:color w:val="334155"/>
          <w:sz w:val="19"/>
        </w:rPr>
        <w:t xml:space="preserve"> Total minutes spent in moderate-to-vigorous physical activity (MVPA) per day. Target:  ≥  30 min/day.</w:t>
      </w:r>
    </w:p>
    <w:p>
      <w:pPr>
        <w:spacing w:before="40" w:after="80"/>
      </w:pPr>
      <w:r>
        <w:rPr>
          <w:rFonts w:ascii="Arial" w:hAnsi="Arial"/>
          <w:color w:val="334155"/>
          <w:sz w:val="19"/>
        </w:rPr>
        <w:t xml:space="preserve">3. </w:t>
      </w:r>
      <w:r>
        <w:rPr>
          <w:rFonts w:ascii="Arial" w:hAnsi="Arial"/>
          <w:b/>
          <w:color w:val="0F172A"/>
          <w:sz w:val="19"/>
        </w:rPr>
        <w:t>Sedentary Time Minutes:</w:t>
      </w:r>
      <w:r>
        <w:rPr>
          <w:rFonts w:ascii="Arial" w:hAnsi="Arial"/>
          <w:color w:val="334155"/>
          <w:sz w:val="19"/>
        </w:rPr>
        <w:t xml:space="preserve"> Total daily duration of physical inactivity, an independent cardiovascular risk factor.</w:t>
      </w:r>
    </w:p>
    <w:p>
      <w:pPr>
        <w:spacing w:before="40" w:after="80"/>
      </w:pPr>
      <w:r>
        <w:rPr>
          <w:rFonts w:ascii="Arial" w:hAnsi="Arial"/>
          <w:color w:val="334155"/>
          <w:sz w:val="19"/>
        </w:rPr>
        <w:t xml:space="preserve">4. </w:t>
      </w:r>
      <w:r>
        <w:rPr>
          <w:rFonts w:ascii="Arial" w:hAnsi="Arial"/>
          <w:b/>
          <w:color w:val="0F172A"/>
          <w:sz w:val="19"/>
        </w:rPr>
        <w:t>Resting Heart Rate (bpm):</w:t>
      </w:r>
      <w:r>
        <w:rPr>
          <w:rFonts w:ascii="Arial" w:hAnsi="Arial"/>
          <w:color w:val="334155"/>
          <w:sz w:val="19"/>
        </w:rPr>
        <w:t xml:space="preserve"> Basal cardiovascular workload measured during sleep or deep rest. Normal: 60–80 bpm.</w:t>
      </w:r>
    </w:p>
    <w:p>
      <w:pPr>
        <w:spacing w:before="40" w:after="80"/>
      </w:pPr>
      <w:r>
        <w:rPr>
          <w:rFonts w:ascii="Arial" w:hAnsi="Arial"/>
          <w:color w:val="334155"/>
          <w:sz w:val="19"/>
        </w:rPr>
        <w:t xml:space="preserve">5. </w:t>
      </w:r>
      <w:r>
        <w:rPr>
          <w:rFonts w:ascii="Arial" w:hAnsi="Arial"/>
          <w:b/>
          <w:color w:val="0F172A"/>
          <w:sz w:val="19"/>
        </w:rPr>
        <w:t>Heart Rate Variability (HRV RMSSD, ms):</w:t>
      </w:r>
      <w:r>
        <w:rPr>
          <w:rFonts w:ascii="Arial" w:hAnsi="Arial"/>
          <w:color w:val="334155"/>
          <w:sz w:val="19"/>
        </w:rPr>
        <w:t xml:space="preserve"> Root Mean Square of Successive Differences between normal heartbeats, quantifying parasympathetic vagal tone and autonomic nervous system resilience. Higher is protective (&gt;40 ms).</w:t>
      </w:r>
    </w:p>
    <w:p>
      <w:pPr>
        <w:spacing w:before="40" w:after="80"/>
      </w:pPr>
      <w:r>
        <w:rPr>
          <w:rFonts w:ascii="Arial" w:hAnsi="Arial"/>
          <w:color w:val="334155"/>
          <w:sz w:val="19"/>
        </w:rPr>
        <w:t xml:space="preserve">6. </w:t>
      </w:r>
      <w:r>
        <w:rPr>
          <w:rFonts w:ascii="Arial" w:hAnsi="Arial"/>
          <w:b/>
          <w:color w:val="0F172A"/>
          <w:sz w:val="19"/>
        </w:rPr>
        <w:t>Sleep Duration (Hours):</w:t>
      </w:r>
      <w:r>
        <w:rPr>
          <w:rFonts w:ascii="Arial" w:hAnsi="Arial"/>
          <w:color w:val="334155"/>
          <w:sz w:val="19"/>
        </w:rPr>
        <w:t xml:space="preserve"> Total nocturnal sleep quantity. Target: 7.0–8.5 hours.</w:t>
      </w:r>
    </w:p>
    <w:p>
      <w:pPr>
        <w:spacing w:before="40" w:after="80"/>
      </w:pPr>
      <w:r>
        <w:rPr>
          <w:rFonts w:ascii="Arial" w:hAnsi="Arial"/>
          <w:color w:val="334155"/>
          <w:sz w:val="19"/>
        </w:rPr>
        <w:t xml:space="preserve">7. </w:t>
      </w:r>
      <w:r>
        <w:rPr>
          <w:rFonts w:ascii="Arial" w:hAnsi="Arial"/>
          <w:b/>
          <w:color w:val="0F172A"/>
          <w:sz w:val="19"/>
        </w:rPr>
        <w:t>Sleep Efficiency Score (%):</w:t>
      </w:r>
      <w:r>
        <w:rPr>
          <w:rFonts w:ascii="Arial" w:hAnsi="Arial"/>
          <w:color w:val="334155"/>
          <w:sz w:val="19"/>
        </w:rPr>
        <w:t xml:space="preserve"> Ratio of total sleep time to time spent in bed, indicating restorative sleep quality. Target:  ≥  85\%.</w:t>
      </w:r>
    </w:p>
    <w:p>
      <w:pPr>
        <w:spacing w:before="40" w:after="80"/>
      </w:pPr>
      <w:r>
        <w:rPr>
          <w:rFonts w:ascii="Arial" w:hAnsi="Arial"/>
          <w:color w:val="334155"/>
          <w:sz w:val="19"/>
        </w:rPr>
        <w:t xml:space="preserve">8. </w:t>
      </w:r>
      <w:r>
        <w:rPr>
          <w:rFonts w:ascii="Arial" w:hAnsi="Arial"/>
          <w:b/>
          <w:color w:val="0F172A"/>
          <w:sz w:val="19"/>
        </w:rPr>
        <w:t>Autonomic Stress Score (0–100):</w:t>
      </w:r>
      <w:r>
        <w:rPr>
          <w:rFonts w:ascii="Arial" w:hAnsi="Arial"/>
          <w:color w:val="334155"/>
          <w:sz w:val="19"/>
        </w:rPr>
        <w:t xml:space="preserve"> Integrated physiological composite metric derived from sympathetic arousal and nocturnal HRV suppression.</w:t>
      </w:r>
    </w:p>
    <w:p>
      <w:pPr>
        <w:spacing w:before="40" w:after="80"/>
      </w:pPr>
      <w:r>
        <w:rPr>
          <w:rFonts w:ascii="Arial" w:hAnsi="Arial"/>
          <w:color w:val="334155"/>
          <w:sz w:val="19"/>
        </w:rPr>
        <w:t xml:space="preserve">9. </w:t>
      </w:r>
      <w:r>
        <w:rPr>
          <w:rFonts w:ascii="Arial" w:hAnsi="Arial"/>
          <w:b/>
          <w:color w:val="0F172A"/>
          <w:sz w:val="19"/>
        </w:rPr>
        <w:t>Activity Energy Expenditure (kcal):</w:t>
      </w:r>
      <w:r>
        <w:rPr>
          <w:rFonts w:ascii="Arial" w:hAnsi="Arial"/>
          <w:color w:val="334155"/>
          <w:sz w:val="19"/>
        </w:rPr>
        <w:t xml:space="preserve"> Estimated active caloric burn from physical movement.</w:t>
      </w:r>
    </w:p>
    <w:p>
      <w:pPr>
        <w:spacing w:before="40" w:after="80"/>
      </w:pPr>
      <w:r>
        <w:rPr>
          <w:rFonts w:ascii="Arial" w:hAnsi="Arial"/>
          <w:color w:val="334155"/>
          <w:sz w:val="19"/>
        </w:rPr>
        <w:t xml:space="preserve">10. </w:t>
      </w:r>
      <w:r>
        <w:rPr>
          <w:rFonts w:ascii="Arial" w:hAnsi="Arial"/>
          <w:b/>
          <w:color w:val="0F172A"/>
          <w:sz w:val="19"/>
        </w:rPr>
        <w:t>Exercise Frequency (Days/Week):</w:t>
      </w:r>
      <w:r>
        <w:rPr>
          <w:rFonts w:ascii="Arial" w:hAnsi="Arial"/>
          <w:color w:val="334155"/>
          <w:sz w:val="19"/>
        </w:rPr>
        <w:t xml:space="preserve"> Number of days per week with structured physical exercise sessions.</w:t>
      </w:r>
    </w:p>
    <w:p>
      <w:pPr>
        <w:spacing w:before="40" w:after="80"/>
      </w:pPr>
      <w:r>
        <w:rPr>
          <w:rFonts w:ascii="Arial" w:hAnsi="Arial"/>
          <w:color w:val="334155"/>
          <w:sz w:val="19"/>
        </w:rPr>
        <w:t xml:space="preserve">11. </w:t>
      </w:r>
      <w:r>
        <w:rPr>
          <w:rFonts w:ascii="Arial" w:hAnsi="Arial"/>
          <w:b/>
          <w:color w:val="0F172A"/>
          <w:sz w:val="19"/>
        </w:rPr>
        <w:t>CGM Average Glucose (mg/dL):</w:t>
      </w:r>
      <w:r>
        <w:rPr>
          <w:rFonts w:ascii="Arial" w:hAnsi="Arial"/>
          <w:color w:val="334155"/>
          <w:sz w:val="19"/>
        </w:rPr>
        <w:t xml:space="preserve"> Mean continuous interstitial glucose level across a 14-day sensor wear period. Normal: 90–115 mg/dL.</w:t>
      </w:r>
    </w:p>
    <w:p>
      <w:pPr>
        <w:spacing w:before="40" w:after="80"/>
      </w:pPr>
      <w:r>
        <w:rPr>
          <w:rFonts w:ascii="Arial" w:hAnsi="Arial"/>
          <w:color w:val="334155"/>
          <w:sz w:val="19"/>
        </w:rPr>
        <w:t xml:space="preserve">12. </w:t>
      </w:r>
      <w:r>
        <w:rPr>
          <w:rFonts w:ascii="Arial" w:hAnsi="Arial"/>
          <w:b/>
          <w:color w:val="0F172A"/>
          <w:sz w:val="19"/>
        </w:rPr>
        <w:t>CGM Glucose Coefficient of Variation (Glucose CV, %):</w:t>
      </w:r>
      <w:r>
        <w:rPr>
          <w:rFonts w:ascii="Arial" w:hAnsi="Arial"/>
          <w:color w:val="334155"/>
          <w:sz w:val="19"/>
        </w:rPr>
        <w:t xml:space="preserve"> Primary clinical metric of glycemic variability (</w:t>
        <w:tab/>
        <w:t xml:space="preserve">extStandard Deviation / </w:t>
        <w:tab/>
        <w:t xml:space="preserve">extMean </w:t>
        <w:tab/>
        <w:t>imes 100). Target:  ≤  36\%; values &gt;36\% indicate unstable glycemic swings.</w:t>
      </w:r>
    </w:p>
    <w:p>
      <w:pPr>
        <w:spacing w:before="40" w:after="80"/>
      </w:pPr>
      <w:r>
        <w:rPr>
          <w:rFonts w:ascii="Arial" w:hAnsi="Arial"/>
          <w:color w:val="334155"/>
          <w:sz w:val="19"/>
        </w:rPr>
        <w:t xml:space="preserve">13. </w:t>
      </w:r>
      <w:r>
        <w:rPr>
          <w:rFonts w:ascii="Arial" w:hAnsi="Arial"/>
          <w:b/>
          <w:color w:val="0F172A"/>
          <w:sz w:val="19"/>
        </w:rPr>
        <w:t>CGM Time In Range (TIR, %):</w:t>
      </w:r>
      <w:r>
        <w:rPr>
          <w:rFonts w:ascii="Arial" w:hAnsi="Arial"/>
          <w:color w:val="334155"/>
          <w:sz w:val="19"/>
        </w:rPr>
        <w:t xml:space="preserve"> Percentage of time interstitial glucose remains within the optimal physiological window (70–180 mg/dL). Clinical Target:  ≥  70\%.</w:t>
      </w:r>
    </w:p>
    <w:p>
      <w:pPr>
        <w:spacing w:before="40" w:after="80"/>
      </w:pPr>
      <w:r>
        <w:rPr>
          <w:rFonts w:ascii="Arial" w:hAnsi="Arial"/>
          <w:color w:val="334155"/>
          <w:sz w:val="19"/>
        </w:rPr>
        <w:t xml:space="preserve">14. </w:t>
      </w:r>
      <w:r>
        <w:rPr>
          <w:rFonts w:ascii="Arial" w:hAnsi="Arial"/>
          <w:b/>
          <w:color w:val="0F172A"/>
          <w:sz w:val="19"/>
        </w:rPr>
        <w:t>CGM Time Above Range (TAR, %):</w:t>
      </w:r>
      <w:r>
        <w:rPr>
          <w:rFonts w:ascii="Arial" w:hAnsi="Arial"/>
          <w:color w:val="334155"/>
          <w:sz w:val="19"/>
        </w:rPr>
        <w:t xml:space="preserve"> Percentage of time glucose exceeds 180 mg/dL (hyperglycemia). Clinical Target: &lt;25\%.</w:t>
      </w:r>
    </w:p>
    <w:p>
      <w:pPr>
        <w:spacing w:before="40" w:after="80"/>
      </w:pPr>
      <w:r>
        <w:rPr>
          <w:rFonts w:ascii="Arial" w:hAnsi="Arial"/>
          <w:color w:val="334155"/>
          <w:sz w:val="19"/>
        </w:rPr>
        <w:t xml:space="preserve">15. </w:t>
      </w:r>
      <w:r>
        <w:rPr>
          <w:rFonts w:ascii="Arial" w:hAnsi="Arial"/>
          <w:b/>
          <w:color w:val="0F172A"/>
          <w:sz w:val="19"/>
        </w:rPr>
        <w:t>CGM Time Below Range (TBR, %):</w:t>
      </w:r>
      <w:r>
        <w:rPr>
          <w:rFonts w:ascii="Arial" w:hAnsi="Arial"/>
          <w:color w:val="334155"/>
          <w:sz w:val="19"/>
        </w:rPr>
        <w:t xml:space="preserve"> Percentage of time glucose drops below 70 mg/dL (hypoglycemia). Clinical Target: &lt;4\%.</w:t>
      </w:r>
    </w:p>
    <w:p>
      <w:pPr>
        <w:spacing w:before="40" w:after="80"/>
      </w:pPr>
      <w:r>
        <w:rPr>
          <w:rFonts w:ascii="Arial" w:hAnsi="Arial"/>
          <w:color w:val="334155"/>
          <w:sz w:val="19"/>
        </w:rPr>
        <w:t>---</w:t>
      </w:r>
    </w:p>
    <w:p>
      <w:pPr>
        <w:pStyle w:val="Heading3"/>
        <w:spacing w:before="160" w:after="40"/>
      </w:pPr>
      <w:r>
        <w:rPr>
          <w:rFonts w:ascii="Arial" w:hAnsi="Arial"/>
          <w:b/>
          <w:color w:val="0F172A"/>
          <w:sz w:val="21"/>
        </w:rPr>
        <w:t>16.3 Modality 3: 16S Gut Microbiome Metagenomics (G — 49 Predictive Features)</w:t>
      </w:r>
    </w:p>
    <w:p>
      <w:pPr>
        <w:spacing w:before="40" w:after="80"/>
      </w:pPr>
      <w:r>
        <w:rPr>
          <w:rFonts w:ascii="Arial" w:hAnsi="Arial"/>
          <w:color w:val="334155"/>
          <w:sz w:val="19"/>
        </w:rPr>
        <w:t>This modality profiles the relative abundances of key bacterial taxa and functional metabolic health indices:</w:t>
      </w:r>
    </w:p>
    <w:p>
      <w:pPr>
        <w:pStyle w:val="ListBullet"/>
        <w:spacing w:before="20" w:after="20"/>
      </w:pPr>
      <w:r>
        <w:rPr>
          <w:rFonts w:ascii="Arial" w:hAnsi="Arial"/>
          <w:color w:val="334155"/>
          <w:sz w:val="19"/>
        </w:rPr>
      </w:r>
      <w:r>
        <w:rPr>
          <w:rFonts w:ascii="Arial" w:hAnsi="Arial"/>
          <w:b/>
          <w:color w:val="0F172A"/>
          <w:sz w:val="19"/>
        </w:rPr>
        <w:t>Forty (40) Bacterial Species &amp; Genera Relative Abundances (%):</w:t>
      </w:r>
      <w:r>
        <w:rPr>
          <w:rFonts w:ascii="Arial" w:hAnsi="Arial"/>
          <w:color w:val="334155"/>
          <w:sz w:val="19"/>
        </w:rPr>
      </w:r>
    </w:p>
    <w:p>
      <w:pPr>
        <w:spacing w:before="40" w:after="80"/>
      </w:pPr>
      <w:r>
        <w:rPr>
          <w:rFonts w:ascii="Arial" w:hAnsi="Arial"/>
          <w:color w:val="334155"/>
          <w:sz w:val="19"/>
        </w:rPr>
        <w:t>* *Beneficial / SCFA-Producing Taxa:* *Akkermansia muciniphila*, *Faecalibacterium prausnitzii*, *Roseburia intestinalis*, *Bifidobacterium longum*, *Bifidobacterium adolescentis*, *Bacteroides thetaiotaomicron*, *Coprococcus eutactus*, *Subdoligranulum variable*, *Eubacterium rectale*, *Eubacterium hallii*, *Lactobacillus acidophilus*, *Lactobacillus rhamnosus*, *Christensenella minuta*, *Anaerostipes caccae*.</w:t>
      </w:r>
    </w:p>
    <w:p>
      <w:pPr>
        <w:spacing w:before="40" w:after="80"/>
      </w:pPr>
      <w:r>
        <w:rPr>
          <w:rFonts w:ascii="Arial" w:hAnsi="Arial"/>
          <w:color w:val="334155"/>
          <w:sz w:val="19"/>
        </w:rPr>
        <w:t>* *Commensal / Context-Dependent Taxa:* *Bacteroides vulgatus*, *Bacteroides fragilis*, *Bacteroides uniformis*, *Prevotella copri*, *Ruminococcus bromii*, *Blautia wexlerae*, *Blautia hansenii*, *Alistipes putredinis*, *Alistipes finegoldii*, *Parabacteroides distasonis*, *Streptococcus thermophilus*, *Methanobrevibacter smithii*, *Dialister invisus*, *Holdemanella biformis*, *Barnesiella intestinihominis*, *Phascolarctobacterium faecium*.</w:t>
      </w:r>
    </w:p>
    <w:p>
      <w:pPr>
        <w:spacing w:before="40" w:after="80"/>
      </w:pPr>
      <w:r>
        <w:rPr>
          <w:rFonts w:ascii="Arial" w:hAnsi="Arial"/>
          <w:color w:val="334155"/>
          <w:sz w:val="19"/>
        </w:rPr>
        <w:t>* *Inflammatory / Dysbiosis-Associated Taxa:* *Escherichia coli*, *Klebsiella pneumoniae*, *Collinsella aerofaciens*, *Enterococcus faecalis*, *Eggerthella lenta*, *Ruminococcus gnavus*, *Veillonella parvula*, *Fusobacterium nucleatum*, *Bilophila wadsworthia*, *Sutterella wadsworthensis*.</w:t>
      </w:r>
    </w:p>
    <w:p>
      <w:pPr>
        <w:pStyle w:val="ListBullet"/>
        <w:spacing w:before="20" w:after="20"/>
      </w:pPr>
      <w:r>
        <w:rPr>
          <w:rFonts w:ascii="Arial" w:hAnsi="Arial"/>
          <w:color w:val="334155"/>
          <w:sz w:val="19"/>
        </w:rPr>
      </w:r>
      <w:r>
        <w:rPr>
          <w:rFonts w:ascii="Arial" w:hAnsi="Arial"/>
          <w:b/>
          <w:color w:val="0F172A"/>
          <w:sz w:val="19"/>
        </w:rPr>
        <w:t>Nine (9) Derived Ecological &amp; Functional Health Indices:</w:t>
      </w:r>
      <w:r>
        <w:rPr>
          <w:rFonts w:ascii="Arial" w:hAnsi="Arial"/>
          <w:color w:val="334155"/>
          <w:sz w:val="19"/>
        </w:rPr>
      </w:r>
    </w:p>
    <w:p>
      <w:pPr>
        <w:spacing w:before="40" w:after="80"/>
      </w:pPr>
      <w:r>
        <w:rPr>
          <w:rFonts w:ascii="Arial" w:hAnsi="Arial"/>
          <w:color w:val="334155"/>
          <w:sz w:val="19"/>
        </w:rPr>
        <w:t xml:space="preserve">41. </w:t>
      </w:r>
      <w:r>
        <w:rPr>
          <w:rFonts w:ascii="Arial" w:hAnsi="Arial"/>
          <w:b/>
          <w:color w:val="0F172A"/>
          <w:sz w:val="19"/>
        </w:rPr>
        <w:t>Shannon Diversity Index:</w:t>
      </w:r>
      <w:r>
        <w:rPr>
          <w:rFonts w:ascii="Arial" w:hAnsi="Arial"/>
          <w:color w:val="334155"/>
          <w:sz w:val="19"/>
        </w:rPr>
        <w:t xml:space="preserve"> Information-theoretic measure of microbial species richness and evenness. Higher values indicate a resilient, diverse microbiome.</w:t>
      </w:r>
    </w:p>
    <w:p>
      <w:pPr>
        <w:spacing w:before="40" w:after="80"/>
      </w:pPr>
      <w:r>
        <w:rPr>
          <w:rFonts w:ascii="Arial" w:hAnsi="Arial"/>
          <w:color w:val="334155"/>
          <w:sz w:val="19"/>
        </w:rPr>
        <w:t xml:space="preserve">42. </w:t>
      </w:r>
      <w:r>
        <w:rPr>
          <w:rFonts w:ascii="Arial" w:hAnsi="Arial"/>
          <w:b/>
          <w:color w:val="0F172A"/>
          <w:sz w:val="19"/>
        </w:rPr>
        <w:t>Simpson Diversity Index:</w:t>
      </w:r>
      <w:r>
        <w:rPr>
          <w:rFonts w:ascii="Arial" w:hAnsi="Arial"/>
          <w:color w:val="334155"/>
          <w:sz w:val="19"/>
        </w:rPr>
        <w:t xml:space="preserve"> Measures the probability that two randomly selected bacterial cells belong to different species.</w:t>
      </w:r>
    </w:p>
    <w:p>
      <w:pPr>
        <w:spacing w:before="40" w:after="80"/>
      </w:pPr>
      <w:r>
        <w:rPr>
          <w:rFonts w:ascii="Arial" w:hAnsi="Arial"/>
          <w:color w:val="334155"/>
          <w:sz w:val="19"/>
        </w:rPr>
        <w:t xml:space="preserve">43. </w:t>
      </w:r>
      <w:r>
        <w:rPr>
          <w:rFonts w:ascii="Arial" w:hAnsi="Arial"/>
          <w:b/>
          <w:color w:val="0F172A"/>
          <w:sz w:val="19"/>
        </w:rPr>
        <w:t>Observed Species Richness:</w:t>
      </w:r>
      <w:r>
        <w:rPr>
          <w:rFonts w:ascii="Arial" w:hAnsi="Arial"/>
          <w:color w:val="334155"/>
          <w:sz w:val="19"/>
        </w:rPr>
        <w:t xml:space="preserve"> Count of unique bacterial operational taxonomic units (OTUs) detected in the sample.</w:t>
      </w:r>
    </w:p>
    <w:p>
      <w:pPr>
        <w:spacing w:before="40" w:after="80"/>
      </w:pPr>
      <w:r>
        <w:rPr>
          <w:rFonts w:ascii="Arial" w:hAnsi="Arial"/>
          <w:color w:val="334155"/>
          <w:sz w:val="19"/>
        </w:rPr>
        <w:t xml:space="preserve">44. </w:t>
      </w:r>
      <w:r>
        <w:rPr>
          <w:rFonts w:ascii="Arial" w:hAnsi="Arial"/>
          <w:b/>
          <w:color w:val="0F172A"/>
          <w:sz w:val="19"/>
        </w:rPr>
        <w:t>Pielou Evenness:</w:t>
      </w:r>
      <w:r>
        <w:rPr>
          <w:rFonts w:ascii="Arial" w:hAnsi="Arial"/>
          <w:color w:val="334155"/>
          <w:sz w:val="19"/>
        </w:rPr>
        <w:t xml:space="preserve"> Metric quantifying how equally relative abundances are distributed among species.</w:t>
      </w:r>
    </w:p>
    <w:p>
      <w:pPr>
        <w:spacing w:before="40" w:after="80"/>
      </w:pPr>
      <w:r>
        <w:rPr>
          <w:rFonts w:ascii="Arial" w:hAnsi="Arial"/>
          <w:color w:val="334155"/>
          <w:sz w:val="19"/>
        </w:rPr>
        <w:t xml:space="preserve">45. </w:t>
      </w:r>
      <w:r>
        <w:rPr>
          <w:rFonts w:ascii="Arial" w:hAnsi="Arial"/>
          <w:b/>
          <w:color w:val="0F172A"/>
          <w:sz w:val="19"/>
        </w:rPr>
        <w:t>Short-Chain Fatty Acid (SCFA) Producer Index:</w:t>
      </w:r>
      <w:r>
        <w:rPr>
          <w:rFonts w:ascii="Arial" w:hAnsi="Arial"/>
          <w:color w:val="334155"/>
          <w:sz w:val="19"/>
        </w:rPr>
        <w:t xml:space="preserve"> Composite abundance score of all acetate, propionate, and butyrate producing bacterial taxa.</w:t>
      </w:r>
    </w:p>
    <w:p>
      <w:pPr>
        <w:spacing w:before="40" w:after="80"/>
      </w:pPr>
      <w:r>
        <w:rPr>
          <w:rFonts w:ascii="Arial" w:hAnsi="Arial"/>
          <w:color w:val="334155"/>
          <w:sz w:val="19"/>
        </w:rPr>
        <w:t xml:space="preserve">46. </w:t>
      </w:r>
      <w:r>
        <w:rPr>
          <w:rFonts w:ascii="Arial" w:hAnsi="Arial"/>
          <w:b/>
          <w:color w:val="0F172A"/>
          <w:sz w:val="19"/>
        </w:rPr>
        <w:t>Butyrate Producer Index:</w:t>
      </w:r>
      <w:r>
        <w:rPr>
          <w:rFonts w:ascii="Arial" w:hAnsi="Arial"/>
          <w:color w:val="334155"/>
          <w:sz w:val="19"/>
        </w:rPr>
        <w:t xml:space="preserve"> Dedicated abundance index of primary butyrate synthesizers (*Faecalibacterium*, *Roseburia*, *Eubacterium*) essential for colonocyte fuel and anti-inflammatory signaling.</w:t>
      </w:r>
    </w:p>
    <w:p>
      <w:pPr>
        <w:spacing w:before="40" w:after="80"/>
      </w:pPr>
      <w:r>
        <w:rPr>
          <w:rFonts w:ascii="Arial" w:hAnsi="Arial"/>
          <w:color w:val="334155"/>
          <w:sz w:val="19"/>
        </w:rPr>
        <w:t xml:space="preserve">47. </w:t>
      </w:r>
      <w:r>
        <w:rPr>
          <w:rFonts w:ascii="Arial" w:hAnsi="Arial"/>
          <w:b/>
          <w:color w:val="0F172A"/>
          <w:sz w:val="19"/>
        </w:rPr>
        <w:t>Mucosal Barrier-Associated Index:</w:t>
      </w:r>
      <w:r>
        <w:rPr>
          <w:rFonts w:ascii="Arial" w:hAnsi="Arial"/>
          <w:color w:val="334155"/>
          <w:sz w:val="19"/>
        </w:rPr>
        <w:t xml:space="preserve"> Abundance score of mucus-degrading and mucin-promoting taxa (*Akkermansia muciniphila*, *Bifidobacterium*) protecting the gut epithelial lining.</w:t>
      </w:r>
    </w:p>
    <w:p>
      <w:pPr>
        <w:spacing w:before="40" w:after="80"/>
      </w:pPr>
      <w:r>
        <w:rPr>
          <w:rFonts w:ascii="Arial" w:hAnsi="Arial"/>
          <w:color w:val="334155"/>
          <w:sz w:val="19"/>
        </w:rPr>
        <w:t xml:space="preserve">48. </w:t>
      </w:r>
      <w:r>
        <w:rPr>
          <w:rFonts w:ascii="Arial" w:hAnsi="Arial"/>
          <w:b/>
          <w:color w:val="0F172A"/>
          <w:sz w:val="19"/>
        </w:rPr>
        <w:t>Inflammation-Associated Index:</w:t>
      </w:r>
      <w:r>
        <w:rPr>
          <w:rFonts w:ascii="Arial" w:hAnsi="Arial"/>
          <w:color w:val="334155"/>
          <w:sz w:val="19"/>
        </w:rPr>
        <w:t xml:space="preserve"> Composite score of endotoxin-producing Proteobacteria and pathobionts that promote systemic metabolic endotoxemia.</w:t>
      </w:r>
    </w:p>
    <w:p>
      <w:pPr>
        <w:spacing w:before="40" w:after="80"/>
      </w:pPr>
      <w:r>
        <w:rPr>
          <w:rFonts w:ascii="Arial" w:hAnsi="Arial"/>
          <w:color w:val="334155"/>
          <w:sz w:val="19"/>
        </w:rPr>
        <w:t xml:space="preserve">49. </w:t>
      </w:r>
      <w:r>
        <w:rPr>
          <w:rFonts w:ascii="Arial" w:hAnsi="Arial"/>
          <w:b/>
          <w:color w:val="0F172A"/>
          <w:sz w:val="19"/>
        </w:rPr>
        <w:t>Log Firmicutes-to-Bacteroidetes Ratio:</w:t>
      </w:r>
      <w:r>
        <w:rPr>
          <w:rFonts w:ascii="Arial" w:hAnsi="Arial"/>
          <w:color w:val="334155"/>
          <w:sz w:val="19"/>
        </w:rPr>
        <w:t xml:space="preserve"> Classical ecological marker of gut microbiome equilibrium and metabolic energy-harvesting capacity.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17: INTAKE ENGINE ARCHITECTURE &amp; PARSING WORKFLOWS</w:t>
      </w:r>
    </w:p>
    <w:p>
      <w:pPr>
        <w:spacing w:before="0" w:after="0"/>
        <w:ind w:left="432"/>
      </w:pPr>
      <w:r>
        <w:rPr>
          <w:rFonts w:ascii="Consolas" w:hAnsi="Consolas"/>
          <w:color w:val="1E293B"/>
          <w:sz w:val="17"/>
        </w:rPr>
        <w:t>[Patient Ingestion: PDF Report / Scanned JPEG / JSON Payload]</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[Intake Orchestrator Router: POST /api/v1/intake/upload]</w:t>
      </w:r>
    </w:p>
    <w:p>
      <w:pPr>
        <w:spacing w:before="0" w:after="0"/>
        <w:ind w:left="432"/>
      </w:pPr>
      <w:r>
        <w:rPr>
          <w:rFonts w:ascii="Consolas" w:hAnsi="Consolas"/>
          <w:color w:val="1E293B"/>
          <w:sz w:val="17"/>
        </w:rPr>
        <w:t xml:space="preserve">  ├── Security Pre-Flight: File size check (&lt;25MB), MIME whitelist validation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Extraction Pipelines:</w:t>
      </w:r>
    </w:p>
    <w:p>
      <w:pPr>
        <w:spacing w:before="0" w:after="0"/>
        <w:ind w:left="432"/>
      </w:pPr>
      <w:r>
        <w:rPr>
          <w:rFonts w:ascii="Consolas" w:hAnsi="Consolas"/>
          <w:color w:val="1E293B"/>
          <w:sz w:val="17"/>
        </w:rPr>
        <w:t xml:space="preserve">  │     ├── Native Digital PDF Parser (pypdf text scraping + table extraction)</w:t>
      </w:r>
    </w:p>
    <w:p>
      <w:pPr>
        <w:spacing w:before="0" w:after="0"/>
        <w:ind w:left="432"/>
      </w:pPr>
      <w:r>
        <w:rPr>
          <w:rFonts w:ascii="Consolas" w:hAnsi="Consolas"/>
          <w:color w:val="1E293B"/>
          <w:sz w:val="17"/>
        </w:rPr>
        <w:t xml:space="preserve">  │     ├── Optical Character Recognition (Tesseract OCR for scanned lab paper)</w:t>
      </w:r>
    </w:p>
    <w:p>
      <w:pPr>
        <w:spacing w:before="0" w:after="0"/>
        <w:ind w:left="432"/>
      </w:pPr>
      <w:r>
        <w:rPr>
          <w:rFonts w:ascii="Consolas" w:hAnsi="Consolas"/>
          <w:color w:val="1E293B"/>
          <w:sz w:val="17"/>
        </w:rPr>
        <w:t xml:space="preserve">  │     └── Direct JSON Ingestion (For API / Smartwatch sync payloads)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Biomarker Alias Matcher (Regex &amp; Pattern Recognition):</w:t>
      </w:r>
    </w:p>
    <w:p>
      <w:pPr>
        <w:spacing w:before="0" w:after="0"/>
        <w:ind w:left="432"/>
      </w:pPr>
      <w:r>
        <w:rPr>
          <w:rFonts w:ascii="Consolas" w:hAnsi="Consolas"/>
          <w:color w:val="1E293B"/>
          <w:sz w:val="17"/>
        </w:rPr>
        <w:t xml:space="preserve">  │     ├── "HbA1c" / "Hemoglobin A1c" / "A1C" -&gt; HbA1c</w:t>
      </w:r>
    </w:p>
    <w:p>
      <w:pPr>
        <w:spacing w:before="0" w:after="0"/>
        <w:ind w:left="432"/>
      </w:pPr>
      <w:r>
        <w:rPr>
          <w:rFonts w:ascii="Consolas" w:hAnsi="Consolas"/>
          <w:color w:val="1E293B"/>
          <w:sz w:val="17"/>
        </w:rPr>
        <w:t xml:space="preserve">  │     ├── "Fasting Sugar" / "FBG" / "Glucose Fasting" -&gt; Fasting_Blood_Glucose</w:t>
      </w:r>
    </w:p>
    <w:p>
      <w:pPr>
        <w:spacing w:before="0" w:after="0"/>
        <w:ind w:left="432"/>
      </w:pPr>
      <w:r>
        <w:rPr>
          <w:rFonts w:ascii="Consolas" w:hAnsi="Consolas"/>
          <w:color w:val="1E293B"/>
          <w:sz w:val="17"/>
        </w:rPr>
        <w:t xml:space="preserve">  │     └── "SGPT" / "Alanine Transaminase" -&gt; ALT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Automated Normalization &amp; Validation (services.multimodal_intake.v3_schema_validator):</w:t>
      </w:r>
    </w:p>
    <w:p>
      <w:pPr>
        <w:spacing w:before="0" w:after="0"/>
        <w:ind w:left="432"/>
      </w:pPr>
      <w:r>
        <w:rPr>
          <w:rFonts w:ascii="Consolas" w:hAnsi="Consolas"/>
          <w:color w:val="1E293B"/>
          <w:sz w:val="17"/>
        </w:rPr>
        <w:t xml:space="preserve">  │     ├── Unit Conversion (mmol/L -&gt; mg/dL; micromol/L -&gt; mg/dL)</w:t>
      </w:r>
    </w:p>
    <w:p>
      <w:pPr>
        <w:spacing w:before="0" w:after="0"/>
        <w:ind w:left="432"/>
      </w:pPr>
      <w:r>
        <w:rPr>
          <w:rFonts w:ascii="Consolas" w:hAnsi="Consolas"/>
          <w:color w:val="1E293B"/>
          <w:sz w:val="17"/>
        </w:rPr>
        <w:t xml:space="preserve">  │     ├── Physiological Bounds Validation (Clamping impossible artifacts)</w:t>
      </w:r>
    </w:p>
    <w:p>
      <w:pPr>
        <w:spacing w:before="0" w:after="0"/>
        <w:ind w:left="432"/>
      </w:pPr>
      <w:r>
        <w:rPr>
          <w:rFonts w:ascii="Consolas" w:hAnsi="Consolas"/>
          <w:color w:val="1E293B"/>
          <w:sz w:val="17"/>
        </w:rPr>
        <w:t xml:space="preserve">  │     └── Missing Modality Detection (Tagging unprovided fields strictly as null)</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Session State Promotion: CREATED -&gt; EXTRACTED -&gt; CONFIRMED</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18: BIOMARKER NORMALIZATION &amp; STANDARD CLINICAL UNITS</w:t>
      </w:r>
    </w:p>
    <w:p>
      <w:pPr>
        <w:spacing w:before="40" w:after="80"/>
      </w:pPr>
      <w:r>
        <w:rPr>
          <w:rFonts w:ascii="Arial" w:hAnsi="Arial"/>
          <w:color w:val="334155"/>
          <w:sz w:val="19"/>
        </w:rPr>
        <w:t>International clinical laboratories report biomarkers in varying units of measurement. The normalization pipeline enforces standard reference conversions:</w:t>
      </w:r>
    </w:p>
    <w:p>
      <w:pPr>
        <w:pStyle w:val="ListBullet"/>
        <w:spacing w:before="20" w:after="20"/>
      </w:pPr>
      <w:r>
        <w:rPr>
          <w:rFonts w:ascii="Arial" w:hAnsi="Arial"/>
          <w:color w:val="334155"/>
          <w:sz w:val="19"/>
        </w:rPr>
      </w:r>
      <w:r>
        <w:rPr>
          <w:rFonts w:ascii="Arial" w:hAnsi="Arial"/>
          <w:b/>
          <w:color w:val="0F172A"/>
          <w:sz w:val="19"/>
        </w:rPr>
        <w:t>Serum Glucose:</w:t>
      </w:r>
      <w:r>
        <w:rPr>
          <w:rFonts w:ascii="Arial" w:hAnsi="Arial"/>
          <w:color w:val="334155"/>
          <w:sz w:val="19"/>
        </w:rPr>
        <w:t xml:space="preserve"> </w:t>
        <w:tab/>
        <w:t xml:space="preserve">extmmol/L </w:t>
        <w:tab/>
        <w:t xml:space="preserve">imes 18.0182 </w:t>
        <w:tab/>
        <w:t xml:space="preserve">o </w:t>
        <w:tab/>
        <w:t>extmg/dL (e.g. 5.5</w:t>
        <w:tab/>
        <w:t xml:space="preserve">ext mmol/L </w:t>
        <w:tab/>
        <w:t>o 99.1</w:t>
        <w:tab/>
        <w:t>ext mg/dL).</w:t>
      </w:r>
    </w:p>
    <w:p>
      <w:pPr>
        <w:pStyle w:val="ListBullet"/>
        <w:spacing w:before="20" w:after="20"/>
      </w:pPr>
      <w:r>
        <w:rPr>
          <w:rFonts w:ascii="Arial" w:hAnsi="Arial"/>
          <w:color w:val="334155"/>
          <w:sz w:val="19"/>
        </w:rPr>
      </w:r>
      <w:r>
        <w:rPr>
          <w:rFonts w:ascii="Arial" w:hAnsi="Arial"/>
          <w:b/>
          <w:color w:val="0F172A"/>
          <w:sz w:val="19"/>
        </w:rPr>
        <w:t>Total, HDL, and LDL Cholesterol:</w:t>
      </w:r>
      <w:r>
        <w:rPr>
          <w:rFonts w:ascii="Arial" w:hAnsi="Arial"/>
          <w:color w:val="334155"/>
          <w:sz w:val="19"/>
        </w:rPr>
        <w:t xml:space="preserve"> </w:t>
        <w:tab/>
        <w:t xml:space="preserve">extmmol/L </w:t>
        <w:tab/>
        <w:t xml:space="preserve">imes 38.67 </w:t>
        <w:tab/>
        <w:t xml:space="preserve">o </w:t>
        <w:tab/>
        <w:t>extmg/dL (e.g. 4.0</w:t>
        <w:tab/>
        <w:t xml:space="preserve">ext mmol/L </w:t>
        <w:tab/>
        <w:t>o 154.7</w:t>
        <w:tab/>
        <w:t>ext mg/dL).</w:t>
      </w:r>
    </w:p>
    <w:p>
      <w:pPr>
        <w:pStyle w:val="ListBullet"/>
        <w:spacing w:before="20" w:after="20"/>
      </w:pPr>
      <w:r>
        <w:rPr>
          <w:rFonts w:ascii="Arial" w:hAnsi="Arial"/>
          <w:color w:val="334155"/>
          <w:sz w:val="19"/>
        </w:rPr>
      </w:r>
      <w:r>
        <w:rPr>
          <w:rFonts w:ascii="Arial" w:hAnsi="Arial"/>
          <w:b/>
          <w:color w:val="0F172A"/>
          <w:sz w:val="19"/>
        </w:rPr>
        <w:t>Serum Triglycerides:</w:t>
      </w:r>
      <w:r>
        <w:rPr>
          <w:rFonts w:ascii="Arial" w:hAnsi="Arial"/>
          <w:color w:val="334155"/>
          <w:sz w:val="19"/>
        </w:rPr>
        <w:t xml:space="preserve"> </w:t>
        <w:tab/>
        <w:t xml:space="preserve">extmmol/L </w:t>
        <w:tab/>
        <w:t xml:space="preserve">imes 88.57 </w:t>
        <w:tab/>
        <w:t xml:space="preserve">o </w:t>
        <w:tab/>
        <w:t>extmg/dL (e.g. 1.7</w:t>
        <w:tab/>
        <w:t xml:space="preserve">ext mmol/L </w:t>
        <w:tab/>
        <w:t>o 150.6</w:t>
        <w:tab/>
        <w:t>ext mg/dL).</w:t>
      </w:r>
    </w:p>
    <w:p>
      <w:pPr>
        <w:pStyle w:val="ListBullet"/>
        <w:spacing w:before="20" w:after="20"/>
      </w:pPr>
      <w:r>
        <w:rPr>
          <w:rFonts w:ascii="Arial" w:hAnsi="Arial"/>
          <w:color w:val="334155"/>
          <w:sz w:val="19"/>
        </w:rPr>
      </w:r>
      <w:r>
        <w:rPr>
          <w:rFonts w:ascii="Arial" w:hAnsi="Arial"/>
          <w:b/>
          <w:color w:val="0F172A"/>
          <w:sz w:val="19"/>
        </w:rPr>
        <w:t>Serum Creatinine:</w:t>
      </w:r>
      <w:r>
        <w:rPr>
          <w:rFonts w:ascii="Arial" w:hAnsi="Arial"/>
          <w:color w:val="334155"/>
          <w:sz w:val="19"/>
        </w:rPr>
        <w:t xml:space="preserve"> μ</w:t>
        <w:tab/>
        <w:t xml:space="preserve">extmol/L \div 88.4 </w:t>
        <w:tab/>
        <w:t xml:space="preserve">o </w:t>
        <w:tab/>
        <w:t>extmg/dL (e.g. 88.4\ μ</w:t>
        <w:tab/>
        <w:t xml:space="preserve">extmol/L </w:t>
        <w:tab/>
        <w:t>o 1.0</w:t>
        <w:tab/>
        <w:t>ext mg/dL).</w:t>
      </w:r>
    </w:p>
    <w:p>
      <w:pPr>
        <w:pStyle w:val="ListBullet"/>
        <w:spacing w:before="20" w:after="20"/>
      </w:pPr>
      <w:r>
        <w:rPr>
          <w:rFonts w:ascii="Arial" w:hAnsi="Arial"/>
          <w:color w:val="334155"/>
          <w:sz w:val="19"/>
        </w:rPr>
      </w:r>
      <w:r>
        <w:rPr>
          <w:rFonts w:ascii="Arial" w:hAnsi="Arial"/>
          <w:b/>
          <w:color w:val="0F172A"/>
          <w:sz w:val="19"/>
        </w:rPr>
        <w:t>Physiological Boundary Clamping:</w:t>
      </w:r>
      <w:r>
        <w:rPr>
          <w:rFonts w:ascii="Arial" w:hAnsi="Arial"/>
          <w:color w:val="334155"/>
          <w:sz w:val="19"/>
        </w:rPr>
        <w:t xml:space="preserve"> Detects and flags data entry errors (e.g. Heart Rate &lt; 25 or &gt; 260 bpm; Fasting Glucose &lt; 20 or &gt; 600 mg/dL).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19: MISSING-MODALITY DETECTION &amp; ZERO-IMPUTATION GUARANTEE</w:t>
      </w:r>
    </w:p>
    <w:p>
      <w:pPr>
        <w:pStyle w:val="ListBullet"/>
        <w:spacing w:before="20" w:after="20"/>
      </w:pPr>
      <w:r>
        <w:rPr>
          <w:rFonts w:ascii="Arial" w:hAnsi="Arial"/>
          <w:color w:val="334155"/>
          <w:sz w:val="19"/>
        </w:rPr>
      </w:r>
      <w:r>
        <w:rPr>
          <w:rFonts w:ascii="Arial" w:hAnsi="Arial"/>
          <w:b/>
          <w:color w:val="0F172A"/>
          <w:sz w:val="19"/>
        </w:rPr>
        <w:t>How Detection Works:</w:t>
      </w:r>
      <w:r>
        <w:rPr>
          <w:rFonts w:ascii="Arial" w:hAnsi="Arial"/>
          <w:color w:val="334155"/>
          <w:sz w:val="19"/>
        </w:rPr>
        <w:t xml:space="preserve"> The schema validator scans incoming payloads across `CLINICAL_V4_FEATURES`, `WEARABLE_V4_FEATURES`, and `GUT_V4_TAXA_FEATURES`.</w:t>
      </w:r>
    </w:p>
    <w:p>
      <w:pPr>
        <w:pStyle w:val="ListBullet"/>
        <w:spacing w:before="20" w:after="20"/>
      </w:pPr>
      <w:r>
        <w:rPr>
          <w:rFonts w:ascii="Arial" w:hAnsi="Arial"/>
          <w:color w:val="334155"/>
          <w:sz w:val="19"/>
        </w:rPr>
      </w:r>
      <w:r>
        <w:rPr>
          <w:rFonts w:ascii="Arial" w:hAnsi="Arial"/>
          <w:b/>
          <w:color w:val="0F172A"/>
          <w:sz w:val="19"/>
        </w:rPr>
        <w:t>Zero-Imputation Mathematical Guarantee:</w:t>
      </w:r>
      <w:r>
        <w:rPr>
          <w:rFonts w:ascii="Arial" w:hAnsi="Arial"/>
          <w:color w:val="334155"/>
          <w:sz w:val="19"/>
        </w:rPr>
        <w:t xml:space="preserve"> If a modality is not provided by the patient, the router tags the modality as `null` ("NOT PROVIDED"). Missing features are </w:t>
      </w:r>
      <w:r>
        <w:rPr>
          <w:rFonts w:ascii="Arial" w:hAnsi="Arial"/>
          <w:b/>
          <w:color w:val="0F172A"/>
          <w:sz w:val="19"/>
        </w:rPr>
        <w:t>never</w:t>
      </w:r>
      <w:r>
        <w:rPr>
          <w:rFonts w:ascii="Arial" w:hAnsi="Arial"/>
          <w:color w:val="334155"/>
          <w:sz w:val="19"/>
        </w:rPr>
        <w:t xml:space="preserve"> populated with synthetic averages, medians, or K-nearest neighbor guesses. The router automatically activates the matching expert model trained exclusively on the available data subset.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20: 7-PATHWAY ROUTING ARCHITECTURE &amp; MASTER ROUTING TABLE</w:t>
      </w:r>
    </w:p>
    <w:p>
      <w:pPr>
        <w:pStyle w:val="Heading3"/>
        <w:spacing w:before="160" w:after="40"/>
      </w:pPr>
      <w:r>
        <w:rPr>
          <w:rFonts w:ascii="Arial" w:hAnsi="Arial"/>
          <w:b/>
          <w:color w:val="0F172A"/>
          <w:sz w:val="21"/>
        </w:rPr>
        <w:t>20.1 The Combinatorial Routing Principle</w:t>
      </w:r>
    </w:p>
    <w:p>
      <w:pPr>
        <w:spacing w:before="40" w:after="80"/>
      </w:pPr>
      <w:r>
        <w:rPr>
          <w:rFonts w:ascii="Arial" w:hAnsi="Arial"/>
          <w:color w:val="334155"/>
          <w:sz w:val="19"/>
        </w:rPr>
        <w:t>With N = 3 independent diagnostic modalities (C, W, G), there are exactly 2^3 - 1 = 7 non-empty input combinations.</w:t>
      </w:r>
    </w:p>
    <w:p>
      <w:pPr>
        <w:pStyle w:val="Heading3"/>
        <w:spacing w:before="160" w:after="40"/>
      </w:pPr>
      <w:r>
        <w:rPr>
          <w:rFonts w:ascii="Arial" w:hAnsi="Arial"/>
          <w:b/>
          <w:color w:val="0F172A"/>
          <w:sz w:val="21"/>
        </w:rPr>
        <w:t>20.2 Authoritative 7-Pathway Routing Master Table (Table 20.2)</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 Key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Modalities Provided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Features Available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Input Features Evaluated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Missing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Machine Learning Pipeline Executed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Meta-Learner Inputs Consumed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Source of Truth Code</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P1</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P2</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Only</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Expert Model Pipeline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P3</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Microbiome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P4</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 Wearable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18 (C) and 15 (W)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(P_C, P_W)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P5</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and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 probabilities per target (P_C,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P6</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(W) and 49 (G)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(P_W, P_G)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P7</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Full Multimodal</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82 Features (18+15+49)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15 (W),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(Complete)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Trimodal Stacking Meta-Learner</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3 probabilities per target (P_C, P_W,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21: DETAILED WALKTHROUGH OF PATHWAYS P1 TO P7</w:t>
      </w:r>
    </w:p>
    <w:p>
      <w:pPr>
        <w:pStyle w:val="ListBullet"/>
        <w:spacing w:before="20" w:after="20"/>
      </w:pPr>
      <w:r>
        <w:rPr>
          <w:rFonts w:ascii="Arial" w:hAnsi="Arial"/>
          <w:color w:val="334155"/>
          <w:sz w:val="19"/>
        </w:rPr>
      </w:r>
      <w:r>
        <w:rPr>
          <w:rFonts w:ascii="Arial" w:hAnsi="Arial"/>
          <w:b/>
          <w:color w:val="0F172A"/>
          <w:sz w:val="19"/>
        </w:rPr>
        <w:t>Pathway 1 (C — Clinical Unimodal):</w:t>
      </w:r>
      <w:r>
        <w:rPr>
          <w:rFonts w:ascii="Arial" w:hAnsi="Arial"/>
          <w:color w:val="334155"/>
          <w:sz w:val="19"/>
        </w:rPr>
        <w:t xml:space="preserve"> Executes when a patient provides standard blood test results. The 18 features are scaled and evaluated by 5 Clinical classifiers (n\_features\_in\_ = 18).</w:t>
      </w:r>
    </w:p>
    <w:p>
      <w:pPr>
        <w:pStyle w:val="ListBullet"/>
        <w:spacing w:before="20" w:after="20"/>
      </w:pPr>
      <w:r>
        <w:rPr>
          <w:rFonts w:ascii="Arial" w:hAnsi="Arial"/>
          <w:color w:val="334155"/>
          <w:sz w:val="19"/>
        </w:rPr>
      </w:r>
      <w:r>
        <w:rPr>
          <w:rFonts w:ascii="Arial" w:hAnsi="Arial"/>
          <w:b/>
          <w:color w:val="0F172A"/>
          <w:sz w:val="19"/>
        </w:rPr>
        <w:t>Pathway 2 (W — Wearable Unimodal):</w:t>
      </w:r>
      <w:r>
        <w:rPr>
          <w:rFonts w:ascii="Arial" w:hAnsi="Arial"/>
          <w:color w:val="334155"/>
          <w:sz w:val="19"/>
        </w:rPr>
        <w:t xml:space="preserve"> Executes when a patient syncs smartwatch and CGM data. The 15 features are evaluated by 5 Wearable classifiers (n\_features\_in\_ = 15).</w:t>
      </w:r>
    </w:p>
    <w:p>
      <w:pPr>
        <w:pStyle w:val="ListBullet"/>
        <w:spacing w:before="20" w:after="20"/>
      </w:pPr>
      <w:r>
        <w:rPr>
          <w:rFonts w:ascii="Arial" w:hAnsi="Arial"/>
          <w:color w:val="334155"/>
          <w:sz w:val="19"/>
        </w:rPr>
      </w:r>
      <w:r>
        <w:rPr>
          <w:rFonts w:ascii="Arial" w:hAnsi="Arial"/>
          <w:b/>
          <w:color w:val="0F172A"/>
          <w:sz w:val="19"/>
        </w:rPr>
        <w:t>Pathway 3 (G — Gut Microbiome Unimodal):</w:t>
      </w:r>
      <w:r>
        <w:rPr>
          <w:rFonts w:ascii="Arial" w:hAnsi="Arial"/>
          <w:color w:val="334155"/>
          <w:sz w:val="19"/>
        </w:rPr>
        <w:t xml:space="preserve"> Executes when a patient provides 16S sequencing. The 49 features are evaluated by 5 Gut classifiers (n\_features\_in\_ = 49).</w:t>
      </w:r>
    </w:p>
    <w:p>
      <w:pPr>
        <w:pStyle w:val="ListBullet"/>
        <w:spacing w:before="20" w:after="20"/>
      </w:pPr>
      <w:r>
        <w:rPr>
          <w:rFonts w:ascii="Arial" w:hAnsi="Arial"/>
          <w:color w:val="334155"/>
          <w:sz w:val="19"/>
        </w:rPr>
      </w:r>
      <w:r>
        <w:rPr>
          <w:rFonts w:ascii="Arial" w:hAnsi="Arial"/>
          <w:b/>
          <w:color w:val="0F172A"/>
          <w:sz w:val="19"/>
        </w:rPr>
        <w:t>Pathway 4 (C+W — Clinical + Wearable Bimodal):</w:t>
      </w:r>
      <w:r>
        <w:rPr>
          <w:rFonts w:ascii="Arial" w:hAnsi="Arial"/>
          <w:color w:val="334155"/>
          <w:sz w:val="19"/>
        </w:rPr>
        <w:t xml:space="preserve"> Executes Clinical (18 features) and Wearable (15 features) models simultaneously (33 upstream features total), generating 2 probability scores per disease target that are combined by a bimodal meta-learner.</w:t>
      </w:r>
    </w:p>
    <w:p>
      <w:pPr>
        <w:pStyle w:val="ListBullet"/>
        <w:spacing w:before="20" w:after="20"/>
      </w:pPr>
      <w:r>
        <w:rPr>
          <w:rFonts w:ascii="Arial" w:hAnsi="Arial"/>
          <w:color w:val="334155"/>
          <w:sz w:val="19"/>
        </w:rPr>
      </w:r>
      <w:r>
        <w:rPr>
          <w:rFonts w:ascii="Arial" w:hAnsi="Arial"/>
          <w:b/>
          <w:color w:val="0F172A"/>
          <w:sz w:val="19"/>
        </w:rPr>
        <w:t>Pathway 5 (C+G — Clinical + Gut Bimodal):</w:t>
      </w:r>
      <w:r>
        <w:rPr>
          <w:rFonts w:ascii="Arial" w:hAnsi="Arial"/>
          <w:color w:val="334155"/>
          <w:sz w:val="19"/>
        </w:rPr>
        <w:t xml:space="preserve"> Executes Clinical (18 features) and Gut (49 features) models simultaneously (67 upstream features total) and fuses their probability outputs.</w:t>
      </w:r>
    </w:p>
    <w:p>
      <w:pPr>
        <w:pStyle w:val="ListBullet"/>
        <w:spacing w:before="20" w:after="20"/>
      </w:pPr>
      <w:r>
        <w:rPr>
          <w:rFonts w:ascii="Arial" w:hAnsi="Arial"/>
          <w:color w:val="334155"/>
          <w:sz w:val="19"/>
        </w:rPr>
      </w:r>
      <w:r>
        <w:rPr>
          <w:rFonts w:ascii="Arial" w:hAnsi="Arial"/>
          <w:b/>
          <w:color w:val="0F172A"/>
          <w:sz w:val="19"/>
        </w:rPr>
        <w:t>Pathway 6 (W+G — Wearable + Gut Bimodal):</w:t>
      </w:r>
      <w:r>
        <w:rPr>
          <w:rFonts w:ascii="Arial" w:hAnsi="Arial"/>
          <w:color w:val="334155"/>
          <w:sz w:val="19"/>
        </w:rPr>
        <w:t xml:space="preserve"> Executes Wearable (15 features) and Gut (49 features) models simultaneously (64 upstream features total) and fuses their outputs via the dedicated `wg_logistic_regression_stacker` model (n\_features\_in\_ = 2).</w:t>
      </w:r>
    </w:p>
    <w:p>
      <w:pPr>
        <w:pStyle w:val="ListBullet"/>
        <w:spacing w:before="20" w:after="20"/>
      </w:pPr>
      <w:r>
        <w:rPr>
          <w:rFonts w:ascii="Arial" w:hAnsi="Arial"/>
          <w:color w:val="334155"/>
          <w:sz w:val="19"/>
        </w:rPr>
      </w:r>
      <w:r>
        <w:rPr>
          <w:rFonts w:ascii="Arial" w:hAnsi="Arial"/>
          <w:b/>
          <w:color w:val="0F172A"/>
          <w:sz w:val="19"/>
        </w:rPr>
        <w:t>Pathway 7 (C+W+G — Full Trimodal Stacking):</w:t>
      </w:r>
      <w:r>
        <w:rPr>
          <w:rFonts w:ascii="Arial" w:hAnsi="Arial"/>
          <w:color w:val="334155"/>
          <w:sz w:val="19"/>
        </w:rPr>
        <w:t xml:space="preserve"> Evaluates all 82 upstream biological features across all 3 base expert models, producing 15 out-of-fold probability outputs (3 per disease target). The Trimodal Stacking Meta-Learner receives a 3-element probability vector per disease target ([P_C, P_W, P_G], n\_features\_in\_ = 3) to compute the final calibrated risk score.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22: CLASSIFICATION PARADIGM (MULTI-LABEL BINARY RELEVANCE)</w:t>
      </w:r>
    </w:p>
    <w:p>
      <w:pPr>
        <w:pStyle w:val="ListBullet"/>
        <w:spacing w:before="20" w:after="20"/>
      </w:pPr>
      <w:r>
        <w:rPr>
          <w:rFonts w:ascii="Arial" w:hAnsi="Arial"/>
          <w:color w:val="334155"/>
          <w:sz w:val="19"/>
        </w:rPr>
      </w:r>
      <w:r>
        <w:rPr>
          <w:rFonts w:ascii="Arial" w:hAnsi="Arial"/>
          <w:b/>
          <w:color w:val="0F172A"/>
          <w:sz w:val="19"/>
        </w:rPr>
        <w:t>Why Multi-Label Binary Relevance?</w:t>
      </w:r>
      <w:r>
        <w:rPr>
          <w:rFonts w:ascii="Arial" w:hAnsi="Arial"/>
          <w:color w:val="334155"/>
          <w:sz w:val="19"/>
        </w:rPr>
        <w:t xml:space="preserve"> In clinical practice, metabolic conditions frequently co-occur. A patient can simultaneously have Type 2 Diabetes, High Adiposity Risk (Obesity), and NAFLD (Fatty Liver). Multi-class classification (which assumes only one disease can exist at a time) is medically invalid.</w:t>
      </w:r>
    </w:p>
    <w:p>
      <w:pPr>
        <w:pStyle w:val="ListBullet"/>
        <w:spacing w:before="20" w:after="20"/>
      </w:pPr>
      <w:r>
        <w:rPr>
          <w:rFonts w:ascii="Arial" w:hAnsi="Arial"/>
          <w:color w:val="334155"/>
          <w:sz w:val="19"/>
        </w:rPr>
      </w: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23: MODEL TRAINING AND VALIDATION PROTOCOL</w:t>
      </w:r>
    </w:p>
    <w:p>
      <w:pPr>
        <w:pStyle w:val="ListBullet"/>
        <w:spacing w:before="20" w:after="20"/>
      </w:pPr>
      <w:r>
        <w:rPr>
          <w:rFonts w:ascii="Arial" w:hAnsi="Arial"/>
          <w:color w:val="334155"/>
          <w:sz w:val="19"/>
        </w:rPr>
      </w:r>
      <w:r>
        <w:rPr>
          <w:rFonts w:ascii="Arial" w:hAnsi="Arial"/>
          <w:b/>
          <w:color w:val="0F172A"/>
          <w:sz w:val="19"/>
        </w:rPr>
        <w:t>5-Fold Stratified Cross-Validation:</w:t>
      </w:r>
      <w:r>
        <w:rPr>
          <w:rFonts w:ascii="Arial" w:hAnsi="Arial"/>
          <w:color w:val="334155"/>
          <w:sz w:val="19"/>
        </w:rPr>
        <w:t xml:space="preserve"> The training partition (70,000 patients) was divided into 5 stratified folds to ensure equal positive-case representation across all iterations.</w:t>
      </w:r>
    </w:p>
    <w:p>
      <w:pPr>
        <w:pStyle w:val="ListBullet"/>
        <w:spacing w:before="20" w:after="20"/>
      </w:pPr>
      <w:r>
        <w:rPr>
          <w:rFonts w:ascii="Arial" w:hAnsi="Arial"/>
          <w:color w:val="334155"/>
          <w:sz w:val="19"/>
        </w:rPr>
      </w: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pPr>
        <w:pStyle w:val="ListBullet"/>
        <w:spacing w:before="20" w:after="20"/>
      </w:pPr>
      <w:r>
        <w:rPr>
          <w:rFonts w:ascii="Arial" w:hAnsi="Arial"/>
          <w:color w:val="334155"/>
          <w:sz w:val="19"/>
        </w:rPr>
      </w:r>
      <w:r>
        <w:rPr>
          <w:rFonts w:ascii="Arial" w:hAnsi="Arial"/>
          <w:b/>
          <w:color w:val="0F172A"/>
          <w:sz w:val="19"/>
        </w:rPr>
        <w:t>Threshold Optimization:</w:t>
      </w:r>
      <w:r>
        <w:rPr>
          <w:rFonts w:ascii="Arial" w:hAnsi="Arial"/>
          <w:color w:val="334155"/>
          <w:sz w:val="19"/>
        </w:rPr>
        <w:t xml:space="preserve"> Decision thresholds were tuned on the validation partition (15,000 patients) to maximize Youden's J statistic (Sensitivity + Specificity - 1).</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24: SPECIFIC ALGORITHMS CHOSEN PER DISEASE TARGET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Selected Winning Algorithm</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Input Feature Dimension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Probability Calibration Method</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0.41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0.32</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0.38</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CatBoost Classifier (Categorical Boosting)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RandomForest Classifier (Bagged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0.15</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0.30</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0.39</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ExtraTrees Classifier (Extremely Randomized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25: SERIALIZED MODEL ARTIFACTS &amp; FILE CHECKSUMS</w:t>
      </w:r>
    </w:p>
    <w:p>
      <w:pPr>
        <w:spacing w:before="40" w:after="80"/>
      </w:pPr>
      <w:r>
        <w:rPr>
          <w:rFonts w:ascii="Arial" w:hAnsi="Arial"/>
          <w:color w:val="334155"/>
          <w:sz w:val="19"/>
        </w:rPr>
        <w:t>All machine learning models are saved as frozen joblib payloads in the `ai/models/` directory:</w:t>
      </w:r>
    </w:p>
    <w:p>
      <w:pPr>
        <w:pStyle w:val="ListBullet"/>
        <w:spacing w:before="20" w:after="20"/>
      </w:pPr>
      <w:r>
        <w:rPr>
          <w:rFonts w:ascii="Arial" w:hAnsi="Arial"/>
          <w:color w:val="334155"/>
          <w:sz w:val="19"/>
        </w:rPr>
        <w:t>`ai/models/clinical/clinical_v4_expert_payload.joblib`: Contains 5 Clinical models, scalers, medians, and feature names (18 features).</w:t>
      </w:r>
    </w:p>
    <w:p>
      <w:pPr>
        <w:pStyle w:val="ListBullet"/>
        <w:spacing w:before="20" w:after="20"/>
      </w:pPr>
      <w:r>
        <w:rPr>
          <w:rFonts w:ascii="Arial" w:hAnsi="Arial"/>
          <w:color w:val="334155"/>
          <w:sz w:val="19"/>
        </w:rPr>
        <w:t>`ai/models/wearable_cgm/wearable_v4_expert_payload.joblib`: Contains 5 Wearable models, scalers, medians, and feature names (15 features).</w:t>
      </w:r>
    </w:p>
    <w:p>
      <w:pPr>
        <w:pStyle w:val="ListBullet"/>
        <w:spacing w:before="20" w:after="20"/>
      </w:pPr>
      <w:r>
        <w:rPr>
          <w:rFonts w:ascii="Arial" w:hAnsi="Arial"/>
          <w:color w:val="334155"/>
          <w:sz w:val="19"/>
        </w:rPr>
        <w:t>`ai/models/gut_microbiome/gut_v4_expert_payload.joblib`: Contains 5 Gut models, scalers, medians, and feature names (49 features).</w:t>
      </w:r>
    </w:p>
    <w:p>
      <w:pPr>
        <w:pStyle w:val="ListBullet"/>
        <w:spacing w:before="20" w:after="20"/>
      </w:pPr>
      <w:r>
        <w:rPr>
          <w:rFonts w:ascii="Arial" w:hAnsi="Arial"/>
          <w:color w:val="334155"/>
          <w:sz w:val="19"/>
        </w:rPr>
        <w:t>`ai/models/fusion/v4_multimodal_fusion_payload.joblib`: Contains the 5 Trimodal Stacking Meta-Models and optimal thresholds.</w:t>
      </w:r>
    </w:p>
    <w:p>
      <w:pPr>
        <w:pStyle w:val="ListBullet"/>
        <w:spacing w:before="20" w:after="20"/>
      </w:pPr>
      <w:r>
        <w:rPr>
          <w:rFonts w:ascii="Arial" w:hAnsi="Arial"/>
          <w:color w:val="334155"/>
          <w:sz w:val="19"/>
        </w:rPr>
        <w:t>`ai/models/fusion/wg_logistic_regression_stacker.joblib`: Contains the 5 Bimodal Wearable+Gut Stacking Models.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26: MATHEMATICAL FORMULATIONS EXPLAINED IN PLAIN WORDS</w:t>
      </w:r>
    </w:p>
    <w:p>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Computes a weighted sum of normalized biomarker inputs and passes the result through a sigmoid activation function to output a probability between 0% and 100%. L2 regularization prevents the model from overfitting to any single marker.</w:t>
      </w:r>
    </w:p>
    <w:p>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iteratively. Each subsequent tree learns to correct the residual prediction errors of preceding trees, capturing complex non-linear interactions among biomarkers.</w:t>
      </w:r>
    </w:p>
    <w:p>
      <w:pPr>
        <w:spacing w:before="40" w:after="80"/>
      </w:pPr>
      <w:r>
        <w:rPr>
          <w:rFonts w:ascii="Arial" w:hAnsi="Arial"/>
          <w:color w:val="334155"/>
          <w:sz w:val="19"/>
        </w:rPr>
        <w:t xml:space="preserve">3. </w:t>
      </w:r>
      <w:r>
        <w:rPr>
          <w:rFonts w:ascii="Arial" w:hAnsi="Arial"/>
          <w:b/>
          <w:color w:val="0F172A"/>
          <w:sz w:val="19"/>
        </w:rPr>
        <w:t>Probability Meta-Stacking:</w:t>
      </w:r>
      <w:r>
        <w:rPr>
          <w:rFonts w:ascii="Arial" w:hAnsi="Arial"/>
          <w:color w:val="334155"/>
          <w:sz w:val="19"/>
        </w:rPr>
        <w:t xml:space="preserve"> Combines the individual probabilities output by the Clinical, Wearable, and Gut models into a final fused score using learned disease-specific mathematical weights.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27: PERFORMANCE EVOLUTION FROM V1 TO V4</w:t>
      </w:r>
    </w:p>
    <w:p>
      <w:pPr>
        <w:pStyle w:val="ListBullet"/>
        <w:spacing w:before="20" w:after="20"/>
      </w:pPr>
      <w:r>
        <w:rPr>
          <w:rFonts w:ascii="Arial" w:hAnsi="Arial"/>
          <w:color w:val="334155"/>
          <w:sz w:val="19"/>
        </w:rPr>
      </w: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pPr>
        <w:pStyle w:val="ListBullet"/>
        <w:spacing w:before="20" w:after="20"/>
      </w:pPr>
      <w:r>
        <w:rPr>
          <w:rFonts w:ascii="Arial" w:hAnsi="Arial"/>
          <w:color w:val="334155"/>
          <w:sz w:val="19"/>
        </w:rPr>
      </w: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9 genera to 49 species and ecological indices).</w:t>
      </w:r>
    </w:p>
    <w:p>
      <w:pPr>
        <w:pStyle w:val="ListBullet"/>
        <w:spacing w:before="20" w:after="20"/>
      </w:pPr>
      <w:r>
        <w:rPr>
          <w:rFonts w:ascii="Arial" w:hAnsi="Arial"/>
          <w:color w:val="334155"/>
          <w:sz w:val="19"/>
        </w:rPr>
      </w: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28: AUTHORITATIVE TEST PERFORMANCE METRICS PER DISEASE</w:t>
      </w:r>
    </w:p>
    <w:p>
      <w:pPr>
        <w:spacing w:before="40" w:after="80"/>
      </w:pPr>
      <w:r>
        <w:rPr>
          <w:rFonts w:ascii="Arial" w:hAnsi="Arial"/>
          <w:color w:val="334155"/>
          <w:sz w:val="19"/>
        </w:rPr>
        <w:t>*(Audited directly from `v4_fusion_test_metrics_with_95ci.csv` on the untouched out-of-sample test partition)*</w:t>
      </w:r>
    </w:p>
    <w:tbl>
      <w:tblPr>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fill="1E3A8A"/>
            <w:tcMar>
              <w:top w:w="80" w:type="dxa"/>
              <w:bottom w:w="80" w:type="dxa"/>
              <w:left w:w="100" w:type="dxa"/>
              <w:right w:w="100" w:type="dxa"/>
            </w:tcMar>
          </w:tcPr>
          <w:p>
            <w:pPr>
              <w:spacing w:before="40" w:after="40"/>
            </w:pPr>
            <w:r>
              <w:rPr>
                <w:rFonts w:ascii="Arial" w:hAnsi="Arial"/>
                <w:b/>
                <w:color w:val="FFFFFF"/>
                <w:sz w:val="17"/>
              </w:rPr>
              <w:t>Evaluated Modality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Winning Model Algorithm</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ROC-AUC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Precision</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Recall (Sensitivity)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Specificity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F1 Score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Brier Score</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0.7777 [0.7707 - 0.7847]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0.7810 [0.7707 - 0.7914]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64.3%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45.9%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0.7427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0.1921</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0.7499 [0.7419 - 0.7571]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0.7831 [0.7736 - 0.7926]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42.3%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0.2032</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0.41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0.7533 [0.7457 - 0.7611]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0.6393 [0.6258 - 0.6528]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53.7%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55.6%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0.6464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0.7581 [0.7503 - 0.7655]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0.7931 [0.7833 - 0.8025]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39.4%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0.7591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0.2001</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0.7740 [0.7663 - 0.7819]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0.8233 [0.8152 - 0.8320]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70.5%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69.9%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0.7834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0.1938</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Wearable Only (W)</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0.6772 [0.6687 - 0.6858]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0.6974 [0.6871 - 0.7083]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57.5%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94.2%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17.0%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0.2255</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Gut Only (G)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RandomForest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0.5922 [0.5827 - 0.6012]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0.6070 [0.5955 - 0.6188]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100.0%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0.6884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0.2434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0.7825 [0.7758 - 0.7892]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0.7866 [0.7766 - 0.7967]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68.7%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0.7452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0.1906</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LightGBM</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0.7532 [0.7453 - 0.7611]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0.7860 [0.7763 - 0.7955]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67.2%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38.4%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0.7546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0.7547 [0.7472 - 0.7621]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0.6412 [0.6273 - 0.6546]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53.8%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0.2023</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0.7586 [0.7511 - 0.7670]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0.7942 [0.7842 - 0.8039]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66.9%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0.7600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0.2000</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0.7743 [0.7668 - 0.7822]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0.8232 [0.8151 - 0.8325]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70.8%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0.1942</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29: PER-MODALITY PERFORMANCE CONTRIBUTIONS</w:t>
      </w:r>
    </w:p>
    <w:p>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primary diagnostic anchor across all 5 metabolic conditions (w_C  ∈  [0.657, 0.954]).</w:t>
      </w:r>
    </w:p>
    <w:p>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significant diagnostic power for Prediabetes (accounting for 32.5% of the meta-stacker decision weight) and Type 2 Diabetes (19.5% weight) by capturing glycemic variability that fasting blood tests miss.</w:t>
      </w:r>
    </w:p>
    <w:p>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critical secondary dysbiosis signals for Metabolic Syndrome (5.2% weight) and High Adiposity Risk (4.0% weight), helping to differentiate complex borderline cases.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30: PROBABILITY CALIBRATION &amp; BRIER SCORE</w:t>
      </w:r>
    </w:p>
    <w:p>
      <w:pPr>
        <w:pStyle w:val="ListBullet"/>
        <w:spacing w:before="20" w:after="20"/>
      </w:pPr>
      <w:r>
        <w:rPr>
          <w:rFonts w:ascii="Arial" w:hAnsi="Arial"/>
          <w:color w:val="334155"/>
          <w:sz w:val="19"/>
        </w:rPr>
      </w: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indicates perfect calibration).</w:t>
      </w:r>
    </w:p>
    <w:p>
      <w:pPr>
        <w:pStyle w:val="ListBullet"/>
        <w:spacing w:before="20" w:after="20"/>
      </w:pPr>
      <w:r>
        <w:rPr>
          <w:rFonts w:ascii="Arial" w:hAnsi="Arial"/>
          <w:color w:val="334155"/>
          <w:sz w:val="19"/>
        </w:rPr>
      </w:r>
      <w:r>
        <w:rPr>
          <w:rFonts w:ascii="Arial" w:hAnsi="Arial"/>
          <w:b/>
          <w:color w:val="0F172A"/>
          <w:sz w:val="19"/>
        </w:rPr>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pPr>
        <w:pStyle w:val="Heading1"/>
        <w:spacing w:before="280" w:after="120"/>
      </w:pPr>
      <w:r>
        <w:rPr>
          <w:rFonts w:ascii="Arial" w:hAnsi="Arial"/>
          <w:b/>
          <w:color w:val="1E3A8A"/>
          <w:sz w:val="30"/>
        </w:rPr>
        <w:t>SECTION 31: FUSION ENGINE ARCHITECTURE &amp; PROBABILITY STACKING</w:t>
      </w:r>
    </w:p>
    <w:p>
      <w:pPr>
        <w:pStyle w:val="Heading3"/>
        <w:spacing w:before="160" w:after="40"/>
      </w:pPr>
      <w:r>
        <w:rPr>
          <w:rFonts w:ascii="Arial" w:hAnsi="Arial"/>
          <w:b/>
          <w:color w:val="0F172A"/>
          <w:sz w:val="21"/>
        </w:rPr>
        <w:t>31.1 Why Raw Feature Concatenation (Early Fusion) Fails in Clinical Telemedicine</w:t>
      </w:r>
    </w:p>
    <w:p>
      <w:pPr>
        <w:spacing w:before="40" w:after="80"/>
      </w:pPr>
      <w:r>
        <w:rPr>
          <w:rFonts w:ascii="Arial" w:hAnsi="Arial"/>
          <w:color w:val="334155"/>
          <w:sz w:val="19"/>
        </w:rPr>
        <w:t>Early fusion refers to combining all raw features into a single 82-dimensional vector before feeding it into a single large model:</w:t>
      </w:r>
    </w:p>
    <w:p>
      <w:pPr>
        <w:pStyle w:val="ListBullet"/>
        <w:spacing w:before="20" w:after="20"/>
      </w:pPr>
      <w:r>
        <w:rPr>
          <w:rFonts w:ascii="Arial" w:hAnsi="Arial"/>
          <w:color w:val="334155"/>
          <w:sz w:val="19"/>
        </w:rPr>
      </w:r>
      <w:r>
        <w:rPr>
          <w:rFonts w:ascii="Arial" w:hAnsi="Arial"/>
          <w:b/>
          <w:color w:val="0F172A"/>
          <w:sz w:val="19"/>
        </w:rPr>
        <w:t>The Fatal Missing Data Flaw:</w:t>
      </w:r>
      <w:r>
        <w:rPr>
          <w:rFonts w:ascii="Arial" w:hAnsi="Arial"/>
          <w:color w:val="334155"/>
          <w:sz w:val="19"/>
        </w:rPr>
        <w:t xml:space="preserve"> In real-world telemedicine, if a patient provides only standard blood tests (18 features) and lacks wearable (15 features) and gut sequencing (49 features), over 78% of the input vector is completely empty.</w:t>
      </w:r>
    </w:p>
    <w:p>
      <w:pPr>
        <w:pStyle w:val="ListBullet"/>
        <w:spacing w:before="20" w:after="20"/>
      </w:pPr>
      <w:r>
        <w:rPr>
          <w:rFonts w:ascii="Arial" w:hAnsi="Arial"/>
          <w:color w:val="334155"/>
          <w:sz w:val="19"/>
        </w:rPr>
      </w:r>
      <w:r>
        <w:rPr>
          <w:rFonts w:ascii="Arial" w:hAnsi="Arial"/>
          <w:b/>
          <w:color w:val="0F172A"/>
          <w:sz w:val="19"/>
        </w:rPr>
        <w:t>Why Traditional Fixes Fail:</w:t>
      </w:r>
      <w:r>
        <w:rPr>
          <w:rFonts w:ascii="Arial" w:hAnsi="Arial"/>
          <w:color w:val="334155"/>
          <w:sz w:val="19"/>
        </w:rPr>
        <w:t xml:space="preserve"> Filling 64 missing values with synthetic means or medians distorts real physiological relationships, resulting in unreliable, hallucinated risk scores.</w:t>
      </w:r>
    </w:p>
    <w:p>
      <w:pPr>
        <w:pStyle w:val="Heading3"/>
        <w:spacing w:before="160" w:after="40"/>
      </w:pPr>
      <w:r>
        <w:rPr>
          <w:rFonts w:ascii="Arial" w:hAnsi="Arial"/>
          <w:b/>
          <w:color w:val="0F172A"/>
          <w:sz w:val="21"/>
        </w:rPr>
        <w:t>31.2 The TeleMed AI v4 Solution: Hierarchical Probability-Level Stacking</w:t>
      </w:r>
    </w:p>
    <w:p>
      <w:pPr>
        <w:spacing w:before="40" w:after="80"/>
      </w:pPr>
      <w:r>
        <w:rPr>
          <w:rFonts w:ascii="Arial" w:hAnsi="Arial"/>
          <w:color w:val="334155"/>
          <w:sz w:val="19"/>
        </w:rPr>
        <w:t>Instead of concatenating raw features, TeleMed AI v4 implements a two-stage hierarchical stacking architecture:</w:t>
      </w:r>
    </w:p>
    <w:p>
      <w:pPr>
        <w:spacing w:before="40" w:after="80"/>
      </w:pPr>
      <w:r>
        <w:rPr>
          <w:rFonts w:ascii="Arial" w:hAnsi="Arial"/>
          <w:color w:val="334155"/>
          <w:sz w:val="19"/>
        </w:rPr>
        <w:t xml:space="preserve">1. </w:t>
      </w:r>
      <w:r>
        <w:rPr>
          <w:rFonts w:ascii="Arial" w:hAnsi="Arial"/>
          <w:b/>
          <w:color w:val="0F172A"/>
          <w:sz w:val="19"/>
        </w:rPr>
        <w:t>Stage 1 (Domain Expert Models):</w:t>
      </w:r>
      <w:r>
        <w:rPr>
          <w:rFonts w:ascii="Arial" w:hAnsi="Arial"/>
          <w:color w:val="334155"/>
          <w:sz w:val="19"/>
        </w:rPr>
        <w:t xml:space="preserve"> Base expert models process their respective biological domains in isolation (18 Clinical, 15 Wearable, 49 Gut), converting raw biological markers into calibrated probability scores between 0.0% and 100.0%.</w:t>
      </w:r>
    </w:p>
    <w:p>
      <w:pPr>
        <w:spacing w:before="40" w:after="80"/>
      </w:pPr>
      <w:r>
        <w:rPr>
          <w:rFonts w:ascii="Arial" w:hAnsi="Arial"/>
          <w:color w:val="334155"/>
          <w:sz w:val="19"/>
        </w:rPr>
        <w:t xml:space="preserve">2. </w:t>
      </w:r>
      <w:r>
        <w:rPr>
          <w:rFonts w:ascii="Arial" w:hAnsi="Arial"/>
          <w:b/>
          <w:color w:val="0F172A"/>
          <w:sz w:val="19"/>
        </w:rPr>
        <w:t>Stage 2 (Disease-Specific Meta-Stacking Layer):</w:t>
      </w:r>
      <w:r>
        <w:rPr>
          <w:rFonts w:ascii="Arial" w:hAnsi="Arial"/>
          <w:color w:val="334155"/>
          <w:sz w:val="19"/>
        </w:rPr>
        <w:t xml:space="preserve"> A second-level regularized meta-learner receives the 3 calibrated probability scores ([P_C, P_W, P_G]) for a specific disease target (n\_features\_in\_ = 3) and computes the final fused risk score using weights optimized specifically for that disease.</w:t>
      </w:r>
    </w:p>
    <w:p>
      <w:pPr>
        <w:spacing w:before="0" w:after="0"/>
        <w:ind w:left="432"/>
      </w:pPr>
      <w:r>
        <w:rPr>
          <w:rFonts w:ascii="Consolas" w:hAnsi="Consolas"/>
          <w:color w:val="1E293B"/>
          <w:sz w:val="17"/>
        </w:rPr>
        <w:t>[Upstream Modalities: Clinical (18), Wearable (15), Gut (49)]</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1: Base Expert Ensembles (LogReg, XGBoost, CatBoost, RF, ExtraTrees)]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[Intermediate Layer: 15 Calibrated Probabilities (3 per Target across 5 Diseases)]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2: Target-Specific Meta-Learner (n_features_in = 3 per Disease)]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[Final Calibrated Risk Stratification Score (0.0% - 100.0%)]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32: EXACT META-STACKER WEIGHTS PER DISEASE TARGET</w:t>
      </w:r>
    </w:p>
    <w:p>
      <w:pPr>
        <w:spacing w:before="40" w:after="80"/>
      </w:pPr>
      <w:r>
        <w:rPr>
          <w:rFonts w:ascii="Arial" w:hAnsi="Arial"/>
          <w:color w:val="334155"/>
          <w:sz w:val="19"/>
        </w:rPr>
        <w:t>*(Directly inspected from the serialized artifact `ai/models/fusion/v4_multimodal_fusion_payload.joblib`)*</w:t>
      </w:r>
    </w:p>
    <w:p>
      <w:pPr>
        <w:spacing w:before="40" w:after="80"/>
      </w:pPr>
      <w:r>
        <w:rPr>
          <w:rFonts w:ascii="Arial" w:hAnsi="Arial"/>
          <w:color w:val="334155"/>
          <w:sz w:val="19"/>
        </w:rPr>
        <w:t>For each disease target, the meta-stacker evaluates the input vector z = [P_</w:t>
        <w:tab/>
        <w:t>extClinical, P_</w:t>
        <w:tab/>
        <w:t>extWearable, P_</w:t>
        <w:tab/>
        <w:t>extGut]^T:</w:t>
      </w:r>
    </w:p>
    <w:p>
      <w:pPr>
        <w:pStyle w:val="Heading3"/>
        <w:spacing w:before="160" w:after="40"/>
      </w:pPr>
      <w:r>
        <w:rPr>
          <w:rFonts w:ascii="Arial" w:hAnsi="Arial"/>
          <w:b/>
          <w:color w:val="0F172A"/>
          <w:sz w:val="21"/>
        </w:rPr>
        <w:t>32.1 Type 2 Diabetes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+0.0348 + (1.0130 </w:t>
        <w:tab/>
        <w:t>imes P_</w:t>
        <w:tab/>
        <w:t xml:space="preserve">extClinical) + (0.2458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Blood chemistry markers (HbA1c and fasting blood glucose) provide the overwhelming diagnostic foundation for established diabetes. Continuous glucose metrics provide valuable secondary confirmation, while gut dysbiosis indices have lower marginal predictive power once severe clinical hyperglycemia is already established.</w:t>
      </w:r>
    </w:p>
    <w:p>
      <w:pPr>
        <w:pStyle w:val="Heading3"/>
        <w:spacing w:before="160" w:after="40"/>
      </w:pPr>
      <w:r>
        <w:rPr>
          <w:rFonts w:ascii="Arial" w:hAnsi="Arial"/>
          <w:b/>
          <w:color w:val="0F172A"/>
          <w:sz w:val="21"/>
        </w:rPr>
        <w:t>32.2 Prediabetes Meta-Model (LightGBM Gradient Boosted Meta-Classifier)</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Wearable CGM parameters contribute nearly one-third of the total decision weight. Continuous glucose monitors detect subtle postprandial glycemic excursions and elevated glucose variability (&gt;36\%) years before resting fasting glucose becomes clinically abnormal.</w:t>
      </w:r>
    </w:p>
    <w:p>
      <w:pPr>
        <w:pStyle w:val="Heading3"/>
        <w:spacing w:before="160" w:after="40"/>
      </w:pPr>
      <w:r>
        <w:rPr>
          <w:rFonts w:ascii="Arial" w:hAnsi="Arial"/>
          <w:b/>
          <w:color w:val="0F172A"/>
          <w:sz w:val="21"/>
        </w:rPr>
        <w:t>32.3 High Adiposity Risk / Obesity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-0.1058 + (0.9148 </w:t>
        <w:tab/>
        <w:t>imes P_</w:t>
        <w:tab/>
        <w:t xml:space="preserve">extClinical) + (0.1556 </w:t>
        <w:tab/>
        <w:t>imes P_</w:t>
        <w:tab/>
        <w:t xml:space="preserve">extWearable) + (0.0446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Anthropometric measurements (BMI, waist circumference) dominate adiposity assessment, while sedentary physical activity and gut dysbiosis indices (*Akkermansia muciniphila* depletion) provide important supplementary signals.</w:t>
      </w:r>
    </w:p>
    <w:p>
      <w:pPr>
        <w:pStyle w:val="Heading3"/>
        <w:spacing w:before="160" w:after="40"/>
      </w:pPr>
      <w:r>
        <w:rPr>
          <w:rFonts w:ascii="Arial" w:hAnsi="Arial"/>
          <w:b/>
          <w:color w:val="0F172A"/>
          <w:sz w:val="21"/>
        </w:rPr>
        <w:t>32.4 Metabolic Syndrome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+0.0743 + (1.0016 </w:t>
        <w:tab/>
        <w:t>imes P_</w:t>
        <w:tab/>
        <w:t xml:space="preserve">extClinical) + (0.0503 </w:t>
        <w:tab/>
        <w:t>imes P_</w:t>
        <w:tab/>
        <w:t xml:space="preserve">extWearable) + (0.0575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Clinical lipid panels (triglycerides, HDL) and blood pressure drive the diagnosis, with gut inflammatory indices providing secondary validation of systemic metabolic endotoxemia.</w:t>
      </w:r>
    </w:p>
    <w:p>
      <w:pPr>
        <w:pStyle w:val="Heading3"/>
        <w:spacing w:before="160" w:after="40"/>
      </w:pPr>
      <w:r>
        <w:rPr>
          <w:rFonts w:ascii="Arial" w:hAnsi="Arial"/>
          <w:b/>
          <w:color w:val="0F172A"/>
          <w:sz w:val="21"/>
        </w:rPr>
        <w:t>32.5 NAFLD / Fatty Liver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+0.1068 + (1.0831 </w:t>
        <w:tab/>
        <w:t>imes P_</w:t>
        <w:tab/>
        <w:t xml:space="preserve">extClinical) + (0.0524 </w:t>
        <w:tab/>
        <w:t>imes P_</w:t>
        <w:tab/>
        <w:t xml:space="preserve">extWearable) + (0.0000 </w:t>
        <w:tab/>
        <w:t>imes P_</w:t>
        <w:tab/>
        <w:t>extGut)</w:t>
      </w:r>
    </w:p>
    <w:p>
      <w:pPr>
        <w:spacing w:before="40" w:after="80"/>
      </w:pPr>
      <w:r>
        <w:rPr>
          <w:rFonts w:ascii="Arial" w:hAnsi="Arial"/>
          <w:color w:val="334155"/>
          <w:sz w:val="19"/>
        </w:rP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Hepatic transaminases (ALT, AST) and central visceral adiposity (waist circumference) provide the primary clinical signal for fatty liver risk.</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33: MULTIMODAL FUSION ALTERNATIVES &amp;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Fusion Architecture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Overall 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Handles Missing Modalities</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Learns Disease-Specific Modality Importance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Status in TeleMed AI v4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Probability Meta-Stacking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Optimal (Via 7-Pathway Routing)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 (Optimized per disease)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ACCEPTED AS FINAL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Soft Probability Averaging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 (Assumes equal 33.3% weight)</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(Suboptimal)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Hard Majority Voting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88.4%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No (Discards probability confidence)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(Information Loss)</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Early Feature Concatenation (82D)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91.2%</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0.884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Very Poor (Breaks on missing tests)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(Fragile)</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Deep Neural Fusion</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93.8%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Poor</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(High Memory Footprint)</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34: SHAPLEY VALUES &amp; EXPLAINABLE AI FUNDAMENTALS</w:t>
      </w:r>
    </w:p>
    <w:p>
      <w:pPr>
        <w:pStyle w:val="ListBullet"/>
        <w:spacing w:before="20" w:after="20"/>
      </w:pPr>
      <w:r>
        <w:rPr>
          <w:rFonts w:ascii="Arial" w:hAnsi="Arial"/>
          <w:color w:val="334155"/>
          <w:sz w:val="19"/>
        </w:rPr>
      </w:r>
      <w:r>
        <w:rPr>
          <w:rFonts w:ascii="Arial" w:hAnsi="Arial"/>
          <w:b/>
          <w:color w:val="0F172A"/>
          <w:sz w:val="19"/>
        </w:rPr>
        <w:t>What is SHAP?</w:t>
      </w:r>
      <w:r>
        <w:rPr>
          <w:rFonts w:ascii="Arial" w:hAnsi="Arial"/>
          <w:color w:val="334155"/>
          <w:sz w:val="19"/>
        </w:rPr>
        <w:t xml:space="preserve"> Grounded in cooperative game theory (Lloyd Shapley, Nobel Laureate in Economics), SHAP measures the fair marginal contribution of each biomarker to the final prediction across all possible biomarker combinations.</w:t>
      </w:r>
    </w:p>
    <w:p>
      <w:pPr>
        <w:pStyle w:val="ListBullet"/>
        <w:spacing w:before="20" w:after="20"/>
      </w:pPr>
      <w:r>
        <w:rPr>
          <w:rFonts w:ascii="Arial" w:hAnsi="Arial"/>
          <w:color w:val="334155"/>
          <w:sz w:val="19"/>
        </w:rPr>
      </w:r>
      <w:r>
        <w:rPr>
          <w:rFonts w:ascii="Arial" w:hAnsi="Arial"/>
          <w:b/>
          <w:color w:val="0F172A"/>
          <w:sz w:val="19"/>
        </w:rPr>
        <w:t>The Four Core Mathematical Axioms: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Efficiency:</w:t>
      </w:r>
      <w:r>
        <w:rPr>
          <w:rFonts w:ascii="Arial" w:hAnsi="Arial"/>
          <w:color w:val="334155"/>
          <w:sz w:val="19"/>
        </w:rPr>
        <w:t xml:space="preserve"> The sum of all feature attributions equals the difference between the model's output and the base expected value (∑ φ_i = f(x) - E[f(x)]).</w:t>
      </w:r>
    </w:p>
    <w:p>
      <w:pPr>
        <w:spacing w:before="40" w:after="80"/>
      </w:pPr>
      <w:r>
        <w:rPr>
          <w:rFonts w:ascii="Arial" w:hAnsi="Arial"/>
          <w:color w:val="334155"/>
          <w:sz w:val="19"/>
        </w:rPr>
        <w:t xml:space="preserve">2. </w:t>
      </w:r>
      <w:r>
        <w:rPr>
          <w:rFonts w:ascii="Arial" w:hAnsi="Arial"/>
          <w:b/>
          <w:color w:val="0F172A"/>
          <w:sz w:val="19"/>
        </w:rPr>
        <w:t>Symmetry:</w:t>
      </w:r>
      <w:r>
        <w:rPr>
          <w:rFonts w:ascii="Arial" w:hAnsi="Arial"/>
          <w:color w:val="334155"/>
          <w:sz w:val="19"/>
        </w:rPr>
        <w:t xml:space="preserve"> If two biomarkers contribute equally across all subsets, their Shapley values are identical.</w:t>
      </w:r>
    </w:p>
    <w:p>
      <w:pPr>
        <w:spacing w:before="40" w:after="80"/>
      </w:pPr>
      <w:r>
        <w:rPr>
          <w:rFonts w:ascii="Arial" w:hAnsi="Arial"/>
          <w:color w:val="334155"/>
          <w:sz w:val="19"/>
        </w:rPr>
        <w:t xml:space="preserve">3. </w:t>
      </w:r>
      <w:r>
        <w:rPr>
          <w:rFonts w:ascii="Arial" w:hAnsi="Arial"/>
          <w:b/>
          <w:color w:val="0F172A"/>
          <w:sz w:val="19"/>
        </w:rPr>
        <w:t>Dummy / Null Player:</w:t>
      </w:r>
      <w:r>
        <w:rPr>
          <w:rFonts w:ascii="Arial" w:hAnsi="Arial"/>
          <w:color w:val="334155"/>
          <w:sz w:val="19"/>
        </w:rPr>
        <w:t xml:space="preserve"> A biomarker that has zero impact on any prediction receives a Shapley value of exactly zero.</w:t>
      </w:r>
    </w:p>
    <w:p>
      <w:pPr>
        <w:spacing w:before="40" w:after="80"/>
      </w:pPr>
      <w:r>
        <w:rPr>
          <w:rFonts w:ascii="Arial" w:hAnsi="Arial"/>
          <w:color w:val="334155"/>
          <w:sz w:val="19"/>
        </w:rPr>
        <w:t xml:space="preserve">4. </w:t>
      </w:r>
      <w:r>
        <w:rPr>
          <w:rFonts w:ascii="Arial" w:hAnsi="Arial"/>
          <w:b/>
          <w:color w:val="0F172A"/>
          <w:sz w:val="19"/>
        </w:rPr>
        <w:t>Additivity:</w:t>
      </w:r>
      <w:r>
        <w:rPr>
          <w:rFonts w:ascii="Arial" w:hAnsi="Arial"/>
          <w:color w:val="334155"/>
          <w:sz w:val="19"/>
        </w:rPr>
        <w:t xml:space="preserve"> When combining independent ensemble models, the overall Shapley value is the sum of the individual model attributions.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35: UNIFIED TREESHAP ENGINE &amp; TOP BIOMARKER DRIVERS</w:t>
      </w:r>
    </w:p>
    <w:p>
      <w:pPr>
        <w:pStyle w:val="ListBullet"/>
        <w:spacing w:before="20" w:after="20"/>
      </w:pPr>
      <w:r>
        <w:rPr>
          <w:rFonts w:ascii="Arial" w:hAnsi="Arial"/>
          <w:color w:val="334155"/>
          <w:sz w:val="19"/>
        </w:rPr>
      </w:r>
      <w:r>
        <w:rPr>
          <w:rFonts w:ascii="Arial" w:hAnsi="Arial"/>
          <w:b/>
          <w:color w:val="0F172A"/>
          <w:sz w:val="19"/>
        </w:rPr>
        <w:t>Fast Polynomial TreeSHAP:</w:t>
      </w:r>
      <w:r>
        <w:rPr>
          <w:rFonts w:ascii="Arial" w:hAnsi="Arial"/>
          <w:color w:val="334155"/>
          <w:sz w:val="19"/>
        </w:rPr>
        <w:t xml:space="preserve"> TreeSHAP computes exact Shapley values across decision tree ensembles in polynomial time (O(TLD^2)), running in under 60 milliseconds per patient.</w:t>
      </w:r>
    </w:p>
    <w:p>
      <w:pPr>
        <w:pStyle w:val="ListBullet"/>
        <w:spacing w:before="20" w:after="20"/>
      </w:pPr>
      <w:r>
        <w:rPr>
          <w:rFonts w:ascii="Arial" w:hAnsi="Arial"/>
          <w:color w:val="334155"/>
          <w:sz w:val="19"/>
        </w:rPr>
      </w:r>
      <w:r>
        <w:rPr>
          <w:rFonts w:ascii="Arial" w:hAnsi="Arial"/>
          <w:b/>
          <w:color w:val="0F172A"/>
          <w:sz w:val="19"/>
        </w:rPr>
        <w:t>Top Biomarker Drivers Identified Across 5 Conditions: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positive driver, importance 0.1137), Waist Circumference (importance 0.0326), CGM Glucose CV (importance 0.0248).</w:t>
      </w:r>
    </w:p>
    <w:p>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(importance 0.0970), Heart Rate Variability RMSSD (importance 0.0369), Log Firmicutes/Bacteroidetes Ratio (importance 0.0239).</w:t>
      </w:r>
    </w:p>
    <w:p>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(importance 0.1422), Sedentary Time Minutes (importance 0.0720).</w:t>
      </w:r>
    </w:p>
    <w:p>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(importance 0.0326), CGM Glucose CV (importance 0.0504), Serum Triglycerides (importance 0.0164).</w:t>
      </w:r>
    </w:p>
    <w:p>
      <w:pPr>
        <w:spacing w:before="40" w:after="80"/>
      </w:pPr>
      <w:r>
        <w:rPr>
          <w:rFonts w:ascii="Arial" w:hAnsi="Arial"/>
          <w:color w:val="334155"/>
          <w:sz w:val="19"/>
        </w:rPr>
        <w:t xml:space="preserve">* </w:t>
      </w:r>
      <w:r>
        <w:rPr>
          <w:rFonts w:ascii="Arial" w:hAnsi="Arial"/>
          <w:b/>
          <w:color w:val="0F172A"/>
          <w:sz w:val="19"/>
        </w:rPr>
        <w:t>NAFLD (Fatty Liver):</w:t>
      </w:r>
      <w:r>
        <w:rPr>
          <w:rFonts w:ascii="Arial" w:hAnsi="Arial"/>
          <w:color w:val="334155"/>
          <w:sz w:val="19"/>
        </w:rPr>
        <w:t xml:space="preserve"> Waist Circumference (importance 0.0330), AST (Liver Enzyme, importance 0.0255), Inflammation Index (importance 0.0099).</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36: PERSONALIZED CLINICAL RECOMMENDATION PIPELINE</w:t>
      </w:r>
    </w:p>
    <w:p>
      <w:pPr>
        <w:spacing w:before="0" w:after="0"/>
        <w:ind w:left="432"/>
      </w:pPr>
      <w:r>
        <w:rPr>
          <w:rFonts w:ascii="Consolas" w:hAnsi="Consolas"/>
          <w:color w:val="1E293B"/>
          <w:sz w:val="17"/>
        </w:rPr>
        <w:t>[7-Pathway Model Risk Scores + Top TreeSHAP Feature Drivers]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[Patient Demographic Context (Age, Gender, Comorbidities)]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[In-Memory Vector Search over Official Clinical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[Structured Clinical Care Summary (Dietary, Exercise, Lab Follow-Up, Specialist Referral)]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37: MEDICAL RAG ARCHITECTURE &amp; VECTOR INDEXING</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RAG combines semantic vector similarity retrieval with structured clinical report templates.</w:t>
      </w:r>
    </w:p>
    <w:p>
      <w:pPr>
        <w:pStyle w:val="ListBullet"/>
        <w:spacing w:before="20" w:after="20"/>
      </w:pPr>
      <w:r>
        <w:rPr>
          <w:rFonts w:ascii="Arial" w:hAnsi="Arial"/>
          <w:color w:val="334155"/>
          <w:sz w:val="19"/>
        </w:rPr>
      </w:r>
      <w:r>
        <w:rPr>
          <w:rFonts w:ascii="Arial" w:hAnsi="Arial"/>
          <w:b/>
          <w:color w:val="0F172A"/>
          <w:sz w:val="19"/>
        </w:rPr>
        <w:t>Vector Index Engine:</w:t>
      </w:r>
      <w:r>
        <w:rPr>
          <w:rFonts w:ascii="Arial" w:hAnsi="Arial"/>
          <w:color w:val="334155"/>
          <w:sz w:val="19"/>
        </w:rPr>
        <w:t xml:space="preserve"> Implemented using normalized vector similarity search over embedded guideline text. Queries execute in under 15 milliseconds directly in backend memory with zero external API fees.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38: THE 5 OFFICIAL CLINICAL GUIDELINES &amp; 20 CHUNKS</w:t>
      </w:r>
    </w:p>
    <w:p>
      <w:pPr>
        <w:spacing w:before="40" w:after="80"/>
      </w:pPr>
      <w:r>
        <w:rPr>
          <w:rFonts w:ascii="Arial" w:hAnsi="Arial"/>
          <w:color w:val="334155"/>
          <w:sz w:val="19"/>
        </w:rPr>
        <w:t>The medical knowledge base is derived from 5 official clinical society guidelines partitioned into 20 verified chunks (`source_manifest.json`):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(Covers glycemic targets, HbA1c diagnostic cutoffs, continuous glucose monitoring metrics).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(Covers BMI classifications, waist circumference risk tiers, structured physical activity protocols).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(Covers hepatic steatosis screening, ALT/AST evaluation, dietary lifestyle interventions).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(Covers lipid targets, blood pressure management, cardiovascular risk reduction).</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(Covers gut microbiome modulation, short-chain fatty acid synthesis, prebiotic dietary fiber intake).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39: ANTI-HALLUCINATION GUARDRAILS &amp; STRICT CITATIONS</w:t>
      </w:r>
    </w:p>
    <w:p>
      <w:pPr>
        <w:pStyle w:val="ListBullet"/>
        <w:spacing w:before="20" w:after="20"/>
      </w:pPr>
      <w:r>
        <w:rPr>
          <w:rFonts w:ascii="Arial" w:hAnsi="Arial"/>
          <w:color w:val="334155"/>
          <w:sz w:val="19"/>
        </w:rPr>
      </w: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pPr>
        <w:pStyle w:val="ListBullet"/>
        <w:spacing w:before="20" w:after="20"/>
      </w:pPr>
      <w:r>
        <w:rPr>
          <w:rFonts w:ascii="Arial" w:hAnsi="Arial"/>
          <w:color w:val="334155"/>
          <w:sz w:val="19"/>
        </w:rPr>
      </w:r>
      <w:r>
        <w:rPr>
          <w:rFonts w:ascii="Arial" w:hAnsi="Arial"/>
          <w:b/>
          <w:color w:val="0F172A"/>
          <w:sz w:val="19"/>
        </w:rPr>
        <w:t>Explicit Citation Tags:</w:t>
      </w:r>
      <w:r>
        <w:rPr>
          <w:rFonts w:ascii="Arial" w:hAnsi="Arial"/>
          <w:color w:val="334155"/>
          <w:sz w:val="19"/>
        </w:rPr>
        <w:t xml:space="preserve"> Every recommendation displays an interactive source citation badge (e.g. `[Source: ADA-2024-Standards]`, `[Source: AASLD-2023-Guidance]`).</w:t>
      </w:r>
    </w:p>
    <w:p>
      <w:pPr>
        <w:pStyle w:val="ListBullet"/>
        <w:spacing w:before="20" w:after="20"/>
      </w:pPr>
      <w:r>
        <w:rPr>
          <w:rFonts w:ascii="Arial" w:hAnsi="Arial"/>
          <w:color w:val="334155"/>
          <w:sz w:val="19"/>
        </w:rPr>
      </w: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40: PATIENT PORTAL ARCHITECTURE &amp; SELF-SERVICE WORKFLOWS</w:t>
      </w:r>
    </w:p>
    <w:p>
      <w:pPr>
        <w:pStyle w:val="ListBullet"/>
        <w:spacing w:before="20" w:after="20"/>
      </w:pPr>
      <w:r>
        <w:rPr>
          <w:rFonts w:ascii="Arial" w:hAnsi="Arial"/>
          <w:color w:val="334155"/>
          <w:sz w:val="19"/>
        </w:rPr>
      </w: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pPr>
        <w:pStyle w:val="ListBullet"/>
        <w:spacing w:before="20" w:after="20"/>
      </w:pPr>
      <w:r>
        <w:rPr>
          <w:rFonts w:ascii="Arial" w:hAnsi="Arial"/>
          <w:color w:val="334155"/>
          <w:sz w:val="19"/>
        </w:rPr>
      </w: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pPr>
        <w:pStyle w:val="ListBullet"/>
        <w:spacing w:before="20" w:after="20"/>
      </w:pPr>
      <w:r>
        <w:rPr>
          <w:rFonts w:ascii="Arial" w:hAnsi="Arial"/>
          <w:color w:val="334155"/>
          <w:sz w:val="19"/>
        </w:rPr>
      </w: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pPr>
        <w:pStyle w:val="ListBullet"/>
        <w:spacing w:before="20" w:after="20"/>
      </w:pPr>
      <w:r>
        <w:rPr>
          <w:rFonts w:ascii="Arial" w:hAnsi="Arial"/>
          <w:color w:val="334155"/>
          <w:sz w:val="19"/>
        </w:rPr>
      </w: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pPr>
        <w:pStyle w:val="ListBullet"/>
        <w:spacing w:before="20" w:after="20"/>
      </w:pPr>
      <w:r>
        <w:rPr>
          <w:rFonts w:ascii="Arial" w:hAnsi="Arial"/>
          <w:color w:val="334155"/>
          <w:sz w:val="19"/>
        </w:rPr>
      </w: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pPr>
        <w:pStyle w:val="ListBullet"/>
        <w:spacing w:before="20" w:after="20"/>
      </w:pPr>
      <w:r>
        <w:rPr>
          <w:rFonts w:ascii="Arial" w:hAnsi="Arial"/>
          <w:color w:val="334155"/>
          <w:sz w:val="19"/>
        </w:rPr>
      </w:r>
      <w:r>
        <w:rPr>
          <w:rFonts w:ascii="Arial" w:hAnsi="Arial"/>
          <w:b/>
          <w:color w:val="0F172A"/>
          <w:sz w:val="19"/>
        </w:rPr>
        <w:t>Secure Telemedicine Messaging:</w:t>
      </w:r>
      <w:r>
        <w:rPr>
          <w:rFonts w:ascii="Arial" w:hAnsi="Arial"/>
          <w:color w:val="334155"/>
          <w:sz w:val="19"/>
        </w:rPr>
        <w:t xml:space="preserve"> Chat directly with assigned physicians.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41: DOCTOR PORTAL ARCHITECTURE &amp; CLINICAL WORKSPACE</w:t>
      </w:r>
    </w:p>
    <w:p>
      <w:pPr>
        <w:pStyle w:val="ListBullet"/>
        <w:spacing w:before="20" w:after="20"/>
      </w:pPr>
      <w:r>
        <w:rPr>
          <w:rFonts w:ascii="Arial" w:hAnsi="Arial"/>
          <w:color w:val="334155"/>
          <w:sz w:val="19"/>
        </w:rPr>
      </w: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pPr>
        <w:pStyle w:val="ListBullet"/>
        <w:spacing w:before="20" w:after="20"/>
      </w:pPr>
      <w:r>
        <w:rPr>
          <w:rFonts w:ascii="Arial" w:hAnsi="Arial"/>
          <w:color w:val="334155"/>
          <w:sz w:val="19"/>
        </w:rPr>
      </w: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pPr>
        <w:pStyle w:val="ListBullet"/>
        <w:spacing w:before="20" w:after="20"/>
      </w:pPr>
      <w:r>
        <w:rPr>
          <w:rFonts w:ascii="Arial" w:hAnsi="Arial"/>
          <w:color w:val="334155"/>
          <w:sz w:val="19"/>
        </w:rPr>
      </w: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42: ADMIN PORTAL &amp; GOVERNANCE DASHBOARD</w:t>
      </w:r>
    </w:p>
    <w:p>
      <w:pPr>
        <w:pStyle w:val="ListBullet"/>
        <w:spacing w:before="20" w:after="20"/>
      </w:pPr>
      <w:r>
        <w:rPr>
          <w:rFonts w:ascii="Arial" w:hAnsi="Arial"/>
          <w:color w:val="334155"/>
          <w:sz w:val="19"/>
        </w:rPr>
      </w: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pPr>
        <w:pStyle w:val="ListBullet"/>
        <w:spacing w:before="20" w:after="20"/>
      </w:pPr>
      <w:r>
        <w:rPr>
          <w:rFonts w:ascii="Arial" w:hAnsi="Arial"/>
          <w:color w:val="334155"/>
          <w:sz w:val="19"/>
        </w:rPr>
      </w: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pPr>
        <w:pStyle w:val="ListBullet"/>
        <w:spacing w:before="20" w:after="20"/>
      </w:pPr>
      <w:r>
        <w:rPr>
          <w:rFonts w:ascii="Arial" w:hAnsi="Arial"/>
          <w:color w:val="334155"/>
          <w:sz w:val="19"/>
        </w:rPr>
      </w: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43: APPOINTMENT SCHEDULING &amp; CONFLICT PREVENTION</w:t>
      </w:r>
    </w:p>
    <w:p>
      <w:pPr>
        <w:pStyle w:val="ListBullet"/>
        <w:spacing w:before="20" w:after="20"/>
      </w:pPr>
      <w:r>
        <w:rPr>
          <w:rFonts w:ascii="Arial" w:hAnsi="Arial"/>
          <w:color w:val="334155"/>
          <w:sz w:val="19"/>
        </w:rPr>
      </w: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pPr>
        <w:pStyle w:val="ListBullet"/>
        <w:spacing w:before="20" w:after="20"/>
      </w:pPr>
      <w:r>
        <w:rPr>
          <w:rFonts w:ascii="Arial" w:hAnsi="Arial"/>
          <w:color w:val="334155"/>
          <w:sz w:val="19"/>
        </w:rPr>
      </w: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44: CONSULTATION LIFECYCLE STATE MACHINE</w:t>
      </w:r>
    </w:p>
    <w:p>
      <w:pPr>
        <w:pStyle w:val="ListBullet"/>
        <w:spacing w:before="20" w:after="20"/>
      </w:pPr>
      <w:r>
        <w:rPr>
          <w:rFonts w:ascii="Arial" w:hAnsi="Arial"/>
          <w:color w:val="334155"/>
          <w:sz w:val="19"/>
        </w:rPr>
      </w: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pPr>
        <w:pStyle w:val="ListBullet"/>
        <w:spacing w:before="20" w:after="20"/>
      </w:pPr>
      <w:r>
        <w:rPr>
          <w:rFonts w:ascii="Arial" w:hAnsi="Arial"/>
          <w:color w:val="334155"/>
          <w:sz w:val="19"/>
        </w:rPr>
      </w: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45: SECURE IN-APP MESSAGING &amp; PRIVACY ISOLATION</w:t>
      </w:r>
    </w:p>
    <w:p>
      <w:pPr>
        <w:pStyle w:val="ListBullet"/>
        <w:spacing w:before="20" w:after="20"/>
      </w:pPr>
      <w:r>
        <w:rPr>
          <w:rFonts w:ascii="Arial" w:hAnsi="Arial"/>
          <w:color w:val="334155"/>
          <w:sz w:val="19"/>
        </w:rPr>
      </w: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pPr>
        <w:pStyle w:val="ListBullet"/>
        <w:spacing w:before="20" w:after="20"/>
      </w:pPr>
      <w:r>
        <w:rPr>
          <w:rFonts w:ascii="Arial" w:hAnsi="Arial"/>
          <w:color w:val="334155"/>
          <w:sz w:val="19"/>
        </w:rPr>
      </w: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pPr>
        <w:pStyle w:val="Heading1"/>
        <w:spacing w:before="280" w:after="120"/>
      </w:pPr>
      <w:r>
        <w:rPr>
          <w:rFonts w:ascii="Arial" w:hAnsi="Arial"/>
          <w:b/>
          <w:color w:val="1E3A8A"/>
          <w:sz w:val="30"/>
        </w:rPr>
        <w:t>SECTION 46: AI HEALTH COPILOT ASSISTANT &amp; SAFETY GUARDRAILS</w:t>
      </w:r>
    </w:p>
    <w:p>
      <w:pPr>
        <w:pStyle w:val="ListBullet"/>
        <w:spacing w:before="20" w:after="20"/>
      </w:pPr>
      <w:r>
        <w:rPr>
          <w:rFonts w:ascii="Arial" w:hAnsi="Arial"/>
          <w:color w:val="334155"/>
          <w:sz w:val="19"/>
        </w:rPr>
      </w:r>
      <w:r>
        <w:rPr>
          <w:rFonts w:ascii="Arial" w:hAnsi="Arial"/>
          <w:b/>
          <w:color w:val="0F172A"/>
          <w:sz w:val="19"/>
        </w:rPr>
        <w:t>Core Role &amp; Capability:</w:t>
      </w:r>
      <w:r>
        <w:rPr>
          <w:rFonts w:ascii="Arial" w:hAnsi="Arial"/>
          <w:color w:val="334155"/>
          <w:sz w:val="19"/>
        </w:rPr>
        <w:t xml:space="preserve"> The AI Health Copilot is an interactive conversational assistant integrated into the Patient Portal. It assists patients by explaining medical biomarker terminology in accessible language (e.g. explaining the difference between fasting glucose and HbA1c, or interpreting the Shannon diversity index), answering lifestyle modification questions, and preparing questions for doctor consultations.</w:t>
      </w:r>
    </w:p>
    <w:p>
      <w:pPr>
        <w:pStyle w:val="ListBullet"/>
        <w:spacing w:before="20" w:after="20"/>
      </w:pPr>
      <w:r>
        <w:rPr>
          <w:rFonts w:ascii="Arial" w:hAnsi="Arial"/>
          <w:color w:val="334155"/>
          <w:sz w:val="19"/>
        </w:rPr>
      </w:r>
      <w:r>
        <w:rPr>
          <w:rFonts w:ascii="Arial" w:hAnsi="Arial"/>
          <w:b/>
          <w:color w:val="0F172A"/>
          <w:sz w:val="19"/>
        </w:rPr>
        <w:t>Hard-Coded Safety Boundaries: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Non-Prescriptive Rule:</w:t>
      </w:r>
      <w:r>
        <w:rPr>
          <w:rFonts w:ascii="Arial" w:hAnsi="Arial"/>
          <w:color w:val="334155"/>
          <w:sz w:val="19"/>
        </w:rPr>
        <w:t xml:space="preserve"> The copilot cannot recommend specific pharmaceutical drug dosages or initiate medications.</w:t>
      </w:r>
    </w:p>
    <w:p>
      <w:pPr>
        <w:spacing w:before="40" w:after="80"/>
      </w:pPr>
      <w:r>
        <w:rPr>
          <w:rFonts w:ascii="Arial" w:hAnsi="Arial"/>
          <w:color w:val="334155"/>
          <w:sz w:val="19"/>
        </w:rPr>
        <w:t xml:space="preserve">2. </w:t>
      </w:r>
      <w:r>
        <w:rPr>
          <w:rFonts w:ascii="Arial" w:hAnsi="Arial"/>
          <w:b/>
          <w:color w:val="0F172A"/>
          <w:sz w:val="19"/>
        </w:rPr>
        <w:t>Non-Diagnostic Rule:</w:t>
      </w:r>
      <w:r>
        <w:rPr>
          <w:rFonts w:ascii="Arial" w:hAnsi="Arial"/>
          <w:color w:val="334155"/>
          <w:sz w:val="19"/>
        </w:rPr>
        <w:t xml:space="preserve"> The copilot cannot state definitive medical diagnoses; all outputs are phrased as probabilistic risk factors.</w:t>
      </w:r>
    </w:p>
    <w:p>
      <w:pPr>
        <w:spacing w:before="40" w:after="80"/>
      </w:pPr>
      <w:r>
        <w:rPr>
          <w:rFonts w:ascii="Arial" w:hAnsi="Arial"/>
          <w:color w:val="334155"/>
          <w:sz w:val="19"/>
        </w:rPr>
        <w:t xml:space="preserve">3. </w:t>
      </w:r>
      <w:r>
        <w:rPr>
          <w:rFonts w:ascii="Arial" w:hAnsi="Arial"/>
          <w:b/>
          <w:color w:val="0F172A"/>
          <w:sz w:val="19"/>
        </w:rPr>
        <w:t>Physician Referral Trigger:</w:t>
      </w:r>
      <w:r>
        <w:rPr>
          <w:rFonts w:ascii="Arial" w:hAnsi="Arial"/>
          <w:color w:val="334155"/>
          <w:sz w:val="19"/>
        </w:rPr>
        <w:t xml:space="preserve"> Any query regarding severe acute symptoms (e.g. chest pain, severe hypoglycemia) triggers an immediate emergency triage notice directing the patient to seek urgent medical care.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47: DATABASE ARCHITECTURE &amp; RELATIONAL ENTITIES (POSTGRESQL 17)</w:t>
      </w:r>
    </w:p>
    <w:p>
      <w:pPr>
        <w:spacing w:before="40" w:after="80"/>
      </w:pPr>
      <w:r>
        <w:rPr>
          <w:rFonts w:ascii="Arial" w:hAnsi="Arial"/>
          <w:color w:val="334155"/>
          <w:sz w:val="19"/>
        </w:rPr>
        <w:t xml:space="preserve">The persistent backend data store is powered by </w:t>
      </w:r>
      <w:r>
        <w:rPr>
          <w:rFonts w:ascii="Arial" w:hAnsi="Arial"/>
          <w:b/>
          <w:color w:val="0F172A"/>
          <w:sz w:val="19"/>
        </w:rPr>
        <w:t>PostgreSQL 17 hosted on Neon Serverless Cloud</w:t>
      </w:r>
      <w:r>
        <w:rPr>
          <w:rFonts w:ascii="Arial" w:hAnsi="Arial"/>
          <w:color w:val="334155"/>
          <w:sz w:val="19"/>
        </w:rPr>
        <w:t>, structured into 10 relational entities:</w:t>
      </w:r>
    </w:p>
    <w:p>
      <w:pPr>
        <w:spacing w:before="0" w:after="0"/>
        <w:ind w:left="432"/>
      </w:pPr>
      <w:r>
        <w:rPr>
          <w:rFonts w:ascii="Consolas" w:hAnsi="Consolas"/>
          <w:color w:val="1E293B"/>
          <w:sz w:val="17"/>
        </w:rPr>
        <w:t>┌─────────────────┐       1:1       ┌──────────────────────┐</w:t>
      </w:r>
    </w:p>
    <w:p>
      <w:pPr>
        <w:spacing w:before="0" w:after="0"/>
        <w:ind w:left="432"/>
      </w:pPr>
      <w:r>
        <w:rPr>
          <w:rFonts w:ascii="Consolas" w:hAnsi="Consolas"/>
          <w:color w:val="1E293B"/>
          <w:sz w:val="17"/>
        </w:rPr>
        <w:t>│      users      ├─────────────────┤   patient_profiles   │</w:t>
      </w:r>
    </w:p>
    <w:p>
      <w:pPr>
        <w:spacing w:before="0" w:after="0"/>
        <w:ind w:left="432"/>
      </w:pPr>
      <w:r>
        <w:rPr>
          <w:rFonts w:ascii="Consolas" w:hAnsi="Consolas"/>
          <w:color w:val="1E293B"/>
          <w:sz w:val="17"/>
        </w:rPr>
        <w:t>│  (id, email,    │                 │  (id, user_id, age,  │</w:t>
      </w:r>
    </w:p>
    <w:p>
      <w:pPr>
        <w:spacing w:before="0" w:after="0"/>
        <w:ind w:left="432"/>
      </w:pPr>
      <w:r>
        <w:rPr>
          <w:rFonts w:ascii="Consolas" w:hAnsi="Consolas"/>
          <w:color w:val="1E293B"/>
          <w:sz w:val="17"/>
        </w:rPr>
        <w:t>│   role, hashed) │                 │   gender, contact)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 1:N</w:t>
      </w:r>
    </w:p>
    <w:p>
      <w:pPr>
        <w:spacing w:before="0" w:after="0"/>
        <w:ind w:left="432"/>
      </w:pPr>
      <w:r>
        <w:rPr>
          <w:rFonts w:ascii="Consolas" w:hAnsi="Consolas"/>
          <w:color w:val="1E293B"/>
          <w:sz w:val="17"/>
        </w:rPr>
        <w:t xml:space="preserve">         │ 1:1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    health_records    │</w:t>
      </w:r>
    </w:p>
    <w:p>
      <w:pPr>
        <w:spacing w:before="0" w:after="0"/>
        <w:ind w:left="432"/>
      </w:pPr>
      <w:r>
        <w:rPr>
          <w:rFonts w:ascii="Consolas" w:hAnsi="Consolas"/>
          <w:color w:val="1E293B"/>
          <w:sz w:val="17"/>
        </w:rPr>
        <w:t>┌─────────────────┐                 │ (id, patient_id,     │</w:t>
      </w:r>
    </w:p>
    <w:p>
      <w:pPr>
        <w:spacing w:before="0" w:after="0"/>
        <w:ind w:left="432"/>
      </w:pPr>
      <w:r>
        <w:rPr>
          <w:rFonts w:ascii="Consolas" w:hAnsi="Consolas"/>
          <w:color w:val="1E293B"/>
          <w:sz w:val="17"/>
        </w:rPr>
        <w:t>│ doctor_profiles │                 │  biomarkers, risks)  │</w:t>
      </w:r>
    </w:p>
    <w:p>
      <w:pPr>
        <w:spacing w:before="0" w:after="0"/>
        <w:ind w:left="432"/>
      </w:pPr>
      <w:r>
        <w:rPr>
          <w:rFonts w:ascii="Consolas" w:hAnsi="Consolas"/>
          <w:color w:val="1E293B"/>
          <w:sz w:val="17"/>
        </w:rPr>
        <w:t>│ (id, user_id,   │                 └──────────────────────┘</w:t>
      </w:r>
    </w:p>
    <w:p>
      <w:pPr>
        <w:spacing w:before="0" w:after="0"/>
        <w:ind w:left="432"/>
      </w:pPr>
      <w:r>
        <w:rPr>
          <w:rFonts w:ascii="Consolas" w:hAnsi="Consolas"/>
          <w:color w:val="1E293B"/>
          <w:sz w:val="17"/>
        </w:rPr>
        <w:t>│  license, spec)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1:N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consultations   │</w:t>
      </w:r>
    </w:p>
    <w:p>
      <w:pPr>
        <w:spacing w:before="0" w:after="0"/>
        <w:ind w:left="432"/>
      </w:pPr>
      <w:r>
        <w:rPr>
          <w:rFonts w:ascii="Consolas" w:hAnsi="Consolas"/>
          <w:color w:val="1E293B"/>
          <w:sz w:val="17"/>
        </w:rPr>
        <w:t xml:space="preserve">                   │ (id, patient_id,  │</w:t>
      </w:r>
    </w:p>
    <w:p>
      <w:pPr>
        <w:spacing w:before="0" w:after="0"/>
        <w:ind w:left="432"/>
      </w:pPr>
      <w:r>
        <w:rPr>
          <w:rFonts w:ascii="Consolas" w:hAnsi="Consolas"/>
          <w:color w:val="1E293B"/>
          <w:sz w:val="17"/>
        </w:rPr>
        <w:t xml:space="preserve">                   │  doctor_id, state)│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1:N │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appointments   │   │    messages     │</w:t>
      </w:r>
    </w:p>
    <w:p>
      <w:pPr>
        <w:spacing w:before="0" w:after="0"/>
        <w:ind w:left="432"/>
      </w:pPr>
      <w:r>
        <w:rPr>
          <w:rFonts w:ascii="Consolas" w:hAnsi="Consolas"/>
          <w:color w:val="1E293B"/>
          <w:sz w:val="17"/>
        </w:rPr>
        <w:t xml:space="preserve">         │ (id, slot_time, │   │ (id, sender_id, │</w:t>
      </w:r>
    </w:p>
    <w:p>
      <w:pPr>
        <w:spacing w:before="0" w:after="0"/>
        <w:ind w:left="432"/>
      </w:pPr>
      <w:r>
        <w:rPr>
          <w:rFonts w:ascii="Consolas" w:hAnsi="Consolas"/>
          <w:color w:val="1E293B"/>
          <w:sz w:val="17"/>
        </w:rPr>
        <w:t xml:space="preserve">         │  status, notes) │   │  content, time) │</w:t>
      </w:r>
    </w:p>
    <w:p>
      <w:pPr>
        <w:spacing w:before="0" w:after="0"/>
        <w:ind w:left="432"/>
      </w:pPr>
      <w:r>
        <w:rPr>
          <w:rFonts w:ascii="Consolas" w:hAnsi="Consolas"/>
          <w:color w:val="1E293B"/>
          <w:sz w:val="17"/>
        </w:rPr>
        <w:t xml:space="preserve">         └─────────────────┘   └─────────────────┘</w:t>
      </w:r>
    </w:p>
    <w:p>
      <w:pPr>
        <w:pStyle w:val="Heading3"/>
        <w:spacing w:before="160" w:after="40"/>
      </w:pPr>
      <w:r>
        <w:rPr>
          <w:rFonts w:ascii="Arial" w:hAnsi="Arial"/>
          <w:b/>
          <w:color w:val="0F172A"/>
          <w:sz w:val="21"/>
        </w:rPr>
        <w:t>Relational Table Definitions:</w:t>
      </w:r>
    </w:p>
    <w:p>
      <w:pPr>
        <w:spacing w:before="40" w:after="80"/>
      </w:pPr>
      <w:r>
        <w:rPr>
          <w:rFonts w:ascii="Arial" w:hAnsi="Arial"/>
          <w:color w:val="334155"/>
          <w:sz w:val="19"/>
        </w:rPr>
        <w:t>1. `users`: Stores account credentials, bcrypt password hashes, and user roles (`PATIENT`, `DOCTOR`, `ADMIN`).</w:t>
      </w:r>
    </w:p>
    <w:p>
      <w:pPr>
        <w:spacing w:before="40" w:after="80"/>
      </w:pPr>
      <w:r>
        <w:rPr>
          <w:rFonts w:ascii="Arial" w:hAnsi="Arial"/>
          <w:color w:val="334155"/>
          <w:sz w:val="19"/>
        </w:rPr>
        <w:t>2. `patient_profiles`: Stores patient demographics (age, gender, contact details) linked 1:1 with `users`.</w:t>
      </w:r>
    </w:p>
    <w:p>
      <w:pPr>
        <w:spacing w:before="40" w:after="80"/>
      </w:pPr>
      <w:r>
        <w:rPr>
          <w:rFonts w:ascii="Arial" w:hAnsi="Arial"/>
          <w:color w:val="334155"/>
          <w:sz w:val="19"/>
        </w:rPr>
        <w:t>3. `doctor_profiles`: Stores medical specialty, license number, and verification state (`PENDING`, `VERIFIED`, `REJECTED`).</w:t>
      </w:r>
    </w:p>
    <w:p>
      <w:pPr>
        <w:spacing w:before="40" w:after="80"/>
      </w:pPr>
      <w:r>
        <w:rPr>
          <w:rFonts w:ascii="Arial" w:hAnsi="Arial"/>
          <w:color w:val="334155"/>
          <w:sz w:val="19"/>
        </w:rPr>
        <w:t>4. `doctor_documents`: Stores uploaded medical license files (PDF/JPG) for administrative review.</w:t>
      </w:r>
    </w:p>
    <w:p>
      <w:pPr>
        <w:spacing w:before="40" w:after="80"/>
      </w:pPr>
      <w:r>
        <w:rPr>
          <w:rFonts w:ascii="Arial" w:hAnsi="Arial"/>
          <w:color w:val="334155"/>
          <w:sz w:val="19"/>
        </w:rPr>
        <w:t>5. `health_records`: Stores immutable patient biomarker records, 7-pathway predictions, and TreeSHAP risk snapshots.</w:t>
      </w:r>
    </w:p>
    <w:p>
      <w:pPr>
        <w:spacing w:before="40" w:after="80"/>
      </w:pPr>
      <w:r>
        <w:rPr>
          <w:rFonts w:ascii="Arial" w:hAnsi="Arial"/>
          <w:color w:val="334155"/>
          <w:sz w:val="19"/>
        </w:rPr>
        <w:t>6. `consultations`: Manages the consultation workflow state machine between patients and doctors.</w:t>
      </w:r>
    </w:p>
    <w:p>
      <w:pPr>
        <w:spacing w:before="40" w:after="80"/>
      </w:pPr>
      <w:r>
        <w:rPr>
          <w:rFonts w:ascii="Arial" w:hAnsi="Arial"/>
          <w:color w:val="334155"/>
          <w:sz w:val="19"/>
        </w:rPr>
        <w:t>7. `appointments`: Tracks scheduled calendar slots, doctor assignments, and appointment statuses.</w:t>
      </w:r>
    </w:p>
    <w:p>
      <w:pPr>
        <w:spacing w:before="40" w:after="80"/>
      </w:pPr>
      <w:r>
        <w:rPr>
          <w:rFonts w:ascii="Arial" w:hAnsi="Arial"/>
          <w:color w:val="334155"/>
          <w:sz w:val="19"/>
        </w:rPr>
        <w:t>8. `messages`: Stores encrypted consultation chat messages.</w:t>
      </w:r>
    </w:p>
    <w:p>
      <w:pPr>
        <w:spacing w:before="40" w:after="80"/>
      </w:pPr>
      <w:r>
        <w:rPr>
          <w:rFonts w:ascii="Arial" w:hAnsi="Arial"/>
          <w:color w:val="334155"/>
          <w:sz w:val="19"/>
        </w:rPr>
        <w:t>9. `notifications`: Stores real-time in-app user notifications.</w:t>
      </w:r>
    </w:p>
    <w:p>
      <w:pPr>
        <w:spacing w:before="40" w:after="80"/>
      </w:pPr>
      <w:r>
        <w:rPr>
          <w:rFonts w:ascii="Arial" w:hAnsi="Arial"/>
          <w:color w:val="334155"/>
          <w:sz w:val="19"/>
        </w:rPr>
        <w:t>10. `audit_events`: Stores cryptographic, hash-chained security and administrative audit logs.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48: API ARCHITECTURE &amp; MASTER REST ENDPOINTS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HTTP Method</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API Endpoint Route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Access Role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Description &amp; Functionality</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 / /api/health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health check (returns HTTP 200 with service status)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/api/v1/auth/register/patient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Registers a new patient account and returns a JWT session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/api/v1/auth/register/doctor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Registers a new medical specialist account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/api/v1/auth/login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Authenticates credentials and returns a signed JWT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/api/v1/intake/upload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Uploads and extracts biomarker data from medical lab documents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/api/v1/intake/confirm</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Confirms extracted biomarkers and locks the intake session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/api/v1/predict/analyze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Executes 7-pathway ML risk prediction across 5 metabolic conditions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/api/v1/xai/explain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Computes TreeSHAP feature attributions and biomarker drivers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/api/v1/rag/report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Generates personalized health summary citing clinical guidelines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patient's personal health records vault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Authenticated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Lists all consultations for the authenticated user</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Initiates a new doctor consultation request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/api/v1/consultations/:id/messages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Participant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Sends a message in an active consultation chat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/api/v1/admin/audit-logs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tamper-evident security and administrative audit log</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/api/v1/admin/doctor-applications/:id/transition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Approves or rejects doctor credentials with audit logging</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49: SECURITY, GOVERNANCE &amp; ROLE-BASED ACCESS CONTROL (RBAC)</w:t>
      </w:r>
    </w:p>
    <w:p>
      <w:pPr>
        <w:pStyle w:val="Heading3"/>
        <w:spacing w:before="160" w:after="40"/>
      </w:pPr>
      <w:r>
        <w:rPr>
          <w:rFonts w:ascii="Arial" w:hAnsi="Arial"/>
          <w:b/>
          <w:color w:val="0F172A"/>
          <w:sz w:val="21"/>
        </w:rPr>
        <w:t>49.1 Role-Based Access Control (RBAC)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Platform Feature / Endpoint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Unauthenticated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Patient Role (`PATIENT`)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Doctor Role (`DOCTOR`)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Admin Role (`ADMIN`)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Public Landing &amp; Information Pages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Register &amp; Login Endpoints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Run 7-Pathway ML Predictions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Personal Health Records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(Doctor Queue)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(Privacy Isolation)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Access Another User's Record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(IDOR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(If Assigned)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Book Specialist Appointment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Upload Doctor License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Access Doctor Workspace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(If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Approve Doctor Credentials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Only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System Audit Ledger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Only</w:t>
            </w:r>
          </w:p>
        </w:tc>
      </w:tr>
    </w:tbl>
    <w:p>
      <w:pPr>
        <w:spacing w:after="120"/>
      </w:pPr>
    </w:p>
    <w:p>
      <w:pPr>
        <w:pStyle w:val="Heading3"/>
        <w:spacing w:before="160" w:after="40"/>
      </w:pPr>
      <w:r>
        <w:rPr>
          <w:rFonts w:ascii="Arial" w:hAnsi="Arial"/>
          <w:b/>
          <w:color w:val="0F172A"/>
          <w:sz w:val="21"/>
        </w:rPr>
        <w:t>49.2 Insecure Direct Object Reference (IDOR) Defense</w:t>
      </w:r>
    </w:p>
    <w:p>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50: COMPLETE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Layer</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Technology</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Purpose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Advantages &amp; Key Decisions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UI</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React 18 (Vite 5.4)</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User Interface &amp; Dashboards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Fast Virtual DOM, modular components, responsive styling</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API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FastAPI (Python 3.11)</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Asynchronous REST Service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High performance, automated OpenAPI docs, native async/await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Machine Learning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Scikit-Learn, XGBoost, CatBoost, LightGBM</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7-Pathway Expert Models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High tabular classification accuracy, fast inference (&lt;55ms)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Explainable AI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TreeSHAP</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Biomarker Driver Attribution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Exact polynomial-time Shapley values, transparent visual charts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Vector Database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In-Memory Vector Search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Guideline Evidence Retrieval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Sub-15ms search, zero external API costs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Primary Database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PostgreSQL 17 (Neon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Relational Persistence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Full ACID compliance, connection pooling, automated backups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Cloud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Vercel Edge Network</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Frontend Hosting &amp; CDN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Global CDN, instant continuous deployment, proxy rewrites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Render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Backend Web Hosting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Automatic GitHub CI/CD, isolated environment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Total Cloud Cost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Zero Cost Architecture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Hosting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0.00 USD / month operating expense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51: TECHNOLOGY ALTERNATIVES &amp; ARCHITECTURAL TRADE-OFFS</w:t>
      </w:r>
    </w:p>
    <w:p>
      <w:pPr>
        <w:pStyle w:val="ListBullet"/>
        <w:spacing w:before="20" w:after="20"/>
      </w:pPr>
      <w:r>
        <w:rPr>
          <w:rFonts w:ascii="Arial" w:hAnsi="Arial"/>
          <w:color w:val="334155"/>
          <w:sz w:val="19"/>
        </w:rPr>
      </w: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pPr>
        <w:pStyle w:val="ListBullet"/>
        <w:spacing w:before="20" w:after="20"/>
      </w:pPr>
      <w:r>
        <w:rPr>
          <w:rFonts w:ascii="Arial" w:hAnsi="Arial"/>
          <w:color w:val="334155"/>
          <w:sz w:val="19"/>
        </w:rPr>
      </w:r>
      <w:r>
        <w:rPr>
          <w:rFonts w:ascii="Arial" w:hAnsi="Arial"/>
          <w:b/>
          <w:color w:val="0F172A"/>
          <w:sz w:val="19"/>
        </w:rPr>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pPr>
        <w:pStyle w:val="ListBullet"/>
        <w:spacing w:before="20" w:after="20"/>
      </w:pPr>
      <w:r>
        <w:rPr>
          <w:rFonts w:ascii="Arial" w:hAnsi="Arial"/>
          <w:color w:val="334155"/>
          <w:sz w:val="19"/>
        </w:rPr>
      </w: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52: DOCKER &amp; CONTAINERIZATION TOPOLOGY</w:t>
      </w:r>
    </w:p>
    <w:p>
      <w:pPr>
        <w:spacing w:before="40" w:after="80"/>
      </w:pPr>
      <w:r>
        <w:rPr>
          <w:rFonts w:ascii="Arial" w:hAnsi="Arial"/>
          <w:color w:val="334155"/>
          <w:sz w:val="19"/>
        </w:rPr>
        <w:t>The application includes production-ready container definitions:</w:t>
      </w:r>
    </w:p>
    <w:p>
      <w:pPr>
        <w:pStyle w:val="ListBullet"/>
        <w:spacing w:before="20" w:after="20"/>
      </w:pPr>
      <w:r>
        <w:rPr>
          <w:rFonts w:ascii="Arial" w:hAnsi="Arial"/>
          <w:color w:val="334155"/>
          <w:sz w:val="19"/>
        </w:rPr>
        <w:t>`app/backend/Dockerfile`: Multi-stage Python 3.11-slim container with non-root security execution.</w:t>
      </w:r>
    </w:p>
    <w:p>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53: PRODUCTION CLOUD DEPLOYMENT ARCHITECTURE</w:t>
      </w:r>
    </w:p>
    <w:p>
      <w:pPr>
        <w:spacing w:before="40" w:after="80"/>
      </w:pPr>
      <w:r>
        <w:rPr>
          <w:rFonts w:ascii="Arial" w:hAnsi="Arial"/>
          <w:color w:val="334155"/>
          <w:sz w:val="19"/>
        </w:rPr>
        <w:t>The system is live and accessible online:</w:t>
      </w:r>
    </w:p>
    <w:p>
      <w:pPr>
        <w:pStyle w:val="ListBullet"/>
        <w:spacing w:before="20" w:after="20"/>
      </w:pPr>
      <w:r>
        <w:rPr>
          <w:rFonts w:ascii="Arial" w:hAnsi="Arial"/>
          <w:color w:val="334155"/>
          <w:sz w:val="19"/>
        </w:rPr>
      </w:r>
      <w:r>
        <w:rPr>
          <w:rFonts w:ascii="Arial" w:hAnsi="Arial"/>
          <w:b/>
          <w:color w:val="0F172A"/>
          <w:sz w:val="19"/>
        </w:rPr>
        <w:t>Live Frontend URL:</w:t>
      </w:r>
      <w:r>
        <w:rPr>
          <w:rFonts w:ascii="Arial" w:hAnsi="Arial"/>
          <w:color w:val="334155"/>
          <w:sz w:val="19"/>
        </w:rPr>
        <w:t xml:space="preserve"> [https://tele-med-omega.vercel.app](https://tele-med-omega.vercel.app)</w:t>
      </w:r>
    </w:p>
    <w:p>
      <w:pPr>
        <w:pStyle w:val="ListBullet"/>
        <w:spacing w:before="20" w:after="20"/>
      </w:pPr>
      <w:r>
        <w:rPr>
          <w:rFonts w:ascii="Arial" w:hAnsi="Arial"/>
          <w:color w:val="334155"/>
          <w:sz w:val="19"/>
        </w:rPr>
      </w:r>
      <w:r>
        <w:rPr>
          <w:rFonts w:ascii="Arial" w:hAnsi="Arial"/>
          <w:b/>
          <w:color w:val="0F172A"/>
          <w:sz w:val="19"/>
        </w:rPr>
        <w:t>Live Backend URL:</w:t>
      </w:r>
      <w:r>
        <w:rPr>
          <w:rFonts w:ascii="Arial" w:hAnsi="Arial"/>
          <w:color w:val="334155"/>
          <w:sz w:val="19"/>
        </w:rPr>
        <w:t xml:space="preserve"> [https://telemed-3koh.onrender.com](https://telemed-3koh.onrender.com)</w:t>
      </w:r>
    </w:p>
    <w:p>
      <w:pPr>
        <w:pStyle w:val="ListBullet"/>
        <w:spacing w:before="20" w:after="20"/>
      </w:pPr>
      <w:r>
        <w:rPr>
          <w:rFonts w:ascii="Arial" w:hAnsi="Arial"/>
          <w:color w:val="334155"/>
          <w:sz w:val="19"/>
        </w:rPr>
      </w:r>
      <w:r>
        <w:rPr>
          <w:rFonts w:ascii="Arial" w:hAnsi="Arial"/>
          <w:b/>
          <w:color w:val="0F172A"/>
          <w:sz w:val="19"/>
        </w:rPr>
        <w:t>Backend Health Check:</w:t>
      </w:r>
      <w:r>
        <w:rPr>
          <w:rFonts w:ascii="Arial" w:hAnsi="Arial"/>
          <w:color w:val="334155"/>
          <w:sz w:val="19"/>
        </w:rPr>
        <w:t xml:space="preserve"> [https://telemed-3koh.onrender.com/api/health](https://telemed-3koh.onrender.com/api/health) (Returns HTTP 200 `"status": "healthy"`)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54: AUTOMATED TESTING &amp; VERIFICATION SUITE</w:t>
      </w:r>
    </w:p>
    <w:p>
      <w:pPr>
        <w:pStyle w:val="ListBullet"/>
        <w:spacing w:before="20" w:after="20"/>
      </w:pPr>
      <w:r>
        <w:rPr>
          <w:rFonts w:ascii="Arial" w:hAnsi="Arial"/>
          <w:color w:val="334155"/>
          <w:sz w:val="19"/>
        </w:rPr>
      </w: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pPr>
        <w:pStyle w:val="ListBullet"/>
        <w:spacing w:before="20" w:after="20"/>
      </w:pPr>
      <w:r>
        <w:rPr>
          <w:rFonts w:ascii="Arial" w:hAnsi="Arial"/>
          <w:color w:val="334155"/>
          <w:sz w:val="19"/>
        </w:rPr>
      </w: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55: PERFORMANCE BENCHMARKS &amp; CONCURRENCY TESTING</w:t>
      </w:r>
    </w:p>
    <w:p>
      <w:pPr>
        <w:pStyle w:val="ListBullet"/>
        <w:spacing w:before="20" w:after="20"/>
      </w:pPr>
      <w:r>
        <w:rPr>
          <w:rFonts w:ascii="Arial" w:hAnsi="Arial"/>
          <w:color w:val="334155"/>
          <w:sz w:val="19"/>
        </w:rPr>
      </w:r>
      <w:r>
        <w:rPr>
          <w:rFonts w:ascii="Arial" w:hAnsi="Arial"/>
          <w:b/>
          <w:color w:val="0F172A"/>
          <w:sz w:val="19"/>
        </w:rPr>
        <w:t>Health Check Throughput:</w:t>
      </w:r>
      <w:r>
        <w:rPr>
          <w:rFonts w:ascii="Arial" w:hAnsi="Arial"/>
          <w:color w:val="334155"/>
          <w:sz w:val="19"/>
        </w:rPr>
        <w:t xml:space="preserve"> 466 to 477 requests per second (sub-2ms response time).</w:t>
      </w:r>
    </w:p>
    <w:p>
      <w:pPr>
        <w:pStyle w:val="ListBullet"/>
        <w:spacing w:before="20" w:after="20"/>
      </w:pPr>
      <w:r>
        <w:rPr>
          <w:rFonts w:ascii="Arial" w:hAnsi="Arial"/>
          <w:color w:val="334155"/>
          <w:sz w:val="19"/>
        </w:rPr>
      </w:r>
      <w:r>
        <w:rPr>
          <w:rFonts w:ascii="Arial" w:hAnsi="Arial"/>
          <w:b/>
          <w:color w:val="0F172A"/>
          <w:sz w:val="19"/>
        </w:rPr>
        <w:t>Database Queries:</w:t>
      </w:r>
      <w:r>
        <w:rPr>
          <w:rFonts w:ascii="Arial" w:hAnsi="Arial"/>
          <w:color w:val="334155"/>
          <w:sz w:val="19"/>
        </w:rPr>
        <w:t xml:space="preserve"> 115 to 120 requests per second (~7.4ms latency).</w:t>
      </w:r>
    </w:p>
    <w:p>
      <w:pPr>
        <w:pStyle w:val="ListBullet"/>
        <w:spacing w:before="20" w:after="20"/>
      </w:pPr>
      <w:r>
        <w:rPr>
          <w:rFonts w:ascii="Arial" w:hAnsi="Arial"/>
          <w:color w:val="334155"/>
          <w:sz w:val="19"/>
        </w:rPr>
      </w:r>
      <w:r>
        <w:rPr>
          <w:rFonts w:ascii="Arial" w:hAnsi="Arial"/>
          <w:b/>
          <w:color w:val="0F172A"/>
          <w:sz w:val="19"/>
        </w:rPr>
        <w:t>RAG Vector Search:</w:t>
      </w:r>
      <w:r>
        <w:rPr>
          <w:rFonts w:ascii="Arial" w:hAnsi="Arial"/>
          <w:color w:val="334155"/>
          <w:sz w:val="19"/>
        </w:rPr>
        <w:t xml:space="preserve"> 58 to 60 queries per second (~13.6ms latency).</w:t>
      </w:r>
    </w:p>
    <w:p>
      <w:pPr>
        <w:pStyle w:val="ListBullet"/>
        <w:spacing w:before="20" w:after="20"/>
      </w:pPr>
      <w:r>
        <w:rPr>
          <w:rFonts w:ascii="Arial" w:hAnsi="Arial"/>
          <w:color w:val="334155"/>
          <w:sz w:val="19"/>
        </w:rPr>
      </w:r>
      <w:r>
        <w:rPr>
          <w:rFonts w:ascii="Arial" w:hAnsi="Arial"/>
          <w:b/>
          <w:color w:val="0F172A"/>
          <w:sz w:val="19"/>
        </w:rPr>
        <w:t>7-Pathway ML Inference:</w:t>
      </w:r>
      <w:r>
        <w:rPr>
          <w:rFonts w:ascii="Arial" w:hAnsi="Arial"/>
          <w:color w:val="334155"/>
          <w:sz w:val="19"/>
        </w:rPr>
        <w:t xml:space="preserve"> 15.5 to 16.0 full multimodal inferences per second (~53ms latency).</w:t>
      </w:r>
    </w:p>
    <w:p>
      <w:pPr>
        <w:pStyle w:val="ListBullet"/>
        <w:spacing w:before="20" w:after="20"/>
      </w:pPr>
      <w:r>
        <w:rPr>
          <w:rFonts w:ascii="Arial" w:hAnsi="Arial"/>
          <w:color w:val="334155"/>
          <w:sz w:val="19"/>
        </w:rPr>
      </w:r>
      <w:r>
        <w:rPr>
          <w:rFonts w:ascii="Arial" w:hAnsi="Arial"/>
          <w:b/>
          <w:color w:val="0F172A"/>
          <w:sz w:val="19"/>
        </w:rPr>
        <w:t>Error Rate:</w:t>
      </w:r>
      <w:r>
        <w:rPr>
          <w:rFonts w:ascii="Arial" w:hAnsi="Arial"/>
          <w:color w:val="334155"/>
          <w:sz w:val="19"/>
        </w:rPr>
        <w:t xml:space="preserve"> 0.0% unhandled server errors under continuous concurrency testing.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56: MODEL ROBUSTNESS &amp; MISSING MODALITY STRESS TESTING</w:t>
      </w:r>
    </w:p>
    <w:p>
      <w:pPr>
        <w:pStyle w:val="ListBullet"/>
        <w:spacing w:before="20" w:after="20"/>
      </w:pPr>
      <w:r>
        <w:rPr>
          <w:rFonts w:ascii="Arial" w:hAnsi="Arial"/>
          <w:color w:val="334155"/>
          <w:sz w:val="19"/>
        </w:rPr>
      </w: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pPr>
        <w:pStyle w:val="ListBullet"/>
        <w:spacing w:before="20" w:after="20"/>
      </w:pPr>
      <w:r>
        <w:rPr>
          <w:rFonts w:ascii="Arial" w:hAnsi="Arial"/>
          <w:color w:val="334155"/>
          <w:sz w:val="19"/>
        </w:rPr>
      </w: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57: ERROR ANALYSIS &amp; CONFUSION TAXONOMY</w:t>
      </w:r>
    </w:p>
    <w:p>
      <w:pPr>
        <w:pStyle w:val="ListBullet"/>
        <w:spacing w:before="20" w:after="20"/>
      </w:pPr>
      <w:r>
        <w:rPr>
          <w:rFonts w:ascii="Arial" w:hAnsi="Arial"/>
          <w:color w:val="334155"/>
          <w:sz w:val="19"/>
        </w:rPr>
      </w: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pPr>
        <w:pStyle w:val="ListBullet"/>
        <w:spacing w:before="20" w:after="20"/>
      </w:pPr>
      <w:r>
        <w:rPr>
          <w:rFonts w:ascii="Arial" w:hAnsi="Arial"/>
          <w:color w:val="334155"/>
          <w:sz w:val="19"/>
        </w:rPr>
      </w: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pPr>
        <w:pStyle w:val="ListBullet"/>
        <w:spacing w:before="20" w:after="20"/>
      </w:pPr>
      <w:r>
        <w:rPr>
          <w:rFonts w:ascii="Arial" w:hAnsi="Arial"/>
          <w:color w:val="334155"/>
          <w:sz w:val="19"/>
        </w:rPr>
      </w: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58: MODALITY ABLATION STUDY</w:t>
      </w:r>
    </w:p>
    <w:p>
      <w:pPr>
        <w:spacing w:before="40" w:after="80"/>
      </w:pPr>
      <w:r>
        <w:rPr>
          <w:rFonts w:ascii="Arial" w:hAnsi="Arial"/>
          <w:color w:val="334155"/>
          <w:sz w:val="19"/>
        </w:rPr>
        <w:t>*(Audited directly from `v4_fusion_ablation_study.csv`)*</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Only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Wearable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Gut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Full Multimodal Fusion ROC-AUC</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0.7499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0.7515</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0.7532</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59: COMPLETE END-TO-END PATIENT JOURNEY</w:t>
      </w:r>
    </w:p>
    <w:p>
      <w:pPr>
        <w:spacing w:before="0" w:after="0"/>
        <w:ind w:left="432"/>
      </w:pPr>
      <w:r>
        <w:rPr>
          <w:rFonts w:ascii="Consolas" w:hAnsi="Consolas"/>
          <w:color w:val="1E293B"/>
          <w:sz w:val="17"/>
        </w:rPr>
        <w:t>1. Registration: Patient registers an account on the Vercel web portal.</w:t>
      </w:r>
    </w:p>
    <w:p>
      <w:pPr>
        <w:spacing w:before="0" w:after="0"/>
        <w:ind w:left="432"/>
      </w:pPr>
      <w:r>
        <w:rPr>
          <w:rFonts w:ascii="Consolas" w:hAnsi="Consolas"/>
          <w:color w:val="1E293B"/>
          <w:sz w:val="17"/>
        </w:rPr>
        <w:t>2. Document Intake: Patient uploads a lab report PDF (18 Clinical features extracted).</w:t>
      </w:r>
    </w:p>
    <w:p>
      <w:pPr>
        <w:spacing w:before="0" w:after="0"/>
        <w:ind w:left="432"/>
      </w:pPr>
      <w:r>
        <w:rPr>
          <w:rFonts w:ascii="Consolas" w:hAnsi="Consolas"/>
          <w:color w:val="1E293B"/>
          <w:sz w:val="17"/>
        </w:rPr>
        <w:t>3. Wearable Sync: Patient enters continuous glucose and smartwatch metrics (15 features).</w:t>
      </w:r>
    </w:p>
    <w:p>
      <w:pPr>
        <w:spacing w:before="0" w:after="0"/>
        <w:ind w:left="432"/>
      </w:pPr>
      <w:r>
        <w:rPr>
          <w:rFonts w:ascii="Consolas" w:hAnsi="Consolas"/>
          <w:color w:val="1E293B"/>
          <w:sz w:val="17"/>
        </w:rPr>
        <w:t>4. Gut Sequencing: Patient enters 16S microbiome sequencing data (49 features).</w:t>
      </w:r>
    </w:p>
    <w:p>
      <w:pPr>
        <w:spacing w:before="0" w:after="0"/>
        <w:ind w:left="432"/>
      </w:pPr>
      <w:r>
        <w:rPr>
          <w:rFonts w:ascii="Consolas" w:hAnsi="Consolas"/>
          <w:color w:val="1E293B"/>
          <w:sz w:val="17"/>
        </w:rPr>
        <w:t>5. Dynamic Routing: Router detects all 3 modalities -&gt; Activates Pathway 7 (Trimodal Fusion).</w:t>
      </w:r>
    </w:p>
    <w:p>
      <w:pPr>
        <w:spacing w:before="0" w:after="0"/>
        <w:ind w:left="432"/>
      </w:pPr>
      <w:r>
        <w:rPr>
          <w:rFonts w:ascii="Consolas" w:hAnsi="Consolas"/>
          <w:color w:val="1E293B"/>
          <w:sz w:val="17"/>
        </w:rPr>
        <w:t>6. Machine Learning: Base experts generate 15 probabilities -&gt; Fused by Meta-Stacker.</w:t>
      </w:r>
    </w:p>
    <w:p>
      <w:pPr>
        <w:spacing w:before="0" w:after="0"/>
        <w:ind w:left="432"/>
      </w:pPr>
      <w:r>
        <w:rPr>
          <w:rFonts w:ascii="Consolas" w:hAnsi="Consolas"/>
          <w:color w:val="1E293B"/>
          <w:sz w:val="17"/>
        </w:rPr>
        <w:t>7. Explainability: TreeSHAP identifies top positive and protective biomarker drivers.</w:t>
      </w:r>
    </w:p>
    <w:p>
      <w:pPr>
        <w:spacing w:before="0" w:after="0"/>
        <w:ind w:left="432"/>
      </w:pPr>
      <w:r>
        <w:rPr>
          <w:rFonts w:ascii="Consolas" w:hAnsi="Consolas"/>
          <w:color w:val="1E293B"/>
          <w:sz w:val="17"/>
        </w:rPr>
        <w:t>8. Medical RAG: Retrieves verified guideline excerpts from ADA and WHO guidelines.</w:t>
      </w:r>
    </w:p>
    <w:p>
      <w:pPr>
        <w:spacing w:before="0" w:after="0"/>
        <w:ind w:left="432"/>
      </w:pPr>
      <w:r>
        <w:rPr>
          <w:rFonts w:ascii="Consolas" w:hAnsi="Consolas"/>
          <w:color w:val="1E293B"/>
          <w:sz w:val="17"/>
        </w:rPr>
        <w:t>9. Specialist Booking: Patient schedules a virtual consultation with a verified doctor.</w:t>
      </w:r>
    </w:p>
    <w:p>
      <w:pPr>
        <w:spacing w:before="0" w:after="0"/>
        <w:ind w:left="432"/>
      </w:pPr>
      <w:r>
        <w:rPr>
          <w:rFonts w:ascii="Consolas" w:hAnsi="Consolas"/>
          <w:color w:val="1E293B"/>
          <w:sz w:val="17"/>
        </w:rPr>
        <w:t>10. Clinical Review: Doctor reviews the patient chart, confirms findings, and finalizes care plan.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60: CLINICAL SAFETY, ETHICAL BOUNDARIES &amp; DISCLAIMERS</w:t>
      </w:r>
    </w:p>
    <w:p>
      <w:pPr>
        <w:pStyle w:val="ListBullet"/>
        <w:spacing w:before="20" w:after="20"/>
      </w:pPr>
      <w:r>
        <w:rPr>
          <w:rFonts w:ascii="Arial" w:hAnsi="Arial"/>
          <w:color w:val="334155"/>
          <w:sz w:val="19"/>
        </w:rPr>
      </w: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pPr>
        <w:pStyle w:val="ListBullet"/>
        <w:spacing w:before="20" w:after="20"/>
      </w:pPr>
      <w:r>
        <w:rPr>
          <w:rFonts w:ascii="Arial" w:hAnsi="Arial"/>
          <w:color w:val="334155"/>
          <w:sz w:val="19"/>
        </w:rPr>
      </w: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pPr>
        <w:pStyle w:val="Heading1"/>
        <w:spacing w:before="280" w:after="120"/>
      </w:pPr>
      <w:r>
        <w:rPr>
          <w:rFonts w:ascii="Arial" w:hAnsi="Arial"/>
          <w:b/>
          <w:color w:val="1E3A8A"/>
          <w:sz w:val="30"/>
        </w:rPr>
        <w:t>SECTION 61: SYSTEM LIMITATIONS &amp; KNOWN BOUNDARIES</w:t>
      </w:r>
    </w:p>
    <w:p>
      <w:pPr>
        <w:spacing w:before="40" w:after="80"/>
      </w:pPr>
      <w:r>
        <w:rPr>
          <w:rFonts w:ascii="Arial" w:hAnsi="Arial"/>
          <w:color w:val="334155"/>
          <w:sz w:val="19"/>
        </w:rPr>
        <w:t>While TeleMed AI v4 represents an enterprise-grade multimodal platform, scientific integrity requires documenting its current operating boundaries:</w:t>
      </w:r>
    </w:p>
    <w:p>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pPr>
        <w:spacing w:before="40" w:after="80"/>
      </w:pPr>
      <w:r>
        <w:rPr>
          <w:rFonts w:ascii="Arial" w:hAnsi="Arial"/>
          <w:color w:val="334155"/>
          <w:sz w:val="19"/>
        </w:rPr>
        <w:t xml:space="preserve">2. </w:t>
      </w:r>
      <w:r>
        <w:rPr>
          <w:rFonts w:ascii="Arial" w:hAnsi="Arial"/>
          <w:b/>
          <w:color w:val="0F172A"/>
          <w:sz w:val="19"/>
        </w:rPr>
        <w:t>Audio/Video Telemedicine Streaming:</w:t>
      </w:r>
      <w:r>
        <w:rPr>
          <w:rFonts w:ascii="Arial" w:hAnsi="Arial"/>
          <w:color w:val="334155"/>
          <w:sz w:val="19"/>
        </w:rPr>
        <w:t xml:space="preserve"> While secure in-browser text messaging and appointment scheduling are live and operational, WebRTC-based real-time audio/video streaming is scheduled for upcoming deployment phases.</w:t>
      </w:r>
    </w:p>
    <w:p>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62: FUTURE ROADMAP &amp; CLINICAL TRANSLATION</w:t>
      </w:r>
    </w:p>
    <w:p>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63: ACADEMIC &amp; TECHNICAL VIVA DEFENSE QUESTIONS AND ANSWERS</w:t>
      </w:r>
    </w:p>
    <w:p>
      <w:pPr>
        <w:pStyle w:val="Heading3"/>
        <w:spacing w:before="160" w:after="40"/>
      </w:pPr>
      <w:r>
        <w:rPr>
          <w:rFonts w:ascii="Arial" w:hAnsi="Arial"/>
          <w:b/>
          <w:color w:val="0F172A"/>
          <w:sz w:val="21"/>
        </w:rPr>
        <w:t>PART A: THE 10 OFFICIAL COLLEGE REVIEW VIVA QUESTIONS</w:t>
      </w:r>
    </w:p>
    <w:p>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pPr>
        <w:pStyle w:val="ListBullet"/>
        <w:spacing w:before="20" w:after="20"/>
      </w:pPr>
      <w:r>
        <w:rPr>
          <w:rFonts w:ascii="Arial" w:hAnsi="Arial"/>
          <w:color w:val="334155"/>
          <w:sz w:val="19"/>
        </w:rPr>
      </w: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pPr>
        <w:spacing w:before="40" w:after="80"/>
      </w:pPr>
      <w:r>
        <w:rPr>
          <w:rFonts w:ascii="Arial" w:hAnsi="Arial"/>
          <w:color w:val="334155"/>
          <w:sz w:val="19"/>
        </w:rPr>
        <w:t>1. *Akkermansia muciniphila* and *Faecalibacterium prausnitzii* were negatively coupled with BMI (r = -0.58) and fasting glucose (r = -0.49).</w:t>
      </w:r>
    </w:p>
    <w:p>
      <w:pPr>
        <w:spacing w:before="40" w:after="80"/>
      </w:pPr>
      <w:r>
        <w:rPr>
          <w:rFonts w:ascii="Arial" w:hAnsi="Arial"/>
          <w:color w:val="334155"/>
          <w:sz w:val="19"/>
        </w:rPr>
        <w:t>2. Pathogenic taxa (*Escherichia coli*, *Klebsiella pneumoniae*) were positively coupled with triglycerides (r = +0.61) and HbA1c (r = +0.52).</w:t>
      </w:r>
    </w:p>
    <w:p>
      <w:pPr>
        <w:spacing w:before="40" w:after="80"/>
      </w:pPr>
      <w:r>
        <w:rPr>
          <w:rFonts w:ascii="Arial" w:hAnsi="Arial"/>
          <w:color w:val="334155"/>
          <w:sz w:val="19"/>
        </w:rPr>
        <w:t>3. HbA1c was strongly coupled with CGM Mean Glucose (r = +0.82) and glucose coefficient of variation (r = +0.64).</w:t>
      </w:r>
    </w:p>
    <w:p>
      <w:pPr>
        <w:pStyle w:val="ListBullet"/>
        <w:spacing w:before="20" w:after="20"/>
      </w:pPr>
      <w:r>
        <w:rPr>
          <w:rFonts w:ascii="Arial" w:hAnsi="Arial"/>
          <w:color w:val="334155"/>
          <w:sz w:val="19"/>
        </w:rPr>
      </w: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pPr>
        <w:spacing w:before="40" w:after="80"/>
      </w:pPr>
      <w:r>
        <w:rPr>
          <w:rFonts w:ascii="Arial" w:hAnsi="Arial"/>
          <w:color w:val="334155"/>
          <w:sz w:val="19"/>
        </w:rPr>
        <w:t>---</w:t>
      </w:r>
    </w:p>
    <w:p>
      <w:pPr>
        <w:spacing w:before="40" w:after="80"/>
      </w:pPr>
      <w:r>
        <w:rPr>
          <w:rFonts w:ascii="Arial" w:hAnsi="Arial"/>
          <w:color w:val="334155"/>
          <w:sz w:val="19"/>
        </w:rPr>
        <w:t>#### Question 2: What specific algorithms run inside each “expert model,” and is your fusion layer early, late, or intermediate fusion?</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pPr>
        <w:pStyle w:val="ListBullet"/>
        <w:spacing w:before="20" w:after="20"/>
      </w:pPr>
      <w:r>
        <w:rPr>
          <w:rFonts w:ascii="Arial" w:hAnsi="Arial"/>
          <w:color w:val="334155"/>
          <w:sz w:val="19"/>
        </w:rPr>
      </w: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pPr>
        <w:spacing w:before="40" w:after="80"/>
      </w:pPr>
      <w:r>
        <w:rPr>
          <w:rFonts w:ascii="Arial" w:hAnsi="Arial"/>
          <w:color w:val="334155"/>
          <w:sz w:val="19"/>
        </w:rPr>
        <w:t>* Base expert models process their respective raw features to output calibrated probability scores (P_C, P_W, P_G).</w:t>
      </w:r>
    </w:p>
    <w:p>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pPr>
        <w:spacing w:before="40" w:after="80"/>
      </w:pPr>
      <w:r>
        <w:rPr>
          <w:rFonts w:ascii="Arial" w:hAnsi="Arial"/>
          <w:color w:val="334155"/>
          <w:sz w:val="19"/>
        </w:rPr>
        <w:t>---</w:t>
      </w:r>
    </w:p>
    <w:p>
      <w:pPr>
        <w:spacing w:before="40" w:after="80"/>
      </w:pPr>
      <w:r>
        <w:rPr>
          <w:rFonts w:ascii="Arial" w:hAnsi="Arial"/>
          <w:color w:val="334155"/>
          <w:sz w:val="19"/>
        </w:rPr>
        <w:t>#### Question 3: What accuracy/F1/AUROC did you actually achieve per condition, and how does it compare to your base paper's Table 1 benchmarks?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On the untouched out-of-sample test partition, our models achieved the following measured metrics across all 5 conditions:</w:t>
      </w:r>
    </w:p>
    <w:p>
      <w:pPr>
        <w:pStyle w:val="ListBullet"/>
        <w:spacing w:before="20" w:after="20"/>
      </w:pPr>
      <w:r>
        <w:rPr>
          <w:rFonts w:ascii="Arial" w:hAnsi="Arial"/>
          <w:color w:val="334155"/>
          <w:sz w:val="19"/>
        </w:rPr>
      </w: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pPr>
        <w:spacing w:before="40" w:after="80"/>
      </w:pPr>
      <w:r>
        <w:rPr>
          <w:rFonts w:ascii="Arial" w:hAnsi="Arial"/>
          <w:color w:val="334155"/>
          <w:sz w:val="19"/>
        </w:rPr>
        <w:t>---</w:t>
      </w:r>
    </w:p>
    <w:p>
      <w:pPr>
        <w:spacing w:before="40" w:after="80"/>
      </w:pPr>
      <w:r>
        <w:rPr>
          <w:rFonts w:ascii="Arial" w:hAnsi="Arial"/>
          <w:color w:val="334155"/>
          <w:sz w:val="19"/>
        </w:rPr>
        <w:t>#### Question 4: How does the system behave when a patient has only 1–2 of the 3 modalities available?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pPr>
        <w:spacing w:before="40" w:after="80"/>
      </w:pPr>
      <w:r>
        <w:rPr>
          <w:rFonts w:ascii="Arial" w:hAnsi="Arial"/>
          <w:color w:val="334155"/>
          <w:sz w:val="19"/>
        </w:rPr>
        <w:t>1. When a patient submits data, the schema validator detects which modalities are present (C, W, or G).</w:t>
      </w:r>
    </w:p>
    <w:p>
      <w:pPr>
        <w:spacing w:before="40" w:after="80"/>
      </w:pPr>
      <w:r>
        <w:rPr>
          <w:rFonts w:ascii="Arial" w:hAnsi="Arial"/>
          <w:color w:val="334155"/>
          <w:sz w:val="19"/>
        </w:rPr>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pPr>
        <w:spacing w:before="40" w:after="80"/>
      </w:pPr>
      <w:r>
        <w:rPr>
          <w:rFonts w:ascii="Arial" w:hAnsi="Arial"/>
          <w:color w:val="334155"/>
          <w:sz w:val="19"/>
        </w:rPr>
        <w:t>3. If only 1 modality is provided, the system executes the corresponding Unimodal Pipeline:</w:t>
      </w:r>
    </w:p>
    <w:p>
      <w:pPr>
        <w:spacing w:before="40" w:after="80"/>
      </w:pPr>
      <w:r>
        <w:rPr>
          <w:rFonts w:ascii="Arial" w:hAnsi="Arial"/>
          <w:color w:val="334155"/>
          <w:sz w:val="19"/>
        </w:rPr>
        <w:t>* Pathway 1 (C Only): Evaluates 18 clinical features directly.</w:t>
      </w:r>
    </w:p>
    <w:p>
      <w:pPr>
        <w:spacing w:before="40" w:after="80"/>
      </w:pPr>
      <w:r>
        <w:rPr>
          <w:rFonts w:ascii="Arial" w:hAnsi="Arial"/>
          <w:color w:val="334155"/>
          <w:sz w:val="19"/>
        </w:rPr>
        <w:t>* Pathway 2 (W Only): Evaluates 15 wearable features directly.</w:t>
      </w:r>
    </w:p>
    <w:p>
      <w:pPr>
        <w:spacing w:before="40" w:after="80"/>
      </w:pPr>
      <w:r>
        <w:rPr>
          <w:rFonts w:ascii="Arial" w:hAnsi="Arial"/>
          <w:color w:val="334155"/>
          <w:sz w:val="19"/>
        </w:rPr>
        <w:t>* Pathway 3 (G Only): Evaluates 49 gut features directly.</w:t>
      </w:r>
    </w:p>
    <w:p>
      <w:pPr>
        <w:spacing w:before="40" w:after="80"/>
      </w:pPr>
      <w:r>
        <w:rPr>
          <w:rFonts w:ascii="Arial" w:hAnsi="Arial"/>
          <w:color w:val="334155"/>
          <w:sz w:val="19"/>
        </w:rPr>
        <w:t>4. If 2 modalities are provided, the system executes the corresponding Bimodal Stacking Pipeline:</w:t>
      </w:r>
    </w:p>
    <w:p>
      <w:pPr>
        <w:spacing w:before="40" w:after="80"/>
      </w:pPr>
      <w:r>
        <w:rPr>
          <w:rFonts w:ascii="Arial" w:hAnsi="Arial"/>
          <w:color w:val="334155"/>
          <w:sz w:val="19"/>
        </w:rPr>
        <w:t>* Pathway 4 (C+W): Combines 18 Clinical + 15 Wearable features (33 features total) -&gt; 2 probabilities per target.</w:t>
      </w:r>
    </w:p>
    <w:p>
      <w:pPr>
        <w:spacing w:before="40" w:after="80"/>
      </w:pPr>
      <w:r>
        <w:rPr>
          <w:rFonts w:ascii="Arial" w:hAnsi="Arial"/>
          <w:color w:val="334155"/>
          <w:sz w:val="19"/>
        </w:rPr>
        <w:t>* Pathway 5 (C+G): Combines 18 Clinical + 49 Gut features (67 features total) -&gt; 2 probabilities per target.</w:t>
      </w:r>
    </w:p>
    <w:p>
      <w:pPr>
        <w:spacing w:before="40" w:after="80"/>
      </w:pPr>
      <w:r>
        <w:rPr>
          <w:rFonts w:ascii="Arial" w:hAnsi="Arial"/>
          <w:color w:val="334155"/>
          <w:sz w:val="19"/>
        </w:rPr>
        <w:t>* Pathway 6 (W+G): Combines 15 Wearable + 49 Gut features (64 features total) -&gt; 2 probabilities per target via the dedicated `wg_logistic_regression_stacker` model.</w:t>
      </w:r>
    </w:p>
    <w:p>
      <w:pPr>
        <w:spacing w:before="40" w:after="80"/>
      </w:pPr>
      <w:r>
        <w:rPr>
          <w:rFonts w:ascii="Arial" w:hAnsi="Arial"/>
          <w:color w:val="334155"/>
          <w:sz w:val="19"/>
        </w:rPr>
        <w:t>5. In all cases, the user interface clearly displays which modalities were evaluated and flags unprovided modalities as missing without crashing.</w:t>
      </w:r>
    </w:p>
    <w:p>
      <w:pPr>
        <w:spacing w:before="40" w:after="80"/>
      </w:pPr>
      <w:r>
        <w:rPr>
          <w:rFonts w:ascii="Arial" w:hAnsi="Arial"/>
          <w:color w:val="334155"/>
          <w:sz w:val="19"/>
        </w:rPr>
        <w:t>---</w:t>
      </w:r>
    </w:p>
    <w:p>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Wearable Prediabetes, Wearable NAFLD, Gut T2D, and Gut NAFLD). For all these models, we use `shap.TreeExplainer` which calculates exact Shapley values in polynomial time O(TLD^2).</w:t>
      </w:r>
    </w:p>
    <w:p>
      <w:pPr>
        <w:pStyle w:val="ListBullet"/>
        <w:spacing w:before="20" w:after="20"/>
      </w:pPr>
      <w:r>
        <w:rPr>
          <w:rFonts w:ascii="Arial" w:hAnsi="Arial"/>
          <w:color w:val="334155"/>
          <w:sz w:val="19"/>
        </w:rPr>
      </w: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pPr>
        <w:spacing w:before="40" w:after="80"/>
      </w:pPr>
      <w:r>
        <w:rPr>
          <w:rFonts w:ascii="Arial" w:hAnsi="Arial"/>
          <w:color w:val="334155"/>
          <w:sz w:val="19"/>
        </w:rPr>
        <w:t>φ_i(x) = w_i  ·  (x_i - μ_i)</w:t>
      </w:r>
    </w:p>
    <w:p>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pPr>
        <w:pStyle w:val="ListBullet"/>
        <w:spacing w:before="20" w:after="20"/>
      </w:pPr>
      <w:r>
        <w:rPr>
          <w:rFonts w:ascii="Arial" w:hAnsi="Arial"/>
          <w:color w:val="334155"/>
          <w:sz w:val="19"/>
        </w:rPr>
      </w: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pPr>
        <w:spacing w:before="40" w:after="80"/>
      </w:pPr>
      <w:r>
        <w:rPr>
          <w:rFonts w:ascii="Arial" w:hAnsi="Arial"/>
          <w:color w:val="334155"/>
          <w:sz w:val="19"/>
        </w:rPr>
        <w:t>---</w:t>
      </w:r>
    </w:p>
    <w:p>
      <w:pPr>
        <w:spacing w:before="40" w:after="80"/>
      </w:pPr>
      <w:r>
        <w:rPr>
          <w:rFonts w:ascii="Arial" w:hAnsi="Arial"/>
          <w:color w:val="334155"/>
          <w:sz w:val="19"/>
        </w:rPr>
        <w:t>#### Question 6: How does your architecture address HIPAA/GDPR and the microbiome re-identification risk your own base paper flags?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pPr>
        <w:spacing w:before="40" w:after="80"/>
      </w:pPr>
      <w:r>
        <w:rPr>
          <w:rFonts w:ascii="Arial" w:hAnsi="Arial"/>
          <w:color w:val="334155"/>
          <w:sz w:val="19"/>
        </w:rPr>
        <w:t>---</w:t>
      </w:r>
    </w:p>
    <w:p>
      <w:pPr>
        <w:spacing w:before="40" w:after="80"/>
      </w:pPr>
      <w:r>
        <w:rPr>
          <w:rFonts w:ascii="Arial" w:hAnsi="Arial"/>
          <w:color w:val="334155"/>
          <w:sz w:val="19"/>
        </w:rPr>
        <w:t>#### Question 7: What is your train/validation/test split strategy, and how do you prevent leakage in a generated dataset?</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Partitioning Protocol:</w:t>
      </w:r>
      <w:r>
        <w:rPr>
          <w:rFonts w:ascii="Arial" w:hAnsi="Arial"/>
          <w:color w:val="334155"/>
          <w:sz w:val="19"/>
        </w:rPr>
        <w:t xml:space="preserve"> The authoritative production dataset consists of </w:t>
      </w:r>
      <w:r>
        <w:rPr>
          <w:rFonts w:ascii="Arial" w:hAnsi="Arial"/>
          <w:b/>
          <w:color w:val="0F172A"/>
          <w:sz w:val="19"/>
        </w:rPr>
        <w:t>100,000 Synchronized Patients</w:t>
      </w:r>
      <w:r>
        <w:rPr>
          <w:rFonts w:ascii="Arial" w:hAnsi="Arial"/>
          <w:color w:val="334155"/>
          <w:sz w:val="19"/>
        </w:rPr>
        <w:t xml:space="preserve"> partitioned using a strict </w:t>
      </w:r>
      <w:r>
        <w:rPr>
          <w:rFonts w:ascii="Arial" w:hAnsi="Arial"/>
          <w:b/>
          <w:color w:val="0F172A"/>
          <w:sz w:val="19"/>
        </w:rPr>
        <w:t>70.0% Training / 15.0% Validation / 15.0% Test</w:t>
      </w:r>
      <w:r>
        <w:rPr>
          <w:rFonts w:ascii="Arial" w:hAnsi="Arial"/>
          <w:color w:val="334155"/>
          <w:sz w:val="19"/>
        </w:rPr>
        <w:t xml:space="preserve"> split protocol:</w:t>
      </w:r>
    </w:p>
    <w:p>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Exactly 70,000 patients for base expert model training and feature scaler fitting.</w:t>
      </w:r>
    </w:p>
    <w:p>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Exactly 15,000 patients for hyperparameter tuning, probability calibration, and meta-learner fitting.</w:t>
      </w:r>
    </w:p>
    <w:p>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Exactly 15,000 patients held out as an untouched out-of-sample scientific evaluation set.</w:t>
      </w:r>
    </w:p>
    <w:p>
      <w:pPr>
        <w:spacing w:before="40" w:after="80"/>
      </w:pPr>
      <w:r>
        <w:rPr>
          <w:rFonts w:ascii="Arial" w:hAnsi="Arial"/>
          <w:color w:val="334155"/>
          <w:sz w:val="19"/>
        </w:rPr>
        <w:t>*(Historical Development Note: Earlier Phase-1 through Phase-3 prototypes V1–V3 utilized a smaller 20,000-sample cohort, which was scaled 5x to 100,000 in V4 for maximal statistical power and publication rigor).*</w:t>
      </w:r>
    </w:p>
    <w:p>
      <w:pPr>
        <w:pStyle w:val="ListBullet"/>
        <w:spacing w:before="20" w:after="20"/>
      </w:pPr>
      <w:r>
        <w:rPr>
          <w:rFonts w:ascii="Arial" w:hAnsi="Arial"/>
          <w:color w:val="334155"/>
          <w:sz w:val="19"/>
        </w:rPr>
      </w:r>
      <w:r>
        <w:rPr>
          <w:rFonts w:ascii="Arial" w:hAnsi="Arial"/>
          <w:b/>
          <w:color w:val="0F172A"/>
          <w:sz w:val="19"/>
        </w:rPr>
        <w:t>Leakage Prevention Measures: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(15,000 patients) was sealed and evaluated only once for the final release benchmark.</w:t>
      </w:r>
    </w:p>
    <w:p>
      <w:pPr>
        <w:spacing w:before="40" w:after="80"/>
      </w:pPr>
      <w:r>
        <w:rPr>
          <w:rFonts w:ascii="Arial" w:hAnsi="Arial"/>
          <w:color w:val="334155"/>
          <w:sz w:val="19"/>
        </w:rPr>
        <w:t>---</w:t>
      </w:r>
    </w:p>
    <w:p>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pPr>
        <w:pStyle w:val="ListBullet"/>
        <w:spacing w:before="20" w:after="20"/>
      </w:pPr>
      <w:r>
        <w:rPr>
          <w:rFonts w:ascii="Arial" w:hAnsi="Arial"/>
          <w:color w:val="334155"/>
          <w:sz w:val="19"/>
        </w:rPr>
      </w: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pPr>
        <w:pStyle w:val="ListBullet"/>
        <w:spacing w:before="20" w:after="20"/>
      </w:pPr>
      <w:r>
        <w:rPr>
          <w:rFonts w:ascii="Arial" w:hAnsi="Arial"/>
          <w:color w:val="334155"/>
          <w:sz w:val="19"/>
        </w:rPr>
      </w: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pPr>
        <w:spacing w:before="40" w:after="80"/>
      </w:pPr>
      <w:r>
        <w:rPr>
          <w:rFonts w:ascii="Arial" w:hAnsi="Arial"/>
          <w:color w:val="334155"/>
          <w:sz w:val="19"/>
        </w:rPr>
        <w:t>---</w:t>
      </w:r>
    </w:p>
    <w:p>
      <w:pPr>
        <w:spacing w:before="40" w:after="80"/>
      </w:pPr>
      <w:r>
        <w:rPr>
          <w:rFonts w:ascii="Arial" w:hAnsi="Arial"/>
          <w:color w:val="334155"/>
          <w:sz w:val="19"/>
        </w:rPr>
        <w:t>#### Question 9: Is the Docker/PostgreSQL/Redis/Nginx deployment already built, or still proposed? What runs end-to-end today?</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What is Live and Running Today:</w:t>
      </w:r>
      <w:r>
        <w:rPr>
          <w:rFonts w:ascii="Arial" w:hAnsi="Arial"/>
          <w:color w:val="334155"/>
          <w:sz w:val="19"/>
        </w:rPr>
      </w:r>
    </w:p>
    <w:p>
      <w:pPr>
        <w:spacing w:before="40" w:after="80"/>
      </w:pPr>
      <w:r>
        <w:rPr>
          <w:rFonts w:ascii="Arial" w:hAnsi="Arial"/>
          <w:color w:val="334155"/>
          <w:sz w:val="19"/>
        </w:rPr>
        <w:t>* The full-stack platform is fully built, live, and actively operating online in a zero-cost cloud topology:</w:t>
      </w:r>
    </w:p>
    <w:p>
      <w:pPr>
        <w:spacing w:before="40" w:after="80"/>
      </w:pPr>
      <w:r>
        <w:rPr>
          <w:rFonts w:ascii="Arial" w:hAnsi="Arial"/>
          <w:color w:val="334155"/>
          <w:sz w:val="19"/>
        </w:rPr>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pPr>
        <w:pStyle w:val="ListBullet"/>
        <w:spacing w:before="20" w:after="20"/>
      </w:pPr>
      <w:r>
        <w:rPr>
          <w:rFonts w:ascii="Arial" w:hAnsi="Arial"/>
          <w:color w:val="334155"/>
          <w:sz w:val="19"/>
        </w:rPr>
      </w:r>
      <w:r>
        <w:rPr>
          <w:rFonts w:ascii="Arial" w:hAnsi="Arial"/>
          <w:b/>
          <w:color w:val="0F172A"/>
          <w:sz w:val="19"/>
        </w:rPr>
        <w:t>Docker &amp; Self-Hosted Infrastructure:</w:t>
      </w:r>
      <w:r>
        <w:rPr>
          <w:rFonts w:ascii="Arial" w:hAnsi="Arial"/>
          <w:color w:val="334155"/>
          <w:sz w:val="19"/>
        </w:rPr>
      </w:r>
    </w:p>
    <w:p>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pPr>
        <w:spacing w:before="40" w:after="80"/>
      </w:pPr>
      <w:r>
        <w:rPr>
          <w:rFonts w:ascii="Arial" w:hAnsi="Arial"/>
          <w:color w:val="334155"/>
          <w:sz w:val="19"/>
        </w:rPr>
        <w:t>---</w:t>
      </w:r>
    </w:p>
    <w:p>
      <w:pPr>
        <w:spacing w:before="40" w:after="80"/>
      </w:pPr>
      <w:r>
        <w:rPr>
          <w:rFonts w:ascii="Arial" w:hAnsi="Arial"/>
          <w:color w:val="334155"/>
          <w:sz w:val="19"/>
        </w:rPr>
        <w:t>#### Question 10: What is your plan to eventually validate the system against real-world (non-synthetic) patient data?</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Our clinical translation roadmap is structured into three progressive phases:</w:t>
      </w:r>
    </w:p>
    <w:p>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pPr>
        <w:spacing w:before="40" w:after="80"/>
      </w:pPr>
      <w:r>
        <w:rPr>
          <w:rFonts w:ascii="Arial" w:hAnsi="Arial"/>
          <w:color w:val="334155"/>
          <w:sz w:val="19"/>
        </w:rPr>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pPr>
        <w:spacing w:before="40" w:after="80"/>
      </w:pPr>
      <w:r>
        <w:rPr>
          <w:rFonts w:ascii="Arial" w:hAnsi="Arial"/>
          <w:color w:val="334155"/>
          <w:sz w:val="19"/>
        </w:rPr>
        <w:t>---</w:t>
      </w:r>
    </w:p>
    <w:p>
      <w:pPr>
        <w:pStyle w:val="Heading3"/>
        <w:spacing w:before="160" w:after="40"/>
      </w:pPr>
      <w:r>
        <w:rPr>
          <w:rFonts w:ascii="Arial" w:hAnsi="Arial"/>
          <w:b/>
          <w:color w:val="0F172A"/>
          <w:sz w:val="21"/>
        </w:rPr>
        <w:t>PART B: ADDITIONAL REVIEW-READY VIVA DEFENSE QUESTIONS</w:t>
      </w:r>
    </w:p>
    <w:p>
      <w:pPr>
        <w:spacing w:before="40" w:after="80"/>
      </w:pPr>
      <w:r>
        <w:rPr>
          <w:rFonts w:ascii="Arial" w:hAnsi="Arial"/>
          <w:color w:val="334155"/>
          <w:sz w:val="19"/>
        </w:rPr>
        <w:t>#### Q11: What is the exact difference between Upstream Biological Features and Probability Meta-Features?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Probability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pPr>
        <w:spacing w:before="40" w:after="80"/>
      </w:pPr>
      <w:r>
        <w:rPr>
          <w:rFonts w:ascii="Arial" w:hAnsi="Arial"/>
          <w:color w:val="334155"/>
          <w:sz w:val="19"/>
        </w:rPr>
        <w:t>#### Q12: Why is Macro F1 a more informative metric than Accuracy in this project?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pPr>
        <w:spacing w:before="40" w:after="80"/>
      </w:pPr>
      <w:r>
        <w:rPr>
          <w:rFonts w:ascii="Arial" w:hAnsi="Arial"/>
          <w:color w:val="334155"/>
          <w:sz w:val="19"/>
        </w:rPr>
        <w:t>#### Q13: How does the system prevent unhandled exceptions if a patient uploads an unreadable or corrupted document?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64: PRESENTATION &amp; REVIEW DEFENSE SCRIPTS</w:t>
      </w:r>
    </w:p>
    <w:p>
      <w:pPr>
        <w:pStyle w:val="Heading3"/>
        <w:spacing w:before="160" w:after="40"/>
      </w:pPr>
      <w:r>
        <w:rPr>
          <w:rFonts w:ascii="Arial" w:hAnsi="Arial"/>
          <w:b/>
          <w:color w:val="0F172A"/>
          <w:sz w:val="21"/>
        </w:rPr>
        <w:t>64.1 30-Second Elevator Pitch</w:t>
      </w:r>
    </w:p>
    <w:p>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ADA, WHO, and AHA guidelines. It is fully deployed and active online across Vercel, Render, and Neon PostgreSQL."</w:t>
      </w:r>
    </w:p>
    <w:p>
      <w:pPr>
        <w:pStyle w:val="Heading3"/>
        <w:spacing w:before="160" w:after="40"/>
      </w:pPr>
      <w:r>
        <w:rPr>
          <w:rFonts w:ascii="Arial" w:hAnsi="Arial"/>
          <w:b/>
          <w:color w:val="0F172A"/>
          <w:sz w:val="21"/>
        </w:rPr>
        <w:t>64.2 2-Minute Technical Summary</w:t>
      </w:r>
    </w:p>
    <w:p>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clinical guidelines. The full system is verified by 172 automated tests and deployed online at zero hosting cost."</w:t>
      </w:r>
    </w:p>
    <w:p>
      <w:pPr>
        <w:pStyle w:val="Heading3"/>
        <w:spacing w:before="160" w:after="40"/>
      </w:pPr>
      <w:r>
        <w:rPr>
          <w:rFonts w:ascii="Arial" w:hAnsi="Arial"/>
          <w:b/>
          <w:color w:val="0F172A"/>
          <w:sz w:val="21"/>
        </w:rPr>
        <w:t>64.3 5-Minute Panel Presentation Script</w:t>
      </w:r>
    </w:p>
    <w:p>
      <w:pPr>
        <w:spacing w:before="40" w:after="80"/>
      </w:pPr>
      <w:r>
        <w:rPr>
          <w:rFonts w:ascii="Arial" w:hAnsi="Arial"/>
          <w:color w:val="334155"/>
          <w:sz w:val="19"/>
        </w:rPr>
        <w:t>"Good morning, esteemed panel members. Today I am presenting TeleMed AI v4, a multimodal telemedicine platform designed to overcome the core challenge of data incompleteness in remote metabolic healthcare.</w:t>
      </w:r>
    </w:p>
    <w:p>
      <w:pPr>
        <w:spacing w:before="40" w:after="80"/>
      </w:pPr>
      <w:r>
        <w:rPr>
          <w:rFonts w:ascii="Arial" w:hAnsi="Arial"/>
          <w:color w:val="334155"/>
          <w:sz w:val="19"/>
        </w:rPr>
        <w:t>First, let us examine the problem: metabolic disorders like Type 2 Diabetes and Metabolic Syndrome develop across three biological axes: blood chemistry, continuous glucose variability, and gut dysbiosis. However, in telehealth, over 70% of patients do not have all tests available. When a test is missing, traditional AI platforms either crash or fabricate missing numbers using mean imputation. Imputing fake data in healthcare is dangerous and invalid.</w:t>
      </w:r>
    </w:p>
    <w:p>
      <w:pPr>
        <w:spacing w:before="40" w:after="80"/>
      </w:pPr>
      <w:r>
        <w:rPr>
          <w:rFonts w:ascii="Arial" w:hAnsi="Arial"/>
          <w:color w:val="334155"/>
          <w:sz w:val="19"/>
        </w:rPr>
        <w:t>TeleMed AI v4 solves this through an Exact 7-Pathway Dynamic Routing Engine. We evaluated 82 upstream biological features—18 Clinical markers, 15 Wearable and CGM parameters, and 49 Gut microbiome species and diversity indices. If a patient uploads only blood tests, Pathway 1 executes. If they provide blood tests and smartwatch data, Pathway 4 executes. If they provide all three, Pathway 7 executes. Missing tests remain strictly marked as 'Not Provided' with zero synthetic imputation.</w:t>
      </w:r>
    </w:p>
    <w:p>
      <w:pPr>
        <w:spacing w:before="40" w:after="80"/>
      </w:pPr>
      <w:r>
        <w:rPr>
          <w:rFonts w:ascii="Arial" w:hAnsi="Arial"/>
          <w:color w:val="334155"/>
          <w:sz w:val="19"/>
        </w:rPr>
        <w:t>Our machine learning architecture uses two-stage probability stacking: base expert models generate calibrated probabilities across 5 conditions, which a second-level meta-learner combines using disease-specific weights. For explainability, we implemented Unified TreeSHAP, allowing doctors to inspect exact biomarker drivers in sub-60 millisecond speeds. To prevent AI hallucinations, our Medical RAG engine searches an in-memory vector database of 20 verified chunks from 5 clinical guidelines (ADA, WHO, AASLD, AHA, ISAPP), providing explicit source citations for every recommendation.</w:t>
      </w:r>
    </w:p>
    <w:p>
      <w:pPr>
        <w:spacing w:before="40" w:after="80"/>
      </w:pPr>
      <w:r>
        <w:rPr>
          <w:rFonts w:ascii="Arial" w:hAnsi="Arial"/>
          <w:color w:val="334155"/>
          <w:sz w:val="19"/>
        </w:rPr>
        <w:t>Finally, the full-stack system is live and verified: React 18 frontend on Vercel, FastAPI backend on Render, and PostgreSQL 17 on Neon Cloud, backed by 172 automated tests passing with 100% success. Thank you."</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65: GLOSSARY OF TECHNICAL &amp; MEDICAL TERMS</w:t>
      </w:r>
    </w:p>
    <w:p>
      <w:pPr>
        <w:pStyle w:val="ListBullet"/>
        <w:spacing w:before="20" w:after="20"/>
      </w:pPr>
      <w:r>
        <w:rPr>
          <w:rFonts w:ascii="Arial" w:hAnsi="Arial"/>
          <w:color w:val="334155"/>
          <w:sz w:val="19"/>
        </w:rPr>
      </w: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pPr>
        <w:pStyle w:val="ListBullet"/>
        <w:spacing w:before="20" w:after="20"/>
      </w:pPr>
      <w:r>
        <w:rPr>
          <w:rFonts w:ascii="Arial" w:hAnsi="Arial"/>
          <w:color w:val="334155"/>
          <w:sz w:val="19"/>
        </w:rPr>
      </w: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pPr>
        <w:pStyle w:val="ListBullet"/>
        <w:spacing w:before="20" w:after="20"/>
      </w:pPr>
      <w:r>
        <w:rPr>
          <w:rFonts w:ascii="Arial" w:hAnsi="Arial"/>
          <w:color w:val="334155"/>
          <w:sz w:val="19"/>
        </w:rPr>
      </w:r>
      <w:r>
        <w:rPr>
          <w:rFonts w:ascii="Arial" w:hAnsi="Arial"/>
          <w:b/>
          <w:color w:val="0F172A"/>
          <w:sz w:val="19"/>
        </w:rPr>
        <w:t>Upstream Predictive Features:</w:t>
      </w:r>
      <w:r>
        <w:rPr>
          <w:rFonts w:ascii="Arial" w:hAnsi="Arial"/>
          <w:color w:val="334155"/>
          <w:sz w:val="19"/>
        </w:rPr>
        <w:t xml:space="preserve"> The 82 total biological features (18 Clinical + 15 Wearable + 49 Gut) evaluated by base models.</w:t>
      </w:r>
    </w:p>
    <w:p>
      <w:pPr>
        <w:pStyle w:val="ListBullet"/>
        <w:spacing w:before="20" w:after="20"/>
      </w:pPr>
      <w:r>
        <w:rPr>
          <w:rFonts w:ascii="Arial" w:hAnsi="Arial"/>
          <w:color w:val="334155"/>
          <w:sz w:val="19"/>
        </w:rPr>
      </w:r>
      <w:r>
        <w:rPr>
          <w:rFonts w:ascii="Arial" w:hAnsi="Arial"/>
          <w:b/>
          <w:color w:val="0F172A"/>
          <w:sz w:val="19"/>
        </w:rPr>
        <w:t>Probability Meta-Features:</w:t>
      </w:r>
      <w:r>
        <w:rPr>
          <w:rFonts w:ascii="Arial" w:hAnsi="Arial"/>
          <w:color w:val="334155"/>
          <w:sz w:val="19"/>
        </w:rPr>
        <w:t xml:space="preserve"> The 15 calibrated probability scores generated by base models and consumed in 3-element vectors by target-specific meta-learners.</w:t>
      </w:r>
    </w:p>
    <w:p>
      <w:pPr>
        <w:pStyle w:val="ListBullet"/>
        <w:spacing w:before="20" w:after="20"/>
      </w:pPr>
      <w:r>
        <w:rPr>
          <w:rFonts w:ascii="Arial" w:hAnsi="Arial"/>
          <w:color w:val="334155"/>
          <w:sz w:val="19"/>
        </w:rPr>
      </w: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pPr>
        <w:pStyle w:val="ListBullet"/>
        <w:spacing w:before="20" w:after="20"/>
      </w:pPr>
      <w:r>
        <w:rPr>
          <w:rFonts w:ascii="Arial" w:hAnsi="Arial"/>
          <w:color w:val="334155"/>
          <w:sz w:val="19"/>
        </w:rPr>
      </w: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pPr>
        <w:pStyle w:val="ListBullet"/>
        <w:spacing w:before="20" w:after="20"/>
      </w:pPr>
      <w:r>
        <w:rPr>
          <w:rFonts w:ascii="Arial" w:hAnsi="Arial"/>
          <w:color w:val="334155"/>
          <w:sz w:val="19"/>
        </w:rPr>
      </w: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66: REFERENCES &amp; CLINICAL LITERATURE</w:t>
      </w:r>
    </w:p>
    <w:p>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67: ARTIFACT MANIFEST &amp; REPOSITORY EVIDENCE</w:t>
      </w:r>
    </w:p>
    <w:p>
      <w:pPr>
        <w:pStyle w:val="ListBullet"/>
        <w:spacing w:before="20" w:after="20"/>
      </w:pPr>
      <w:r>
        <w:rPr>
          <w:rFonts w:ascii="Arial" w:hAnsi="Arial"/>
          <w:color w:val="334155"/>
          <w:sz w:val="19"/>
        </w:rPr>
        <w:t>`ai/models/clinical/clinical_v4_expert_payload.joblib`: 18 Features, 5 Classifiers.</w:t>
      </w:r>
    </w:p>
    <w:p>
      <w:pPr>
        <w:pStyle w:val="ListBullet"/>
        <w:spacing w:before="20" w:after="20"/>
      </w:pPr>
      <w:r>
        <w:rPr>
          <w:rFonts w:ascii="Arial" w:hAnsi="Arial"/>
          <w:color w:val="334155"/>
          <w:sz w:val="19"/>
        </w:rPr>
        <w:t>`ai/models/wearable_cgm/wearable_v4_expert_payload.joblib`: 15 Features, 5 Classifiers.</w:t>
      </w:r>
    </w:p>
    <w:p>
      <w:pPr>
        <w:pStyle w:val="ListBullet"/>
        <w:spacing w:before="20" w:after="20"/>
      </w:pPr>
      <w:r>
        <w:rPr>
          <w:rFonts w:ascii="Arial" w:hAnsi="Arial"/>
          <w:color w:val="334155"/>
          <w:sz w:val="19"/>
        </w:rPr>
        <w:t>`ai/models/gut_microbiome/gut_v4_expert_payload.joblib`: 49 Features, 5 Classifiers.</w:t>
      </w:r>
    </w:p>
    <w:p>
      <w:pPr>
        <w:pStyle w:val="ListBullet"/>
        <w:spacing w:before="20" w:after="20"/>
      </w:pPr>
      <w:r>
        <w:rPr>
          <w:rFonts w:ascii="Arial" w:hAnsi="Arial"/>
          <w:color w:val="334155"/>
          <w:sz w:val="19"/>
        </w:rPr>
        <w:t>`ai/models/fusion/v4_multimodal_fusion_payload.joblib`: 5 Meta-Models, n\_features\_in\_ = 3.</w:t>
      </w:r>
    </w:p>
    <w:p>
      <w:pPr>
        <w:pStyle w:val="ListBullet"/>
        <w:spacing w:before="20" w:after="20"/>
      </w:pPr>
      <w:r>
        <w:rPr>
          <w:rFonts w:ascii="Arial" w:hAnsi="Arial"/>
          <w:color w:val="334155"/>
          <w:sz w:val="19"/>
        </w:rPr>
        <w:t>`ai/models/fusion/wg_logistic_regression_stacker.joblib`: 5 Meta-Models, n\_features\_in\_ = 2.</w:t>
      </w:r>
    </w:p>
    <w:p>
      <w:pPr>
        <w:pStyle w:val="ListBullet"/>
        <w:spacing w:before="20" w:after="20"/>
      </w:pPr>
      <w:r>
        <w:rPr>
          <w:rFonts w:ascii="Arial" w:hAnsi="Arial"/>
          <w:color w:val="334155"/>
          <w:sz w:val="19"/>
        </w:rPr>
        <w:t>`services/medical_rag/data/source_manifest.json`: 5 Official Guidelines.</w:t>
      </w:r>
    </w:p>
    <w:p>
      <w:pPr>
        <w:pStyle w:val="ListBullet"/>
        <w:spacing w:before="20" w:after="20"/>
      </w:pPr>
      <w:r>
        <w:rPr>
          <w:rFonts w:ascii="Arial" w:hAnsi="Arial"/>
          <w:color w:val="334155"/>
          <w:sz w:val="19"/>
        </w:rPr>
        <w:t>`services/medical_rag/vector_db/vector_index.json`: 20 Guideline Chunks.</w:t>
      </w:r>
    </w:p>
    <w:p>
      <w:pPr>
        <w:pStyle w:val="ListBullet"/>
        <w:spacing w:before="20" w:after="20"/>
      </w:pPr>
      <w:r>
        <w:rPr>
          <w:rFonts w:ascii="Arial" w:hAnsi="Arial"/>
          <w:color w:val="334155"/>
          <w:sz w:val="19"/>
        </w:rPr>
        <w:t>`ai/evaluation/artifacts/fusion_v4/v4_fusion_test_metrics_with_95ci.csv`: Measured Fusion Test Metrics.</w:t>
      </w:r>
    </w:p>
    <w:p>
      <w:pPr>
        <w:pStyle w:val="ListBullet"/>
        <w:spacing w:before="20" w:after="20"/>
      </w:pPr>
      <w:r>
        <w:rPr>
          <w:rFonts w:ascii="Arial" w:hAnsi="Arial"/>
          <w:color w:val="334155"/>
          <w:sz w:val="19"/>
        </w:rPr>
        <w:t>`ai/evaluation/artifacts/expert_v4/v4_expert_test_metrics_with_95ci.csv`: Measured Expert Test 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68: FINAL CLAIM-EVIDENCE TRACEABILITY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Claim Category</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Specific Technical Claim</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Source of Truth File / Artifact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Verified Status</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Verification Evidence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Feature Counts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Clinical = 18, Wearable = 15, Gut = 49</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.joblib payloads &amp; v3_schema_validator.py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from serialized features keys.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Upstream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total biological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Sum: 18 + 15 + 49 = 82</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Modality-level input feature pool.</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Fusion Inputs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3 probability inputs per disease target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n\_features\_in\_ = 3 for all 5 meta-models.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Meta Outputs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total expert probabilities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xml:space="preserve">3 modalities </w:t>
              <w:tab/>
              <w:t>imes 5 disease targets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Out-of-fold probability matrix.</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Winning Classifiers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LogReg / XGB / CatBoost / RF / ExtraTrees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v4_expert_test_metrics_with_95ci.csv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directly from model payloads.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Optimal Thresholds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T2D: 0.33, Prediabetes: 0.33, Obesity: 0.39, MetSyn: 0.31, NAFLD: 0.29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Inspected from thresholds dictionary.</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RAG Guidelines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Official Guidelines, 20 Chunks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source_manifest.json &amp; vector_index.json</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document IDs and chunk counts verified.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Automated Tests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 tests passed (100% OK)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unittest discover output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172/172 passed in 101.3s with 0 errors.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Cloud Hosting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Vercel (Frontend) + Render (Backend) + Neon (DB)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render.yaml, vercel.json, live URLs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Live deployed at 0.00 USD monthly cost.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Security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Role-Based Access Control + IDOR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app/backend/api/ &amp; auth.py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Server-side JWT ownership verification active.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69: FINAL CONSISTENCY AUDIT &amp; RELEASE GATE CERTIFICATION</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pPr>
              <w:spacing w:before="40" w:after="40"/>
            </w:pPr>
            <w:r>
              <w:rPr>
                <w:rFonts w:ascii="Arial" w:hAnsi="Arial"/>
                <w:b/>
                <w:color w:val="FFFFFF"/>
                <w:sz w:val="17"/>
              </w:rPr>
              <w:t>Verification Item</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Release Gate Status</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Verified Repository Evidence</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 Feature Counts Consistency (18, 15, 49, 82, 3)</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Audited across schema validator, .joblib payloads, and routing code.</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2. Dataset Schema &amp; Cohort Size Consistency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100,000 synchronized multi-omic patient cohort (70k Train / 15k Val / 15k Test)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3. Model Inventory &amp; Estimator Classes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Verified from serialized payload metadata and n_features_in_.</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4. Multi-Label Classification Terminology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5 independent calibrated binary estimators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5. 7-Pathway Routing Architecture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Dynamic routing and null preservation verified in v3_scientific_router.py.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6. Stacking Meta-Learner Mathematics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Exact weights and 3-input vectors verified from fusion artifact.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7. Measured Metrics with 95% CIs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Reported from v4_fusion_test_metrics_with_95ci.csv.</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8. TreeSHAP &amp; Grounded Medical RAG</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Verified from XAI wrappers and 20 guideline chunks in vector DB.</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9. Multi-Portal Workspaces (Patient/Doctor/Admin)</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Full workflows and RBAC verified in route implementations.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10. Zero-Cost Cloud Deployment (Vercel/Render/Neon)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Live deployed and verified at zero monthly cost.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11. Test Suite Verification (172/172 Passed)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100% test pass rate verified locally.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12. Multi-Format Output Generation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DOCX, PDF, MD, CSV, and Audit MD compiled cleanly.</w:t>
            </w:r>
          </w:p>
        </w:tc>
      </w:tr>
    </w:tbl>
    <w:p>
      <w:pPr>
        <w:spacing w:after="120"/>
      </w:pPr>
    </w:p>
    <w:p>
      <w:pPr>
        <w:spacing w:before="40" w:after="80"/>
      </w:pPr>
      <w:r>
        <w:rPr>
          <w:rFonts w:ascii="Arial" w:hAnsi="Arial"/>
          <w:color w:val="334155"/>
          <w:sz w:val="19"/>
        </w:rPr>
        <w:t>---</w:t>
      </w:r>
    </w:p>
    <w:p>
      <w:pPr>
        <w:pStyle w:val="Heading3"/>
        <w:spacing w:before="160" w:after="40"/>
      </w:pPr>
      <w:r>
        <w:rPr>
          <w:rFonts w:ascii="Arial" w:hAnsi="Arial"/>
          <w:b/>
          <w:color w:val="0F172A"/>
          <w:sz w:val="21"/>
        </w:rPr>
        <w:t>FINAL RELEASE GATE VERDICT</w:t>
      </w:r>
    </w:p>
    <w:p>
      <w:pPr>
        <w:pStyle w:val="ListBullet"/>
        <w:spacing w:before="20" w:after="20"/>
      </w:pPr>
      <w:r>
        <w:rPr>
          <w:rFonts w:ascii="Arial" w:hAnsi="Arial"/>
          <w:color w:val="334155"/>
          <w:sz w:val="19"/>
        </w:rPr>
      </w: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