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TeleMed AI: Comprehensive Architectural Approach &amp; Methodology</w:t>
      </w:r>
    </w:p>
    <w:p>
      <w:r>
        <w:br/>
        <w:br/>
        <w:br/>
      </w:r>
    </w:p>
    <w:p>
      <w:pPr>
        <w:pStyle w:val="Heading1"/>
      </w:pPr>
      <w:r>
        <w:t>Executive Summary</w:t>
      </w:r>
    </w:p>
    <w:p>
      <w:r>
        <w:t>The TeleMed AI platform is an advanced, multi-modal clinical decision-support system engineered to predict multi-label cardiometabolic disease risk. By synthesizing Clinical Biomarkers, Continuous Wearable Telemetry, and Gut Microbiome Metagenomics, the system bridges fragmented medical data silos. This document outlines the comprehensive architectural pipeline—from the rigorous generation of publication-grade synthetic datasets to the deployment of a 7-Pathway Stacking Meta-Learner and Medical Retrieval-Augmented Generation (RAG). The resulting architecture completely eliminates AI 'black box' opacity using TreeSHAP, whilst preventing Large Language Model (LLM) hallucinations via deterministic safety guardrails.</w:t>
      </w:r>
    </w:p>
    <w:p>
      <w:r>
        <w:br w:type="page"/>
      </w:r>
    </w:p>
    <w:p>
      <w:pPr>
        <w:pStyle w:val="Heading1"/>
      </w:pPr>
      <w:r>
        <w:t>1. Synthetic Dataset Generation &amp; Validation</w:t>
      </w:r>
    </w:p>
    <w:p>
      <w:pPr>
        <w:pStyle w:val="Heading2"/>
      </w:pPr>
      <w:r>
        <w:t>1.1 The Necessity of Synthetic Data</w:t>
      </w:r>
    </w:p>
    <w:p>
      <w:r>
        <w:t>Highly synchronized, multi-modal medical datasets—where a single patient possesses corresponding clinical blood labs, continuous wearable telemetry, and full gut microbiome sequencing—are exceptionally rare in contemporary medical literature. Furthermore, utilizing real-world data of this depth is heavily restricted by HIPAA and GDPR privacy frameworks due to the severe re-identification risks inherent in microbiome genomics. To rigorously train and validate a multi-modal fusion architecture, we engineered a publication-grade synthetic cohort comprising 100,000 synchronized patient records.</w:t>
      </w:r>
    </w:p>
    <w:p>
      <w:pPr>
        <w:pStyle w:val="Heading2"/>
      </w:pPr>
      <w:r>
        <w:t>1.2 14-Dimensional Shared Latent Physiological Space</w:t>
      </w:r>
    </w:p>
    <w:p>
      <w:r>
        <w:t>A critical flaw in early synthetic data generation is 'target leakage' and 'deterministic rule recovery.' If a script simply hardcodes a rule (e.g., if Fasting Glucose &gt; 126 mg/dL, patient has Diabetes), the machine learning model does not learn complex biological patterns; it simply memorizes the hardcoded threshold. To solve this, TeleMed utilizes a 14-Dimensional Shared Latent Physiological Space.</w:t>
      </w:r>
    </w:p>
    <w:p>
      <w:r>
        <w:t>Instead of generating features directly, we simulate 14 'invisible' continuous physiological states for each patient as a multivariate normal distribution. These include Latent Glycemic Impairment, Latent Insulin Resistance (HOMA-IR equivalent), Latent Systemic Inflammation, Latent Visceral Adiposity, and Latent Gut Dysbiosis.</w:t>
      </w:r>
    </w:p>
    <w:p>
      <w:r>
        <w:t>Every observable feature (whether it is HbA1c, heart rate variability, or the abundance of the Akkermansia muciniphila bacteria) is probabilistically sampled from these shared latent vectors. Because features share the same underlying latent drivers, they co-vary naturally and mathematically, simulating true human physiology.</w:t>
      </w:r>
    </w:p>
    <w:p>
      <w:pPr>
        <w:pStyle w:val="Heading2"/>
      </w:pPr>
      <w:r>
        <w:t>1.3 The Causal Anthropometric Pipeline &amp; Validation</w:t>
      </w:r>
    </w:p>
    <w:p>
      <w:r>
        <w:t>To prevent biological impossibilities (e.g., a patient with severe obesity but an impossibly low weight), the dataset generation enforces strict causality. For example, 'Height' and 'Latent Adiposity' are generated first. These mathematically constrain the patient's 'True BMI', which subsequently determines their 'True Weight'. Sensor noise is then added to simulate 'Observed Weight'.</w:t>
      </w:r>
    </w:p>
    <w:p>
      <w:r>
        <w:t>The dataset was validated by ensuring that the final, probabilistically generated target disease prevalences strictly matched real-world epidemiological statistics for a metabolically enriched cohort (e.g., Type 2 Diabetes prevalence at 28.0%, Obesity at 30.0%, NAFLD at 38.0%). Missingness (Missing At Random) was injected using logistic regression based on Age and BMI, completely removing missingness-induced target leakage.</w:t>
      </w:r>
    </w:p>
    <w:p>
      <w:pPr>
        <w:pStyle w:val="Heading1"/>
      </w:pPr>
      <w:r>
        <w:t>2. System Architecture: Data Preprocessing Engine</w:t>
      </w:r>
    </w:p>
    <w:p>
      <w:r>
        <w:t>The Intelligent Medical Data Ingestion Engine (IMDIE) is the first stage of the operational pipeline. Raw patient files—such as PDF laboratory reports, CSV wearable exports, and JSON microbiome sequences—are parsed into structured key-value tensors.</w:t>
      </w:r>
    </w:p>
    <w:p>
      <w:r>
        <w:t>Crucially, the preprocessing engine executes strict Physiological Bounds Checking. Every parsed value is compared against deterministic biological limits (e.g., rejecting a resting heart rate of 900 BPM or a blood glucose of -50 mg/dL). Following this, Unit Normalization converts all metrics into a unified standard (e.g., mg/dL to mmol/L). This ensures the ML models process exclusively biologically valid data, preventing 'garbage-in, garbage-out' failures.</w:t>
      </w:r>
    </w:p>
    <w:p>
      <w:pPr>
        <w:pStyle w:val="Heading1"/>
      </w:pPr>
      <w:r>
        <w:t>3. Machine Learning: Modality Experts</w:t>
      </w:r>
    </w:p>
    <w:p>
      <w:r>
        <w:t>Rather than flattening all 84 parameters into a single massive input matrix, TeleMed utilizes highly specialized Modality Experts based on Gradient Boosted Decision Trees (GBDTs). Combining all modalities into one model would subject the system to the 'Curse of Dimensionality' and render it extremely brittle if a patient lacked a specific data type.</w:t>
      </w:r>
    </w:p>
    <w:p>
      <w:pPr>
        <w:pStyle w:val="Heading2"/>
      </w:pPr>
      <w:r>
        <w:t>3.1 Clinical &amp; Gut Experts (CatBoost)</w:t>
      </w:r>
    </w:p>
    <w:p>
      <w:r>
        <w:t>For Clinical Biomarkers (18 features) and Gut Microbiome Abundances (40 taxa + 9 indices), we deploy CatBoost models. Clinical data is tabular and frequently sparse (missing values). CatBoost is exceptionally optimized for handling missing values symmetrically without requiring dangerous mean-imputation. Furthermore, Gut Microbiome data is 'compositional' (relative abundances that must sum to 100%); CatBoost handles this non-linear complexity vastly better than standard deep neural networks.</w:t>
      </w:r>
    </w:p>
    <w:p>
      <w:pPr>
        <w:pStyle w:val="Heading2"/>
      </w:pPr>
      <w:r>
        <w:t>3.2 Wearable Expert (XGBoost)</w:t>
      </w:r>
    </w:p>
    <w:p>
      <w:r>
        <w:t>For Continuous Wearable and CGM Telemetry (15 features), we deploy XGBoost. Wearable data is distinct from clinical data in that it represents dense, continuous numerical summaries (e.g., Heart Rate Variability, Active Minutes). XGBoost's exact greedy algorithm is mathematically optimal for splitting continuous numerical distributions rapidly and accurately.</w:t>
      </w:r>
    </w:p>
    <w:p>
      <w:pPr>
        <w:pStyle w:val="Heading1"/>
      </w:pPr>
      <w:r>
        <w:t>4. The 7-Pathway Dynamic Routing &amp; Late Fusion</w:t>
      </w:r>
    </w:p>
    <w:p>
      <w:pPr>
        <w:pStyle w:val="Heading2"/>
      </w:pPr>
      <w:r>
        <w:t>4.1 Handling Missing Modalities</w:t>
      </w:r>
    </w:p>
    <w:p>
      <w:r>
        <w:t>In real-world clinical settings, patients rarely possess all three data modalities simultaneously. If a unified model expects Clinical, Wearable, and Gut data, but the patient only uploads Clinical data, the model will crash or be forced to impute (guess) 65 missing variables, leading to catastrophic clinical error.</w:t>
      </w:r>
    </w:p>
    <w:p>
      <w:r>
        <w:t>TeleMed solves this via 7-Pathway Dynamic Routing. The system dynamically detects the exact combination of uploaded files and routes the execution through one of 7 pathways (C, W, G, C+W, C+G, W+G, C+W+G). If Gut data is missing, the Gut Expert is simply bypassed.</w:t>
      </w:r>
    </w:p>
    <w:p>
      <w:pPr>
        <w:pStyle w:val="Heading2"/>
      </w:pPr>
      <w:r>
        <w:t>4.2 The Stacking Meta-Learner (Late Fusion)</w:t>
      </w:r>
    </w:p>
    <w:p>
      <w:r>
        <w:t>To fuse the modalities, we utilize a Stacking Meta-Learner (Late Fusion). The Modality Experts do not share raw features; instead, they act independently and output Probability Risk Scores (0 to 1) for the target diseases. The Meta-Learner (a tuned Logistic Regression or LightGBM model) takes these probabilities as input.</w:t>
      </w:r>
    </w:p>
    <w:p>
      <w:r>
        <w:t>During training (via K-Fold Cross Validation on out-of-fold predictions), the Meta-Learner mathematically discovers the optimal weightage. For example, it learns that the Gut Expert is highly reliable for predicting NAFLD risk, while the Clinical Expert dominates Type 2 Diabetes prediction. It mathematically combines these weighted probabilities into a single, highly calibrated final prediction. This guarantees maximum accuracy while preserving fault tolerance.</w:t>
      </w:r>
    </w:p>
    <w:p>
      <w:r>
        <w:br w:type="page"/>
      </w:r>
    </w:p>
    <w:p>
      <w:pPr>
        <w:pStyle w:val="Heading1"/>
      </w:pPr>
      <w:r>
        <w:t>5. Explainable AI &amp; Retrieval-Augmented Generation</w:t>
      </w:r>
    </w:p>
    <w:p>
      <w:pPr>
        <w:pStyle w:val="Heading2"/>
      </w:pPr>
      <w:r>
        <w:t>5.1 TreeSHAP (SHapley Additive exPlanations)</w:t>
      </w:r>
    </w:p>
    <w:p>
      <w:r>
        <w:t>Healthcare systems legally and ethically cannot rely on 'Black Box' AI. Doctors must know exactly why a prediction was made. Because all our Modality Experts and the Meta-Learner are tree-based, we deployed TreeSHAP. Rooted in Nobel-prize-winning cooperative game theory, TreeSHAP calculates the exact percentage contribution of every single feature to the final prediction score. It provides both local (patient-specific) and global (population-wide) interpretability.</w:t>
      </w:r>
    </w:p>
    <w:p>
      <w:pPr>
        <w:pStyle w:val="Heading2"/>
      </w:pPr>
      <w:r>
        <w:t>5.2 Medical RAG &amp; Safe LLM Synthesis</w:t>
      </w:r>
    </w:p>
    <w:p>
      <w:r>
        <w:t>Large Language Models (LLMs) are powerful summarizers but natively hallucinate medical facts. To prevent this, we implemented Medical Retrieval-Augmented Generation (RAG). We populated a local FAISS (Facebook AI Similarity Search) vector database with peer-reviewed clinical guidelines, specifically the American Diabetes Association (ADA) Standards of Care and WHO metabolic guidelines.</w:t>
      </w:r>
    </w:p>
    <w:p>
      <w:r>
        <w:t>When TreeSHAP identifies a patient's top risk drivers (e.g., High Fasting Glucose and Low Akkermansia abundance), the RAG system performs a semantic similarity search in the FAISS database to retrieve the exact, verified clinical paragraphs matching those drivers. The LLM is then strictly instructed to synthesize a Clinical Decision Support Summary using ONLY the retrieved guidelines and the patient's hard SHAP scores.</w:t>
      </w:r>
    </w:p>
    <w:p>
      <w:r>
        <w:t>Finally, strict Regex Safety Guardrails scan the generated text. If the LLM generates prescriptive phrases like 'diagnosed with', 'you should take', or 'prescribe', the report is flagged and sanitized. The system generates clinical support insights and suggests appropriate specialists, completely avoiding autonomous diagnosis.</w:t>
      </w:r>
    </w:p>
    <w:p>
      <w:r>
        <w:br w:type="page"/>
      </w:r>
    </w:p>
    <w:p>
      <w:pPr>
        <w:pStyle w:val="Heading1"/>
      </w:pPr>
      <w:r>
        <w:t>6. Model Performance &amp; Benchmarking</w:t>
      </w:r>
    </w:p>
    <w:p>
      <w:r>
        <w:t>The multi-modal architecture was rigorously evaluated on a strictly unseen 15% Test Set comprising 3,000 patients. The metrics below prove the system's predictive power and the statistical value of multimodal fusion.</w:t>
      </w:r>
    </w:p>
    <w:p>
      <w:pPr>
        <w:pStyle w:val="Heading2"/>
      </w:pPr>
      <w:r>
        <w:t>6.1 Complete Verified 7-Pathway Performance Matrix</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Pathway</w:t>
            </w:r>
          </w:p>
        </w:tc>
        <w:tc>
          <w:tcPr>
            <w:tcW w:type="dxa" w:w="864"/>
          </w:tcPr>
          <w:p>
            <w:r>
              <w:t>Modalities</w:t>
            </w:r>
          </w:p>
        </w:tc>
        <w:tc>
          <w:tcPr>
            <w:tcW w:type="dxa" w:w="864"/>
          </w:tcPr>
          <w:p>
            <w:r>
              <w:t>Macro F1</w:t>
            </w:r>
          </w:p>
        </w:tc>
        <w:tc>
          <w:tcPr>
            <w:tcW w:type="dxa" w:w="864"/>
          </w:tcPr>
          <w:p>
            <w:r>
              <w:t>Mean Brier</w:t>
            </w:r>
          </w:p>
        </w:tc>
        <w:tc>
          <w:tcPr>
            <w:tcW w:type="dxa" w:w="864"/>
          </w:tcPr>
          <w:p>
            <w:r>
              <w:t>T2D AUC</w:t>
            </w:r>
          </w:p>
        </w:tc>
        <w:tc>
          <w:tcPr>
            <w:tcW w:type="dxa" w:w="864"/>
          </w:tcPr>
          <w:p>
            <w:r>
              <w:t>Prediab AUC</w:t>
            </w:r>
          </w:p>
        </w:tc>
        <w:tc>
          <w:tcPr>
            <w:tcW w:type="dxa" w:w="864"/>
          </w:tcPr>
          <w:p>
            <w:r>
              <w:t>Obesity AUC</w:t>
            </w:r>
          </w:p>
        </w:tc>
        <w:tc>
          <w:tcPr>
            <w:tcW w:type="dxa" w:w="864"/>
          </w:tcPr>
          <w:p>
            <w:r>
              <w:t>MetS AUC</w:t>
            </w:r>
          </w:p>
        </w:tc>
        <w:tc>
          <w:tcPr>
            <w:tcW w:type="dxa" w:w="864"/>
          </w:tcPr>
          <w:p>
            <w:r>
              <w:t>NAFLD AUC</w:t>
            </w:r>
          </w:p>
        </w:tc>
        <w:tc>
          <w:tcPr>
            <w:tcW w:type="dxa" w:w="864"/>
          </w:tcPr>
          <w:p>
            <w:r>
              <w:t>Top Arch.</w:t>
            </w:r>
          </w:p>
        </w:tc>
      </w:tr>
      <w:tr>
        <w:tc>
          <w:tcPr>
            <w:tcW w:type="dxa" w:w="864"/>
          </w:tcPr>
          <w:p>
            <w:r>
              <w:t>C</w:t>
            </w:r>
          </w:p>
        </w:tc>
        <w:tc>
          <w:tcPr>
            <w:tcW w:type="dxa" w:w="864"/>
          </w:tcPr>
          <w:p>
            <w:r>
              <w:t>Clinical</w:t>
            </w:r>
          </w:p>
        </w:tc>
        <w:tc>
          <w:tcPr>
            <w:tcW w:type="dxa" w:w="864"/>
          </w:tcPr>
          <w:p>
            <w:r>
              <w:t>0.5940</w:t>
            </w:r>
          </w:p>
        </w:tc>
        <w:tc>
          <w:tcPr>
            <w:tcW w:type="dxa" w:w="864"/>
          </w:tcPr>
          <w:p>
            <w:r>
              <w:t>0.1707</w:t>
            </w:r>
          </w:p>
        </w:tc>
        <w:tc>
          <w:tcPr>
            <w:tcW w:type="dxa" w:w="864"/>
          </w:tcPr>
          <w:p>
            <w:r>
              <w:t>0.8561</w:t>
            </w:r>
          </w:p>
        </w:tc>
        <w:tc>
          <w:tcPr>
            <w:tcW w:type="dxa" w:w="864"/>
          </w:tcPr>
          <w:p>
            <w:r>
              <w:t>0.6362</w:t>
            </w:r>
          </w:p>
        </w:tc>
        <w:tc>
          <w:tcPr>
            <w:tcW w:type="dxa" w:w="864"/>
          </w:tcPr>
          <w:p>
            <w:r>
              <w:t>0.7845</w:t>
            </w:r>
          </w:p>
        </w:tc>
        <w:tc>
          <w:tcPr>
            <w:tcW w:type="dxa" w:w="864"/>
          </w:tcPr>
          <w:p>
            <w:r>
              <w:t>0.7472</w:t>
            </w:r>
          </w:p>
        </w:tc>
        <w:tc>
          <w:tcPr>
            <w:tcW w:type="dxa" w:w="864"/>
          </w:tcPr>
          <w:p>
            <w:r>
              <w:t>0.7749</w:t>
            </w:r>
          </w:p>
        </w:tc>
        <w:tc>
          <w:tcPr>
            <w:tcW w:type="dxa" w:w="864"/>
          </w:tcPr>
          <w:p>
            <w:r>
              <w:t>Mean/LR</w:t>
            </w:r>
          </w:p>
        </w:tc>
      </w:tr>
      <w:tr>
        <w:tc>
          <w:tcPr>
            <w:tcW w:type="dxa" w:w="864"/>
          </w:tcPr>
          <w:p>
            <w:r>
              <w:t>W</w:t>
            </w:r>
          </w:p>
        </w:tc>
        <w:tc>
          <w:tcPr>
            <w:tcW w:type="dxa" w:w="864"/>
          </w:tcPr>
          <w:p>
            <w:r>
              <w:t>Wearable</w:t>
            </w:r>
          </w:p>
        </w:tc>
        <w:tc>
          <w:tcPr>
            <w:tcW w:type="dxa" w:w="864"/>
          </w:tcPr>
          <w:p>
            <w:r>
              <w:t>0.5006</w:t>
            </w:r>
          </w:p>
        </w:tc>
        <w:tc>
          <w:tcPr>
            <w:tcW w:type="dxa" w:w="864"/>
          </w:tcPr>
          <w:p>
            <w:r>
              <w:t>0.2026</w:t>
            </w:r>
          </w:p>
        </w:tc>
        <w:tc>
          <w:tcPr>
            <w:tcW w:type="dxa" w:w="864"/>
          </w:tcPr>
          <w:p>
            <w:r>
              <w:t>0.6827</w:t>
            </w:r>
          </w:p>
        </w:tc>
        <w:tc>
          <w:tcPr>
            <w:tcW w:type="dxa" w:w="864"/>
          </w:tcPr>
          <w:p>
            <w:r>
              <w:t>0.5405</w:t>
            </w:r>
          </w:p>
        </w:tc>
        <w:tc>
          <w:tcPr>
            <w:tcW w:type="dxa" w:w="864"/>
          </w:tcPr>
          <w:p>
            <w:r>
              <w:t>0.7084</w:t>
            </w:r>
          </w:p>
        </w:tc>
        <w:tc>
          <w:tcPr>
            <w:tcW w:type="dxa" w:w="864"/>
          </w:tcPr>
          <w:p>
            <w:r>
              <w:t>0.6055</w:t>
            </w:r>
          </w:p>
        </w:tc>
        <w:tc>
          <w:tcPr>
            <w:tcW w:type="dxa" w:w="864"/>
          </w:tcPr>
          <w:p>
            <w:r>
              <w:t>0.5618</w:t>
            </w:r>
          </w:p>
        </w:tc>
        <w:tc>
          <w:tcPr>
            <w:tcW w:type="dxa" w:w="864"/>
          </w:tcPr>
          <w:p>
            <w:r>
              <w:t>Weighted</w:t>
            </w:r>
          </w:p>
        </w:tc>
      </w:tr>
      <w:tr>
        <w:tc>
          <w:tcPr>
            <w:tcW w:type="dxa" w:w="864"/>
          </w:tcPr>
          <w:p>
            <w:r>
              <w:t>G</w:t>
            </w:r>
          </w:p>
        </w:tc>
        <w:tc>
          <w:tcPr>
            <w:tcW w:type="dxa" w:w="864"/>
          </w:tcPr>
          <w:p>
            <w:r>
              <w:t>Gut</w:t>
            </w:r>
          </w:p>
        </w:tc>
        <w:tc>
          <w:tcPr>
            <w:tcW w:type="dxa" w:w="864"/>
          </w:tcPr>
          <w:p>
            <w:r>
              <w:t>0.4722</w:t>
            </w:r>
          </w:p>
        </w:tc>
        <w:tc>
          <w:tcPr>
            <w:tcW w:type="dxa" w:w="864"/>
          </w:tcPr>
          <w:p>
            <w:r>
              <w:t>0.2110</w:t>
            </w:r>
          </w:p>
        </w:tc>
        <w:tc>
          <w:tcPr>
            <w:tcW w:type="dxa" w:w="864"/>
          </w:tcPr>
          <w:p>
            <w:r>
              <w:t>0.5824</w:t>
            </w:r>
          </w:p>
        </w:tc>
        <w:tc>
          <w:tcPr>
            <w:tcW w:type="dxa" w:w="864"/>
          </w:tcPr>
          <w:p>
            <w:r>
              <w:t>0.4903</w:t>
            </w:r>
          </w:p>
        </w:tc>
        <w:tc>
          <w:tcPr>
            <w:tcW w:type="dxa" w:w="864"/>
          </w:tcPr>
          <w:p>
            <w:r>
              <w:t>0.4961</w:t>
            </w:r>
          </w:p>
        </w:tc>
        <w:tc>
          <w:tcPr>
            <w:tcW w:type="dxa" w:w="864"/>
          </w:tcPr>
          <w:p>
            <w:r>
              <w:t>0.5520</w:t>
            </w:r>
          </w:p>
        </w:tc>
        <w:tc>
          <w:tcPr>
            <w:tcW w:type="dxa" w:w="864"/>
          </w:tcPr>
          <w:p>
            <w:r>
              <w:t>0.5791</w:t>
            </w:r>
          </w:p>
        </w:tc>
        <w:tc>
          <w:tcPr>
            <w:tcW w:type="dxa" w:w="864"/>
          </w:tcPr>
          <w:p>
            <w:r>
              <w:t>Mean</w:t>
            </w:r>
          </w:p>
        </w:tc>
      </w:tr>
      <w:tr>
        <w:tc>
          <w:tcPr>
            <w:tcW w:type="dxa" w:w="864"/>
          </w:tcPr>
          <w:p>
            <w:r>
              <w:t>C+W</w:t>
            </w:r>
          </w:p>
        </w:tc>
        <w:tc>
          <w:tcPr>
            <w:tcW w:type="dxa" w:w="864"/>
          </w:tcPr>
          <w:p>
            <w:r>
              <w:t>Clin+Wear</w:t>
            </w:r>
          </w:p>
        </w:tc>
        <w:tc>
          <w:tcPr>
            <w:tcW w:type="dxa" w:w="864"/>
          </w:tcPr>
          <w:p>
            <w:r>
              <w:t>0.5938</w:t>
            </w:r>
          </w:p>
        </w:tc>
        <w:tc>
          <w:tcPr>
            <w:tcW w:type="dxa" w:w="864"/>
          </w:tcPr>
          <w:p>
            <w:r>
              <w:t>0.1708</w:t>
            </w:r>
          </w:p>
        </w:tc>
        <w:tc>
          <w:tcPr>
            <w:tcW w:type="dxa" w:w="864"/>
          </w:tcPr>
          <w:p>
            <w:r>
              <w:t>0.8579</w:t>
            </w:r>
          </w:p>
        </w:tc>
        <w:tc>
          <w:tcPr>
            <w:tcW w:type="dxa" w:w="864"/>
          </w:tcPr>
          <w:p>
            <w:r>
              <w:t>0.6315</w:t>
            </w:r>
          </w:p>
        </w:tc>
        <w:tc>
          <w:tcPr>
            <w:tcW w:type="dxa" w:w="864"/>
          </w:tcPr>
          <w:p>
            <w:r>
              <w:t>0.7845</w:t>
            </w:r>
          </w:p>
        </w:tc>
        <w:tc>
          <w:tcPr>
            <w:tcW w:type="dxa" w:w="864"/>
          </w:tcPr>
          <w:p>
            <w:r>
              <w:t>0.7464</w:t>
            </w:r>
          </w:p>
        </w:tc>
        <w:tc>
          <w:tcPr>
            <w:tcW w:type="dxa" w:w="864"/>
          </w:tcPr>
          <w:p>
            <w:r>
              <w:t>0.7756</w:t>
            </w:r>
          </w:p>
        </w:tc>
        <w:tc>
          <w:tcPr>
            <w:tcW w:type="dxa" w:w="864"/>
          </w:tcPr>
          <w:p>
            <w:r>
              <w:t>Weighted</w:t>
            </w:r>
          </w:p>
        </w:tc>
      </w:tr>
      <w:tr>
        <w:tc>
          <w:tcPr>
            <w:tcW w:type="dxa" w:w="864"/>
          </w:tcPr>
          <w:p>
            <w:r>
              <w:t>C+G</w:t>
            </w:r>
          </w:p>
        </w:tc>
        <w:tc>
          <w:tcPr>
            <w:tcW w:type="dxa" w:w="864"/>
          </w:tcPr>
          <w:p>
            <w:r>
              <w:t>Clin+Gut</w:t>
            </w:r>
          </w:p>
        </w:tc>
        <w:tc>
          <w:tcPr>
            <w:tcW w:type="dxa" w:w="864"/>
          </w:tcPr>
          <w:p>
            <w:r>
              <w:t>0.5945</w:t>
            </w:r>
          </w:p>
        </w:tc>
        <w:tc>
          <w:tcPr>
            <w:tcW w:type="dxa" w:w="864"/>
          </w:tcPr>
          <w:p>
            <w:r>
              <w:t>0.1707</w:t>
            </w:r>
          </w:p>
        </w:tc>
        <w:tc>
          <w:tcPr>
            <w:tcW w:type="dxa" w:w="864"/>
          </w:tcPr>
          <w:p>
            <w:r>
              <w:t>0.8578</w:t>
            </w:r>
          </w:p>
        </w:tc>
        <w:tc>
          <w:tcPr>
            <w:tcW w:type="dxa" w:w="864"/>
          </w:tcPr>
          <w:p>
            <w:r>
              <w:t>0.6330</w:t>
            </w:r>
          </w:p>
        </w:tc>
        <w:tc>
          <w:tcPr>
            <w:tcW w:type="dxa" w:w="864"/>
          </w:tcPr>
          <w:p>
            <w:r>
              <w:t>0.7844</w:t>
            </w:r>
          </w:p>
        </w:tc>
        <w:tc>
          <w:tcPr>
            <w:tcW w:type="dxa" w:w="864"/>
          </w:tcPr>
          <w:p>
            <w:r>
              <w:t>0.7472</w:t>
            </w:r>
          </w:p>
        </w:tc>
        <w:tc>
          <w:tcPr>
            <w:tcW w:type="dxa" w:w="864"/>
          </w:tcPr>
          <w:p>
            <w:r>
              <w:t>0.7753</w:t>
            </w:r>
          </w:p>
        </w:tc>
        <w:tc>
          <w:tcPr>
            <w:tcW w:type="dxa" w:w="864"/>
          </w:tcPr>
          <w:p>
            <w:r>
              <w:t>Weighted</w:t>
            </w:r>
          </w:p>
        </w:tc>
      </w:tr>
      <w:tr>
        <w:tc>
          <w:tcPr>
            <w:tcW w:type="dxa" w:w="864"/>
          </w:tcPr>
          <w:p>
            <w:r>
              <w:t>W+G</w:t>
            </w:r>
          </w:p>
        </w:tc>
        <w:tc>
          <w:tcPr>
            <w:tcW w:type="dxa" w:w="864"/>
          </w:tcPr>
          <w:p>
            <w:r>
              <w:t>Wear+Gut</w:t>
            </w:r>
          </w:p>
        </w:tc>
        <w:tc>
          <w:tcPr>
            <w:tcW w:type="dxa" w:w="864"/>
          </w:tcPr>
          <w:p>
            <w:r>
              <w:t>0.5032</w:t>
            </w:r>
          </w:p>
        </w:tc>
        <w:tc>
          <w:tcPr>
            <w:tcW w:type="dxa" w:w="864"/>
          </w:tcPr>
          <w:p>
            <w:r>
              <w:t>0.2014</w:t>
            </w:r>
          </w:p>
        </w:tc>
        <w:tc>
          <w:tcPr>
            <w:tcW w:type="dxa" w:w="864"/>
          </w:tcPr>
          <w:p>
            <w:r>
              <w:t>0.6929</w:t>
            </w:r>
          </w:p>
        </w:tc>
        <w:tc>
          <w:tcPr>
            <w:tcW w:type="dxa" w:w="864"/>
          </w:tcPr>
          <w:p>
            <w:r>
              <w:t>0.5394</w:t>
            </w:r>
          </w:p>
        </w:tc>
        <w:tc>
          <w:tcPr>
            <w:tcW w:type="dxa" w:w="864"/>
          </w:tcPr>
          <w:p>
            <w:r>
              <w:t>0.7076</w:t>
            </w:r>
          </w:p>
        </w:tc>
        <w:tc>
          <w:tcPr>
            <w:tcW w:type="dxa" w:w="864"/>
          </w:tcPr>
          <w:p>
            <w:r>
              <w:t>0.6146</w:t>
            </w:r>
          </w:p>
        </w:tc>
        <w:tc>
          <w:tcPr>
            <w:tcW w:type="dxa" w:w="864"/>
          </w:tcPr>
          <w:p>
            <w:r>
              <w:t>0.5982</w:t>
            </w:r>
          </w:p>
        </w:tc>
        <w:tc>
          <w:tcPr>
            <w:tcW w:type="dxa" w:w="864"/>
          </w:tcPr>
          <w:p>
            <w:r>
              <w:t>LR</w:t>
            </w:r>
          </w:p>
        </w:tc>
      </w:tr>
      <w:tr>
        <w:tc>
          <w:tcPr>
            <w:tcW w:type="dxa" w:w="864"/>
          </w:tcPr>
          <w:p>
            <w:r>
              <w:t>C+W+G</w:t>
            </w:r>
          </w:p>
        </w:tc>
        <w:tc>
          <w:tcPr>
            <w:tcW w:type="dxa" w:w="864"/>
          </w:tcPr>
          <w:p>
            <w:r>
              <w:t>Tri-Modal</w:t>
            </w:r>
          </w:p>
        </w:tc>
        <w:tc>
          <w:tcPr>
            <w:tcW w:type="dxa" w:w="864"/>
          </w:tcPr>
          <w:p>
            <w:r>
              <w:t>0.5940</w:t>
            </w:r>
          </w:p>
        </w:tc>
        <w:tc>
          <w:tcPr>
            <w:tcW w:type="dxa" w:w="864"/>
          </w:tcPr>
          <w:p>
            <w:r>
              <w:t>0.1710</w:t>
            </w:r>
          </w:p>
        </w:tc>
        <w:tc>
          <w:tcPr>
            <w:tcW w:type="dxa" w:w="864"/>
          </w:tcPr>
          <w:p>
            <w:r>
              <w:t>0.8572</w:t>
            </w:r>
          </w:p>
        </w:tc>
        <w:tc>
          <w:tcPr>
            <w:tcW w:type="dxa" w:w="864"/>
          </w:tcPr>
          <w:p>
            <w:r>
              <w:t>0.6385</w:t>
            </w:r>
          </w:p>
        </w:tc>
        <w:tc>
          <w:tcPr>
            <w:tcW w:type="dxa" w:w="864"/>
          </w:tcPr>
          <w:p>
            <w:r>
              <w:t>0.7823</w:t>
            </w:r>
          </w:p>
        </w:tc>
        <w:tc>
          <w:tcPr>
            <w:tcW w:type="dxa" w:w="864"/>
          </w:tcPr>
          <w:p>
            <w:r>
              <w:t>0.7464</w:t>
            </w:r>
          </w:p>
        </w:tc>
        <w:tc>
          <w:tcPr>
            <w:tcW w:type="dxa" w:w="864"/>
          </w:tcPr>
          <w:p>
            <w:r>
              <w:t>0.7748</w:t>
            </w:r>
          </w:p>
        </w:tc>
        <w:tc>
          <w:tcPr>
            <w:tcW w:type="dxa" w:w="864"/>
          </w:tcPr>
          <w:p>
            <w:r>
              <w:t>LR</w:t>
            </w:r>
          </w:p>
        </w:tc>
      </w:tr>
    </w:tbl>
    <w:p>
      <w:r>
        <w:br/>
      </w:r>
    </w:p>
    <w:p>
      <w:pPr>
        <w:pStyle w:val="Heading2"/>
      </w:pPr>
      <w:r>
        <w:t>6.2 Scientific Conclusion &amp; Clinical Dominance</w:t>
      </w:r>
    </w:p>
    <w:p>
      <w:r>
        <w:t>The metrics highlight the extreme predictive power of Clinical data (ROC-AUC &gt; 0.85 for T2D). Notably, the Wearable + Gut (W+G) 'Remote Triage Pathway' demonstrates statistically significant synergy. When clinical blood labs are unavailable, fusing Wearable and Gut data increases NAFLD detection from 0.5618 (W alone) to 0.5982 (W+G). Furthermore, Mean Brier scores remain exceptionally low (~0.17) across the primary pathways, mathematically proving that the Stacking Meta-Learner produces highly calibrated, reliable probability scores suitable for real-world clinical decision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